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8AC6" w14:textId="77777777" w:rsidR="00264EEB" w:rsidRPr="00734D3B" w:rsidRDefault="00264EEB" w:rsidP="006139DA">
      <w:pPr>
        <w:ind w:firstLine="0"/>
        <w:jc w:val="center"/>
        <w:rPr>
          <w:rFonts w:cs="Arial"/>
          <w:szCs w:val="22"/>
        </w:rPr>
      </w:pPr>
      <w:bookmarkStart w:id="0" w:name="_Toc130342093"/>
      <w:bookmarkStart w:id="1" w:name="_Toc129077949"/>
      <w:bookmarkStart w:id="2" w:name="_Toc128550546"/>
      <w:bookmarkStart w:id="3" w:name="_Toc128550679"/>
      <w:bookmarkStart w:id="4" w:name="_Toc128550975"/>
      <w:bookmarkStart w:id="5" w:name="_Toc128552729"/>
      <w:bookmarkStart w:id="6" w:name="_Toc128550813"/>
      <w:bookmarkStart w:id="7" w:name="_Toc129078345"/>
      <w:bookmarkStart w:id="8" w:name="_Toc119204605"/>
      <w:bookmarkStart w:id="9" w:name="_Toc129078479"/>
      <w:bookmarkStart w:id="10" w:name="_Toc128535178"/>
      <w:bookmarkStart w:id="11" w:name="_Toc130342517"/>
      <w:bookmarkStart w:id="12" w:name="_Toc130340800"/>
      <w:bookmarkStart w:id="13" w:name="_Toc129762551"/>
      <w:bookmarkStart w:id="14" w:name="_Toc129687586"/>
      <w:bookmarkStart w:id="15" w:name="_Toc128550361"/>
      <w:bookmarkStart w:id="16" w:name="_Toc130343274"/>
      <w:r w:rsidRPr="00734D3B">
        <w:rPr>
          <w:rFonts w:cs="Arial"/>
          <w:szCs w:val="22"/>
        </w:rPr>
        <w:t>UNIVERSIDAD PARA LA COOPERACIÓN INTERNACIONAL</w:t>
      </w:r>
    </w:p>
    <w:p w14:paraId="75D1B7F3" w14:textId="77777777" w:rsidR="00264EEB" w:rsidRPr="00734D3B" w:rsidRDefault="00264EEB" w:rsidP="006139DA">
      <w:pPr>
        <w:ind w:firstLine="0"/>
        <w:jc w:val="center"/>
        <w:rPr>
          <w:rFonts w:cs="Arial"/>
          <w:szCs w:val="22"/>
        </w:rPr>
      </w:pPr>
      <w:r w:rsidRPr="00734D3B">
        <w:rPr>
          <w:rFonts w:cs="Arial"/>
          <w:szCs w:val="22"/>
        </w:rPr>
        <w:t>(UCI)</w:t>
      </w:r>
    </w:p>
    <w:p w14:paraId="28636002" w14:textId="77777777" w:rsidR="00264EEB" w:rsidRPr="00734D3B" w:rsidRDefault="00264EEB" w:rsidP="006139DA">
      <w:pPr>
        <w:jc w:val="center"/>
        <w:rPr>
          <w:rFonts w:cs="Arial"/>
          <w:szCs w:val="22"/>
        </w:rPr>
      </w:pPr>
    </w:p>
    <w:p w14:paraId="14C48DC0" w14:textId="5FE4FC21" w:rsidR="00264EEB" w:rsidRPr="00734D3B" w:rsidRDefault="00EF5911" w:rsidP="006139DA">
      <w:pPr>
        <w:jc w:val="center"/>
        <w:rPr>
          <w:rFonts w:cs="Arial"/>
          <w:szCs w:val="22"/>
        </w:rPr>
      </w:pPr>
      <w:r w:rsidRPr="00734D3B">
        <w:rPr>
          <w:rFonts w:cs="Arial"/>
          <w:szCs w:val="22"/>
        </w:rPr>
        <w:t>GUÍA METODOLÓGICA DE GESTIÓN SOSTENIBLE PARA CONTRATISTAS ELÉCTRICOS EN PROYECTOS DE DATA CENTERS EN ARIZONA, CON ÉNFASIS EN EL MANEJO DE RESIDUOS Y LA REDUCCIÓN DE IMPACTOS AMBIENTALES.</w:t>
      </w:r>
    </w:p>
    <w:p w14:paraId="537EB61F" w14:textId="69892FE4" w:rsidR="00264EEB" w:rsidRPr="00734D3B" w:rsidRDefault="00264EEB" w:rsidP="006139DA">
      <w:pPr>
        <w:ind w:firstLine="0"/>
        <w:jc w:val="center"/>
        <w:rPr>
          <w:rFonts w:cs="Arial"/>
          <w:szCs w:val="22"/>
        </w:rPr>
      </w:pPr>
    </w:p>
    <w:p w14:paraId="3F1DA605" w14:textId="08C29A70" w:rsidR="00264EEB" w:rsidRPr="00734D3B" w:rsidRDefault="00264EEB" w:rsidP="006139DA">
      <w:pPr>
        <w:jc w:val="center"/>
        <w:rPr>
          <w:rFonts w:cs="Arial"/>
          <w:szCs w:val="22"/>
        </w:rPr>
      </w:pPr>
    </w:p>
    <w:p w14:paraId="6F76D0BA" w14:textId="047FE516" w:rsidR="00264EEB" w:rsidRPr="00734D3B" w:rsidRDefault="009E04F2" w:rsidP="006139DA">
      <w:pPr>
        <w:ind w:firstLine="0"/>
        <w:jc w:val="center"/>
        <w:rPr>
          <w:rFonts w:cs="Arial"/>
          <w:szCs w:val="22"/>
        </w:rPr>
      </w:pPr>
      <w:r w:rsidRPr="00734D3B">
        <w:rPr>
          <w:rFonts w:cs="Arial"/>
          <w:szCs w:val="22"/>
        </w:rPr>
        <w:t>ANA RODRIGUEZ BARRANTES</w:t>
      </w:r>
    </w:p>
    <w:p w14:paraId="3C325147" w14:textId="77777777" w:rsidR="00264EEB" w:rsidRPr="00734D3B" w:rsidRDefault="00264EEB" w:rsidP="006139DA">
      <w:pPr>
        <w:jc w:val="center"/>
        <w:rPr>
          <w:rFonts w:cs="Arial"/>
          <w:szCs w:val="22"/>
        </w:rPr>
      </w:pPr>
    </w:p>
    <w:p w14:paraId="3403A3FD" w14:textId="6084BC2B" w:rsidR="002F6BBC" w:rsidRPr="00734D3B" w:rsidRDefault="0026024D" w:rsidP="006139DA">
      <w:pPr>
        <w:jc w:val="center"/>
        <w:rPr>
          <w:rFonts w:cs="Arial"/>
          <w:szCs w:val="22"/>
        </w:rPr>
      </w:pPr>
      <w:r w:rsidRPr="00734D3B">
        <w:rPr>
          <w:rFonts w:cs="Arial"/>
          <w:szCs w:val="22"/>
        </w:rPr>
        <w:t xml:space="preserve"> </w:t>
      </w:r>
    </w:p>
    <w:p w14:paraId="7164E53C" w14:textId="77777777" w:rsidR="00264EEB" w:rsidRPr="00734D3B" w:rsidRDefault="00264EEB" w:rsidP="00D7259E">
      <w:pPr>
        <w:ind w:firstLine="0"/>
        <w:rPr>
          <w:rFonts w:cs="Arial"/>
          <w:szCs w:val="22"/>
        </w:rPr>
      </w:pPr>
    </w:p>
    <w:p w14:paraId="46BB23D6" w14:textId="77777777" w:rsidR="00264EEB" w:rsidRPr="00734D3B" w:rsidRDefault="00264EEB" w:rsidP="00D7259E">
      <w:pPr>
        <w:rPr>
          <w:rFonts w:cs="Arial"/>
          <w:szCs w:val="22"/>
        </w:rPr>
      </w:pPr>
    </w:p>
    <w:p w14:paraId="145A9818" w14:textId="77777777" w:rsidR="00264EEB" w:rsidRPr="00734D3B" w:rsidRDefault="00264EEB" w:rsidP="006139DA">
      <w:pPr>
        <w:jc w:val="center"/>
        <w:rPr>
          <w:rFonts w:cs="Arial"/>
          <w:szCs w:val="22"/>
        </w:rPr>
      </w:pPr>
    </w:p>
    <w:p w14:paraId="728991E7" w14:textId="279F4583" w:rsidR="00264EEB" w:rsidRPr="00734D3B" w:rsidRDefault="00264EEB" w:rsidP="006139DA">
      <w:pPr>
        <w:ind w:firstLine="0"/>
        <w:jc w:val="center"/>
        <w:rPr>
          <w:rFonts w:cs="Arial"/>
          <w:szCs w:val="22"/>
        </w:rPr>
      </w:pPr>
      <w:r w:rsidRPr="00734D3B">
        <w:rPr>
          <w:rFonts w:cs="Arial"/>
          <w:szCs w:val="22"/>
        </w:rPr>
        <w:t>PROYECTO FINAL DE GRADUACIÓN PRESENTADO COMO</w:t>
      </w:r>
    </w:p>
    <w:p w14:paraId="22AF4C2C" w14:textId="243A7534" w:rsidR="00264EEB" w:rsidRPr="00734D3B" w:rsidRDefault="00264EEB" w:rsidP="006139DA">
      <w:pPr>
        <w:ind w:firstLine="0"/>
        <w:jc w:val="center"/>
        <w:rPr>
          <w:rFonts w:cs="Arial"/>
          <w:szCs w:val="22"/>
        </w:rPr>
      </w:pPr>
      <w:r w:rsidRPr="00734D3B">
        <w:rPr>
          <w:rFonts w:cs="Arial"/>
          <w:szCs w:val="22"/>
        </w:rPr>
        <w:t>REQUISITO PARCIAL PARA OPTAR POR EL TÍTULO DE</w:t>
      </w:r>
    </w:p>
    <w:p w14:paraId="3A09F433" w14:textId="77777777" w:rsidR="00264EEB" w:rsidRPr="00734D3B" w:rsidRDefault="00264EEB" w:rsidP="006139DA">
      <w:pPr>
        <w:ind w:firstLine="0"/>
        <w:jc w:val="center"/>
        <w:rPr>
          <w:rFonts w:cs="Arial"/>
          <w:szCs w:val="22"/>
        </w:rPr>
      </w:pPr>
      <w:r w:rsidRPr="00734D3B">
        <w:rPr>
          <w:rFonts w:cs="Arial"/>
          <w:szCs w:val="22"/>
        </w:rPr>
        <w:t>MAESTRÍA EN ADMINISTRACIÓN DE PROYECTOS</w:t>
      </w:r>
    </w:p>
    <w:p w14:paraId="2AEA158E" w14:textId="77777777" w:rsidR="00264EEB" w:rsidRPr="00734D3B" w:rsidRDefault="00264EEB" w:rsidP="006139DA">
      <w:pPr>
        <w:jc w:val="center"/>
        <w:rPr>
          <w:rFonts w:cs="Arial"/>
          <w:szCs w:val="22"/>
        </w:rPr>
      </w:pPr>
    </w:p>
    <w:p w14:paraId="34223360" w14:textId="77777777" w:rsidR="00264EEB" w:rsidRPr="00734D3B" w:rsidRDefault="00264EEB" w:rsidP="006139DA">
      <w:pPr>
        <w:jc w:val="center"/>
        <w:rPr>
          <w:rFonts w:cs="Arial"/>
          <w:szCs w:val="22"/>
        </w:rPr>
      </w:pPr>
    </w:p>
    <w:p w14:paraId="1F19C4EA" w14:textId="77777777" w:rsidR="00264EEB" w:rsidRPr="00734D3B" w:rsidRDefault="00264EEB" w:rsidP="006139DA">
      <w:pPr>
        <w:ind w:firstLine="0"/>
        <w:jc w:val="center"/>
        <w:rPr>
          <w:rFonts w:cs="Arial"/>
          <w:szCs w:val="22"/>
        </w:rPr>
      </w:pPr>
    </w:p>
    <w:p w14:paraId="3AA41315" w14:textId="71AF11B9" w:rsidR="00264EEB" w:rsidRPr="00734D3B" w:rsidRDefault="00264EEB" w:rsidP="006139DA">
      <w:pPr>
        <w:tabs>
          <w:tab w:val="left" w:pos="6510"/>
        </w:tabs>
        <w:jc w:val="center"/>
        <w:rPr>
          <w:rFonts w:cs="Arial"/>
          <w:szCs w:val="22"/>
        </w:rPr>
      </w:pPr>
    </w:p>
    <w:p w14:paraId="437CF0CF" w14:textId="77777777" w:rsidR="00264EEB" w:rsidRPr="00734D3B" w:rsidRDefault="00264EEB" w:rsidP="006139DA">
      <w:pPr>
        <w:ind w:firstLine="0"/>
        <w:jc w:val="center"/>
        <w:rPr>
          <w:rFonts w:cs="Arial"/>
          <w:szCs w:val="22"/>
        </w:rPr>
      </w:pPr>
      <w:r w:rsidRPr="00734D3B">
        <w:rPr>
          <w:rFonts w:cs="Arial"/>
          <w:szCs w:val="22"/>
        </w:rPr>
        <w:t>San José, Costa Rica</w:t>
      </w:r>
    </w:p>
    <w:p w14:paraId="2B2F096C" w14:textId="77777777" w:rsidR="00264EEB" w:rsidRPr="00734D3B" w:rsidRDefault="00264EEB" w:rsidP="006139DA">
      <w:pPr>
        <w:ind w:firstLine="0"/>
        <w:jc w:val="center"/>
        <w:rPr>
          <w:rFonts w:cs="Arial"/>
          <w:szCs w:val="22"/>
        </w:rPr>
      </w:pPr>
    </w:p>
    <w:p w14:paraId="03C4423B" w14:textId="2FA514E8" w:rsidR="00B93773" w:rsidRPr="00734D3B" w:rsidRDefault="00EF0982" w:rsidP="006139DA">
      <w:pPr>
        <w:ind w:firstLine="0"/>
        <w:jc w:val="center"/>
        <w:rPr>
          <w:rFonts w:cs="Arial"/>
          <w:szCs w:val="22"/>
        </w:rPr>
      </w:pPr>
      <w:r w:rsidRPr="00734D3B">
        <w:rPr>
          <w:rFonts w:cs="Arial"/>
          <w:szCs w:val="22"/>
        </w:rPr>
        <w:t>Abril, 2026</w:t>
      </w:r>
      <w:r w:rsidR="00264EEB" w:rsidRPr="00734D3B">
        <w:rPr>
          <w:rFonts w:cs="Arial"/>
          <w:szCs w:val="22"/>
        </w:rPr>
        <w:br w:type="page"/>
      </w:r>
    </w:p>
    <w:p w14:paraId="46892E01" w14:textId="67A7F1FD" w:rsidR="00264EEB" w:rsidRPr="00734D3B" w:rsidRDefault="00264EEB" w:rsidP="006139DA">
      <w:pPr>
        <w:ind w:firstLine="0"/>
        <w:jc w:val="center"/>
        <w:rPr>
          <w:rFonts w:cs="Arial"/>
          <w:szCs w:val="22"/>
        </w:rPr>
      </w:pPr>
      <w:r w:rsidRPr="00734D3B">
        <w:rPr>
          <w:rFonts w:cs="Arial"/>
          <w:szCs w:val="22"/>
        </w:rPr>
        <w:lastRenderedPageBreak/>
        <w:t>UNIVERSIDAD PARA LA COOPERACIÓN INTERNACIONAL</w:t>
      </w:r>
    </w:p>
    <w:p w14:paraId="17B6B7EE" w14:textId="77777777" w:rsidR="00264EEB" w:rsidRPr="00734D3B" w:rsidRDefault="00264EEB" w:rsidP="006139DA">
      <w:pPr>
        <w:ind w:firstLine="0"/>
        <w:jc w:val="center"/>
        <w:rPr>
          <w:rFonts w:cs="Arial"/>
          <w:szCs w:val="22"/>
        </w:rPr>
      </w:pPr>
      <w:r w:rsidRPr="00734D3B">
        <w:rPr>
          <w:rFonts w:cs="Arial"/>
          <w:szCs w:val="22"/>
        </w:rPr>
        <w:t>(UCI)</w:t>
      </w:r>
    </w:p>
    <w:p w14:paraId="57BAD796" w14:textId="77777777" w:rsidR="00264EEB" w:rsidRPr="00734D3B" w:rsidRDefault="00264EEB" w:rsidP="006139DA">
      <w:pPr>
        <w:jc w:val="center"/>
        <w:rPr>
          <w:rFonts w:cs="Arial"/>
          <w:szCs w:val="22"/>
        </w:rPr>
      </w:pPr>
    </w:p>
    <w:p w14:paraId="35ED8330" w14:textId="77777777" w:rsidR="00264EEB" w:rsidRPr="00734D3B" w:rsidRDefault="00264EEB" w:rsidP="006139DA">
      <w:pPr>
        <w:ind w:firstLine="0"/>
        <w:jc w:val="center"/>
        <w:rPr>
          <w:rFonts w:cs="Arial"/>
          <w:szCs w:val="22"/>
        </w:rPr>
      </w:pPr>
      <w:r w:rsidRPr="00734D3B">
        <w:rPr>
          <w:rFonts w:cs="Arial"/>
          <w:szCs w:val="22"/>
        </w:rPr>
        <w:t>Este Proyecto Final de Graduación fue aprobado por la Universidad como</w:t>
      </w:r>
    </w:p>
    <w:p w14:paraId="73CE9F47" w14:textId="77777777" w:rsidR="00264EEB" w:rsidRPr="00734D3B" w:rsidRDefault="00264EEB" w:rsidP="006139DA">
      <w:pPr>
        <w:ind w:firstLine="0"/>
        <w:jc w:val="center"/>
        <w:rPr>
          <w:rFonts w:cs="Arial"/>
          <w:szCs w:val="22"/>
        </w:rPr>
      </w:pPr>
      <w:r w:rsidRPr="00734D3B">
        <w:rPr>
          <w:rFonts w:cs="Arial"/>
          <w:szCs w:val="22"/>
        </w:rPr>
        <w:t>requisito parcial para optar al grado de Maestría en Administración de Proyectos</w:t>
      </w:r>
    </w:p>
    <w:p w14:paraId="58C154A3" w14:textId="77777777" w:rsidR="00264EEB" w:rsidRPr="00734D3B" w:rsidRDefault="00264EEB" w:rsidP="006139DA">
      <w:pPr>
        <w:jc w:val="center"/>
        <w:rPr>
          <w:rFonts w:cs="Arial"/>
          <w:szCs w:val="22"/>
        </w:rPr>
      </w:pPr>
    </w:p>
    <w:p w14:paraId="0BD8D626" w14:textId="77777777" w:rsidR="00264EEB" w:rsidRPr="00734D3B" w:rsidRDefault="00264EEB" w:rsidP="006139DA">
      <w:pPr>
        <w:ind w:firstLine="0"/>
        <w:jc w:val="center"/>
        <w:rPr>
          <w:rFonts w:cs="Arial"/>
          <w:szCs w:val="22"/>
        </w:rPr>
      </w:pPr>
    </w:p>
    <w:p w14:paraId="189C169F" w14:textId="77777777" w:rsidR="00264EEB" w:rsidRPr="00734D3B" w:rsidRDefault="00264EEB" w:rsidP="006139DA">
      <w:pPr>
        <w:jc w:val="center"/>
        <w:rPr>
          <w:rFonts w:cs="Arial"/>
          <w:szCs w:val="22"/>
        </w:rPr>
      </w:pPr>
    </w:p>
    <w:p w14:paraId="371C88AF" w14:textId="2D84706A" w:rsidR="00264EEB" w:rsidRPr="00734D3B" w:rsidRDefault="00264EEB" w:rsidP="006139DA">
      <w:pPr>
        <w:ind w:firstLine="0"/>
        <w:jc w:val="center"/>
        <w:rPr>
          <w:rFonts w:cs="Arial"/>
          <w:szCs w:val="22"/>
        </w:rPr>
      </w:pPr>
      <w:r w:rsidRPr="00734D3B">
        <w:rPr>
          <w:rFonts w:cs="Arial"/>
          <w:szCs w:val="22"/>
        </w:rPr>
        <w:t>____</w:t>
      </w:r>
      <w:r w:rsidR="00957F5B" w:rsidRPr="00734D3B">
        <w:rPr>
          <w:rFonts w:cs="Arial"/>
          <w:szCs w:val="22"/>
        </w:rPr>
        <w:t>___</w:t>
      </w:r>
      <w:r w:rsidRPr="00734D3B">
        <w:rPr>
          <w:rFonts w:cs="Arial"/>
          <w:szCs w:val="22"/>
        </w:rPr>
        <w:t>_</w:t>
      </w:r>
      <w:r w:rsidR="00957F5B" w:rsidRPr="00734D3B">
        <w:rPr>
          <w:rFonts w:cs="Arial"/>
          <w:szCs w:val="22"/>
        </w:rPr>
        <w:t>__</w:t>
      </w:r>
      <w:r w:rsidRPr="00734D3B">
        <w:rPr>
          <w:rFonts w:cs="Arial"/>
          <w:szCs w:val="22"/>
        </w:rPr>
        <w:t>_</w:t>
      </w:r>
      <w:r w:rsidR="00957F5B" w:rsidRPr="00734D3B">
        <w:rPr>
          <w:rFonts w:cs="Arial"/>
          <w:szCs w:val="22"/>
          <w:u w:val="single"/>
        </w:rPr>
        <w:t>Fabio Muñoz Jiménez</w:t>
      </w:r>
      <w:r w:rsidRPr="00734D3B">
        <w:rPr>
          <w:rFonts w:cs="Arial"/>
          <w:szCs w:val="22"/>
        </w:rPr>
        <w:t>_____</w:t>
      </w:r>
      <w:r w:rsidR="00957F5B" w:rsidRPr="00734D3B">
        <w:rPr>
          <w:rFonts w:cs="Arial"/>
          <w:szCs w:val="22"/>
        </w:rPr>
        <w:t>___</w:t>
      </w:r>
      <w:r w:rsidRPr="00734D3B">
        <w:rPr>
          <w:rFonts w:cs="Arial"/>
          <w:szCs w:val="22"/>
        </w:rPr>
        <w:t>___</w:t>
      </w:r>
    </w:p>
    <w:p w14:paraId="5CB480E2" w14:textId="77777777" w:rsidR="00264EEB" w:rsidRPr="00734D3B" w:rsidRDefault="00264EEB" w:rsidP="006139DA">
      <w:pPr>
        <w:ind w:firstLine="0"/>
        <w:jc w:val="center"/>
        <w:rPr>
          <w:rFonts w:cs="Arial"/>
          <w:szCs w:val="22"/>
        </w:rPr>
      </w:pPr>
      <w:r w:rsidRPr="00734D3B">
        <w:rPr>
          <w:rFonts w:cs="Arial"/>
          <w:szCs w:val="22"/>
        </w:rPr>
        <w:t>NOMBRE DEL TUTOR O TUTORA</w:t>
      </w:r>
    </w:p>
    <w:p w14:paraId="13C139BE" w14:textId="77777777" w:rsidR="00264EEB" w:rsidRPr="00734D3B" w:rsidRDefault="00264EEB" w:rsidP="006139DA">
      <w:pPr>
        <w:jc w:val="center"/>
        <w:rPr>
          <w:rFonts w:cs="Arial"/>
          <w:szCs w:val="22"/>
        </w:rPr>
      </w:pPr>
    </w:p>
    <w:p w14:paraId="5372627F" w14:textId="77777777" w:rsidR="00C92C40" w:rsidRPr="00734D3B" w:rsidRDefault="00C92C40" w:rsidP="00C92C40">
      <w:pPr>
        <w:jc w:val="center"/>
        <w:rPr>
          <w:rFonts w:cs="Arial"/>
          <w:szCs w:val="22"/>
        </w:rPr>
      </w:pPr>
    </w:p>
    <w:p w14:paraId="66397D06" w14:textId="6D30A5E1" w:rsidR="00C92C40" w:rsidRPr="00734D3B" w:rsidRDefault="00C92C40" w:rsidP="00C92C40">
      <w:pPr>
        <w:ind w:firstLine="0"/>
        <w:jc w:val="center"/>
        <w:rPr>
          <w:rFonts w:cs="Arial"/>
          <w:szCs w:val="22"/>
        </w:rPr>
      </w:pPr>
      <w:r w:rsidRPr="00734D3B">
        <w:rPr>
          <w:rFonts w:cs="Arial"/>
          <w:szCs w:val="22"/>
        </w:rPr>
        <w:t>___________</w:t>
      </w:r>
      <w:r>
        <w:rPr>
          <w:rFonts w:cs="Arial"/>
          <w:szCs w:val="22"/>
          <w:u w:val="single"/>
        </w:rPr>
        <w:t>Osvaldo Martinez</w:t>
      </w:r>
      <w:r w:rsidRPr="00734D3B">
        <w:rPr>
          <w:rFonts w:cs="Arial"/>
          <w:szCs w:val="22"/>
        </w:rPr>
        <w:t>___________</w:t>
      </w:r>
    </w:p>
    <w:p w14:paraId="6372203F" w14:textId="77777777" w:rsidR="00264EEB" w:rsidRPr="00734D3B" w:rsidRDefault="00264EEB" w:rsidP="006139DA">
      <w:pPr>
        <w:ind w:firstLine="0"/>
        <w:jc w:val="center"/>
        <w:rPr>
          <w:rFonts w:cs="Arial"/>
          <w:szCs w:val="22"/>
        </w:rPr>
      </w:pPr>
      <w:r w:rsidRPr="00734D3B">
        <w:rPr>
          <w:rFonts w:cs="Arial"/>
          <w:szCs w:val="22"/>
        </w:rPr>
        <w:t>NOMBRE DEL PROFESOR(A) LECTOR(A) No.1</w:t>
      </w:r>
    </w:p>
    <w:p w14:paraId="4098A2B1" w14:textId="44238448" w:rsidR="00264EEB" w:rsidRDefault="00264EEB" w:rsidP="006139DA">
      <w:pPr>
        <w:ind w:firstLine="0"/>
        <w:jc w:val="center"/>
        <w:rPr>
          <w:rFonts w:cs="Arial"/>
          <w:szCs w:val="22"/>
        </w:rPr>
      </w:pPr>
    </w:p>
    <w:p w14:paraId="58DBCFB6" w14:textId="77777777" w:rsidR="00C92C40" w:rsidRPr="00734D3B" w:rsidRDefault="00C92C40" w:rsidP="00C92C40">
      <w:pPr>
        <w:ind w:firstLine="0"/>
        <w:jc w:val="center"/>
        <w:rPr>
          <w:rFonts w:cs="Arial"/>
          <w:szCs w:val="22"/>
        </w:rPr>
      </w:pPr>
      <w:r w:rsidRPr="00734D3B">
        <w:rPr>
          <w:rFonts w:cs="Arial"/>
          <w:szCs w:val="22"/>
        </w:rPr>
        <w:t>___________</w:t>
      </w:r>
      <w:r>
        <w:rPr>
          <w:rFonts w:cs="Arial"/>
          <w:szCs w:val="22"/>
          <w:u w:val="single"/>
        </w:rPr>
        <w:t>Roger Valverde</w:t>
      </w:r>
      <w:r w:rsidRPr="00734D3B">
        <w:rPr>
          <w:rFonts w:cs="Arial"/>
          <w:szCs w:val="22"/>
          <w:u w:val="single"/>
        </w:rPr>
        <w:t xml:space="preserve"> Jiménez</w:t>
      </w:r>
      <w:r w:rsidRPr="00734D3B">
        <w:rPr>
          <w:rFonts w:cs="Arial"/>
          <w:szCs w:val="22"/>
        </w:rPr>
        <w:t>___________</w:t>
      </w:r>
    </w:p>
    <w:p w14:paraId="3AA630D9" w14:textId="77777777" w:rsidR="00264EEB" w:rsidRDefault="00264EEB" w:rsidP="006139DA">
      <w:pPr>
        <w:ind w:firstLine="0"/>
        <w:jc w:val="center"/>
        <w:rPr>
          <w:rFonts w:cs="Arial"/>
          <w:szCs w:val="22"/>
        </w:rPr>
      </w:pPr>
      <w:r w:rsidRPr="00734D3B">
        <w:rPr>
          <w:rFonts w:cs="Arial"/>
          <w:szCs w:val="22"/>
        </w:rPr>
        <w:t>NOMBRE DEL PROFESOR(A) LECTOR(A) No.2</w:t>
      </w:r>
    </w:p>
    <w:p w14:paraId="1994D542" w14:textId="77777777" w:rsidR="00C92C40" w:rsidRPr="00734D3B" w:rsidRDefault="00C92C40" w:rsidP="006139DA">
      <w:pPr>
        <w:ind w:firstLine="0"/>
        <w:jc w:val="center"/>
        <w:rPr>
          <w:rFonts w:cs="Arial"/>
          <w:szCs w:val="22"/>
        </w:rPr>
      </w:pPr>
    </w:p>
    <w:p w14:paraId="2071888E" w14:textId="77777777" w:rsidR="00C92C40" w:rsidRPr="00734D3B" w:rsidRDefault="00C92C40" w:rsidP="00C92C40">
      <w:pPr>
        <w:ind w:firstLine="0"/>
        <w:jc w:val="center"/>
        <w:rPr>
          <w:rFonts w:cs="Arial"/>
          <w:szCs w:val="22"/>
        </w:rPr>
      </w:pPr>
      <w:r w:rsidRPr="00734D3B">
        <w:rPr>
          <w:rFonts w:cs="Arial"/>
          <w:szCs w:val="22"/>
        </w:rPr>
        <w:t>___________</w:t>
      </w:r>
      <w:r>
        <w:rPr>
          <w:rFonts w:cs="Arial"/>
          <w:szCs w:val="22"/>
          <w:u w:val="single"/>
        </w:rPr>
        <w:t>Ana Rodriguez Barrantes</w:t>
      </w:r>
      <w:r w:rsidRPr="00734D3B">
        <w:rPr>
          <w:rFonts w:cs="Arial"/>
          <w:szCs w:val="22"/>
        </w:rPr>
        <w:t>___________</w:t>
      </w:r>
    </w:p>
    <w:p w14:paraId="6405F055" w14:textId="77777777" w:rsidR="00264EEB" w:rsidRPr="00734D3B" w:rsidRDefault="00264EEB" w:rsidP="006139DA">
      <w:pPr>
        <w:ind w:firstLine="0"/>
        <w:jc w:val="center"/>
        <w:rPr>
          <w:rFonts w:cs="Arial"/>
          <w:szCs w:val="22"/>
        </w:rPr>
      </w:pPr>
      <w:r w:rsidRPr="00734D3B">
        <w:rPr>
          <w:rFonts w:cs="Arial"/>
          <w:szCs w:val="22"/>
        </w:rPr>
        <w:t>NOMBRE DE LA PERSONA SUSTENTANTE</w:t>
      </w:r>
    </w:p>
    <w:p w14:paraId="52E1CFEF" w14:textId="77777777" w:rsidR="00264EEB" w:rsidRPr="00734D3B" w:rsidRDefault="00264EEB" w:rsidP="006139DA">
      <w:pPr>
        <w:jc w:val="center"/>
        <w:rPr>
          <w:rFonts w:cs="Arial"/>
          <w:szCs w:val="22"/>
        </w:rPr>
      </w:pPr>
    </w:p>
    <w:p w14:paraId="3BF2E29C" w14:textId="0F57D0CD" w:rsidR="00264EEB" w:rsidRPr="00734D3B" w:rsidRDefault="00264EEB" w:rsidP="00673CDD">
      <w:pPr>
        <w:ind w:firstLine="0"/>
      </w:pPr>
      <w:r w:rsidRPr="00734D3B">
        <w:br w:type="page"/>
      </w:r>
      <w:bookmarkStart w:id="17" w:name="_Toc128552726"/>
      <w:bookmarkStart w:id="18" w:name="_Toc129687887"/>
      <w:bookmarkStart w:id="19" w:name="_Toc130342024"/>
      <w:bookmarkStart w:id="20" w:name="_Toc129687790"/>
      <w:bookmarkStart w:id="21" w:name="_Toc129077946"/>
      <w:bookmarkStart w:id="22" w:name="_Toc128550972"/>
      <w:bookmarkStart w:id="23" w:name="_Toc129078342"/>
      <w:bookmarkStart w:id="24" w:name="_Toc128550358"/>
      <w:bookmarkStart w:id="25" w:name="_Toc128550543"/>
      <w:bookmarkStart w:id="26" w:name="_Toc128550810"/>
      <w:bookmarkStart w:id="27" w:name="_Toc128550676"/>
      <w:bookmarkStart w:id="28" w:name="_Toc129078476"/>
      <w:r w:rsidRPr="00734D3B">
        <w:rPr>
          <w:rFonts w:cs="Arial"/>
          <w:b/>
          <w:bCs/>
          <w:szCs w:val="22"/>
        </w:rPr>
        <w:lastRenderedPageBreak/>
        <w:t>DEDICATORIA</w:t>
      </w:r>
      <w:bookmarkEnd w:id="17"/>
      <w:bookmarkEnd w:id="18"/>
      <w:bookmarkEnd w:id="19"/>
      <w:bookmarkEnd w:id="20"/>
      <w:bookmarkEnd w:id="21"/>
      <w:bookmarkEnd w:id="22"/>
      <w:bookmarkEnd w:id="23"/>
      <w:bookmarkEnd w:id="24"/>
      <w:bookmarkEnd w:id="25"/>
      <w:bookmarkEnd w:id="26"/>
      <w:bookmarkEnd w:id="27"/>
      <w:bookmarkEnd w:id="28"/>
    </w:p>
    <w:p w14:paraId="6A008BD9" w14:textId="77777777" w:rsidR="00A45573" w:rsidRPr="00734D3B" w:rsidRDefault="00215265" w:rsidP="00A45573">
      <w:pPr>
        <w:ind w:firstLine="706"/>
        <w:rPr>
          <w:rFonts w:cs="Arial"/>
          <w:szCs w:val="22"/>
        </w:rPr>
      </w:pPr>
      <w:bookmarkStart w:id="29" w:name="_Toc128550677"/>
      <w:bookmarkStart w:id="30" w:name="_Toc130342025"/>
      <w:bookmarkStart w:id="31" w:name="_Toc128550359"/>
      <w:bookmarkStart w:id="32" w:name="_Toc128550544"/>
      <w:bookmarkStart w:id="33" w:name="_Toc129078477"/>
      <w:bookmarkStart w:id="34" w:name="_Toc129078343"/>
      <w:bookmarkStart w:id="35" w:name="_Toc128552727"/>
      <w:bookmarkStart w:id="36" w:name="_Toc129687888"/>
      <w:bookmarkStart w:id="37" w:name="_Toc129687791"/>
      <w:bookmarkStart w:id="38" w:name="_Toc128550811"/>
      <w:bookmarkStart w:id="39" w:name="_Toc128550973"/>
      <w:bookmarkStart w:id="40" w:name="_Toc129077947"/>
      <w:r w:rsidRPr="00734D3B">
        <w:rPr>
          <w:rFonts w:cs="Arial"/>
          <w:szCs w:val="22"/>
        </w:rPr>
        <w:t xml:space="preserve">Dedico el presente trabajo a mi madre, por su apoyo incondicional y constante a lo largo de mi formación académica, así como por su motivación </w:t>
      </w:r>
      <w:r w:rsidR="00211B64" w:rsidRPr="00734D3B">
        <w:rPr>
          <w:rFonts w:cs="Arial"/>
          <w:szCs w:val="22"/>
        </w:rPr>
        <w:t>constante</w:t>
      </w:r>
      <w:r w:rsidRPr="00734D3B">
        <w:rPr>
          <w:rFonts w:cs="Arial"/>
          <w:szCs w:val="22"/>
        </w:rPr>
        <w:t xml:space="preserve"> para la </w:t>
      </w:r>
      <w:r w:rsidR="00211B64" w:rsidRPr="00734D3B">
        <w:rPr>
          <w:rFonts w:cs="Arial"/>
          <w:szCs w:val="22"/>
        </w:rPr>
        <w:t>obtención</w:t>
      </w:r>
      <w:r w:rsidRPr="00734D3B">
        <w:rPr>
          <w:rFonts w:cs="Arial"/>
          <w:szCs w:val="22"/>
        </w:rPr>
        <w:t xml:space="preserve"> de mis metas profesionales.</w:t>
      </w:r>
    </w:p>
    <w:p w14:paraId="19330AB7" w14:textId="7FF0C3F3" w:rsidR="00215265" w:rsidRPr="00734D3B" w:rsidRDefault="00EF42FE" w:rsidP="00A41602">
      <w:pPr>
        <w:ind w:firstLine="706"/>
        <w:rPr>
          <w:rFonts w:cs="Arial"/>
          <w:szCs w:val="22"/>
        </w:rPr>
      </w:pPr>
      <w:r w:rsidRPr="00734D3B">
        <w:rPr>
          <w:rFonts w:cs="Arial"/>
          <w:szCs w:val="22"/>
        </w:rPr>
        <w:t>E</w:t>
      </w:r>
      <w:r w:rsidR="00215265" w:rsidRPr="00734D3B">
        <w:rPr>
          <w:rFonts w:cs="Arial"/>
          <w:szCs w:val="22"/>
        </w:rPr>
        <w:t>xpreso mi agradecimiento a mis compañeros y excompañeros</w:t>
      </w:r>
      <w:r w:rsidR="006647CD" w:rsidRPr="00734D3B">
        <w:rPr>
          <w:rFonts w:cs="Arial"/>
          <w:szCs w:val="22"/>
        </w:rPr>
        <w:t xml:space="preserve"> de trabajo</w:t>
      </w:r>
      <w:r w:rsidR="00215265" w:rsidRPr="00734D3B">
        <w:rPr>
          <w:rFonts w:cs="Arial"/>
          <w:szCs w:val="22"/>
        </w:rPr>
        <w:t>, quienes, con su acompañamiento e inspiración, contribuyeron de manera significativa al desarrollo de este proyecto.</w:t>
      </w:r>
    </w:p>
    <w:p w14:paraId="4D499A4B" w14:textId="77777777" w:rsidR="00673CDD" w:rsidRPr="00734D3B" w:rsidRDefault="00673CDD">
      <w:pPr>
        <w:spacing w:line="240" w:lineRule="auto"/>
        <w:ind w:firstLine="0"/>
        <w:rPr>
          <w:rFonts w:cs="Arial"/>
          <w:b/>
          <w:bCs/>
          <w:szCs w:val="22"/>
        </w:rPr>
      </w:pPr>
      <w:r w:rsidRPr="00734D3B">
        <w:rPr>
          <w:rFonts w:cs="Arial"/>
          <w:b/>
          <w:bCs/>
          <w:szCs w:val="22"/>
        </w:rPr>
        <w:br w:type="page"/>
      </w:r>
    </w:p>
    <w:p w14:paraId="43E30D61" w14:textId="0FEB347F" w:rsidR="00264EEB" w:rsidRPr="00734D3B" w:rsidRDefault="00673CDD" w:rsidP="00673CDD">
      <w:pPr>
        <w:ind w:firstLine="0"/>
        <w:rPr>
          <w:rFonts w:cs="Arial"/>
          <w:b/>
          <w:bCs/>
          <w:szCs w:val="22"/>
        </w:rPr>
      </w:pPr>
      <w:r w:rsidRPr="00734D3B">
        <w:rPr>
          <w:rFonts w:cs="Arial"/>
          <w:b/>
          <w:bCs/>
          <w:szCs w:val="22"/>
        </w:rPr>
        <w:lastRenderedPageBreak/>
        <w:t>A</w:t>
      </w:r>
      <w:r w:rsidR="00264EEB" w:rsidRPr="00734D3B">
        <w:rPr>
          <w:b/>
          <w:bCs/>
        </w:rPr>
        <w:t>GRADECIMIENTOS</w:t>
      </w:r>
      <w:bookmarkEnd w:id="29"/>
      <w:bookmarkEnd w:id="30"/>
      <w:bookmarkEnd w:id="31"/>
      <w:bookmarkEnd w:id="32"/>
      <w:bookmarkEnd w:id="33"/>
      <w:bookmarkEnd w:id="34"/>
      <w:bookmarkEnd w:id="35"/>
      <w:bookmarkEnd w:id="36"/>
      <w:bookmarkEnd w:id="37"/>
      <w:bookmarkEnd w:id="38"/>
      <w:bookmarkEnd w:id="39"/>
      <w:bookmarkEnd w:id="40"/>
    </w:p>
    <w:p w14:paraId="4CC5BC18" w14:textId="77777777" w:rsidR="00C03B51" w:rsidRPr="00734D3B" w:rsidRDefault="00535669" w:rsidP="00A30450">
      <w:pPr>
        <w:ind w:firstLine="706"/>
        <w:rPr>
          <w:rFonts w:cs="Arial"/>
          <w:szCs w:val="22"/>
        </w:rPr>
      </w:pPr>
      <w:r w:rsidRPr="00734D3B">
        <w:rPr>
          <w:rFonts w:cs="Arial"/>
          <w:szCs w:val="22"/>
        </w:rPr>
        <w:t>Expreso mi agradecimiento a todas las personas que hicieron posible la realización del presente trabajo, en especial a los participantes, por su disposición y valiosa colaboración a lo largo del proceso.</w:t>
      </w:r>
    </w:p>
    <w:p w14:paraId="42DCBE46" w14:textId="77777777" w:rsidR="00ED597D" w:rsidRPr="00734D3B" w:rsidRDefault="00535669" w:rsidP="00C03B51">
      <w:pPr>
        <w:ind w:firstLine="706"/>
        <w:rPr>
          <w:rFonts w:cs="Arial"/>
          <w:szCs w:val="22"/>
        </w:rPr>
      </w:pPr>
      <w:r w:rsidRPr="00734D3B">
        <w:rPr>
          <w:rFonts w:cs="Arial"/>
          <w:szCs w:val="22"/>
        </w:rPr>
        <w:t>Asimismo, agradezco a los docentes y colaboradores por su orientación académica, apoyo constante y los conocimientos aportados durante el desarrollo de esta investigación.</w:t>
      </w:r>
    </w:p>
    <w:p w14:paraId="4C741D20" w14:textId="4B608AC4" w:rsidR="00535669" w:rsidRPr="00734D3B" w:rsidRDefault="00535669" w:rsidP="00ED597D">
      <w:pPr>
        <w:ind w:firstLine="706"/>
        <w:rPr>
          <w:rFonts w:cs="Arial"/>
          <w:szCs w:val="22"/>
        </w:rPr>
      </w:pPr>
      <w:r w:rsidRPr="00734D3B">
        <w:rPr>
          <w:rFonts w:cs="Arial"/>
          <w:szCs w:val="22"/>
        </w:rPr>
        <w:t xml:space="preserve">De manera especial, extiendo mi agradecimiento a Switch Electric/ </w:t>
      </w:r>
      <w:proofErr w:type="spellStart"/>
      <w:r w:rsidRPr="00734D3B">
        <w:rPr>
          <w:rFonts w:cs="Arial"/>
          <w:szCs w:val="22"/>
        </w:rPr>
        <w:t>Loenbro</w:t>
      </w:r>
      <w:proofErr w:type="spellEnd"/>
      <w:r w:rsidRPr="00734D3B">
        <w:rPr>
          <w:rFonts w:cs="Arial"/>
          <w:szCs w:val="22"/>
        </w:rPr>
        <w:t xml:space="preserve"> por el apoyo brindado y su contribución al desarrollo del presente trabajo.</w:t>
      </w:r>
    </w:p>
    <w:p w14:paraId="3A9CA852" w14:textId="77777777" w:rsidR="00264EEB" w:rsidRPr="00734D3B" w:rsidRDefault="00264EEB" w:rsidP="00D7259E">
      <w:pPr>
        <w:rPr>
          <w:rFonts w:cs="Arial"/>
          <w:szCs w:val="22"/>
          <w:highlight w:val="yellow"/>
        </w:rPr>
      </w:pPr>
    </w:p>
    <w:p w14:paraId="26F21E84" w14:textId="77777777" w:rsidR="00264EEB" w:rsidRPr="00734D3B" w:rsidRDefault="00264EEB" w:rsidP="00D7259E">
      <w:pPr>
        <w:rPr>
          <w:rFonts w:cs="Arial"/>
          <w:szCs w:val="22"/>
          <w:highlight w:val="yellow"/>
        </w:rPr>
      </w:pPr>
    </w:p>
    <w:p w14:paraId="318987CB" w14:textId="77777777" w:rsidR="00264EEB" w:rsidRPr="00734D3B" w:rsidRDefault="00264EEB" w:rsidP="00D7259E">
      <w:pPr>
        <w:rPr>
          <w:rFonts w:cs="Arial"/>
          <w:szCs w:val="22"/>
          <w:highlight w:val="yellow"/>
        </w:rPr>
      </w:pPr>
    </w:p>
    <w:p w14:paraId="042B486C" w14:textId="77777777" w:rsidR="00264EEB" w:rsidRPr="00734D3B" w:rsidRDefault="00264EEB" w:rsidP="00D7259E">
      <w:pPr>
        <w:rPr>
          <w:rFonts w:cs="Arial"/>
          <w:szCs w:val="22"/>
          <w:highlight w:val="yellow"/>
        </w:rPr>
      </w:pPr>
    </w:p>
    <w:p w14:paraId="0B860A44" w14:textId="77777777" w:rsidR="00264EEB" w:rsidRPr="00734D3B" w:rsidRDefault="00264EEB" w:rsidP="00D7259E">
      <w:pPr>
        <w:rPr>
          <w:rFonts w:cs="Arial"/>
          <w:szCs w:val="22"/>
          <w:highlight w:val="yellow"/>
        </w:rPr>
      </w:pPr>
    </w:p>
    <w:p w14:paraId="30447A91" w14:textId="77777777" w:rsidR="00264EEB" w:rsidRPr="00734D3B" w:rsidRDefault="00264EEB" w:rsidP="00D7259E">
      <w:pPr>
        <w:rPr>
          <w:rFonts w:cs="Arial"/>
          <w:szCs w:val="22"/>
          <w:highlight w:val="yellow"/>
        </w:rPr>
      </w:pPr>
    </w:p>
    <w:p w14:paraId="4E1ED86E" w14:textId="77777777" w:rsidR="00264EEB" w:rsidRPr="00734D3B" w:rsidRDefault="00264EEB" w:rsidP="00D7259E">
      <w:pPr>
        <w:rPr>
          <w:rFonts w:cs="Arial"/>
          <w:szCs w:val="22"/>
          <w:highlight w:val="yellow"/>
        </w:rPr>
      </w:pPr>
    </w:p>
    <w:p w14:paraId="1061BFF1" w14:textId="77777777" w:rsidR="00264EEB" w:rsidRPr="00734D3B" w:rsidRDefault="00264EEB" w:rsidP="00D7259E">
      <w:pPr>
        <w:rPr>
          <w:rFonts w:cs="Arial"/>
          <w:szCs w:val="22"/>
          <w:highlight w:val="yellow"/>
        </w:rPr>
      </w:pPr>
    </w:p>
    <w:p w14:paraId="110D3B13" w14:textId="77777777" w:rsidR="00264EEB" w:rsidRPr="00734D3B" w:rsidRDefault="00264EEB" w:rsidP="00D7259E">
      <w:pPr>
        <w:rPr>
          <w:rFonts w:cs="Arial"/>
          <w:szCs w:val="22"/>
          <w:highlight w:val="yellow"/>
        </w:rPr>
      </w:pPr>
    </w:p>
    <w:p w14:paraId="439FF60F" w14:textId="77777777" w:rsidR="00264EEB" w:rsidRPr="00734D3B" w:rsidRDefault="00264EEB" w:rsidP="00D7259E">
      <w:pPr>
        <w:rPr>
          <w:rFonts w:cs="Arial"/>
          <w:szCs w:val="22"/>
          <w:highlight w:val="yellow"/>
        </w:rPr>
      </w:pPr>
    </w:p>
    <w:p w14:paraId="6AAF7317" w14:textId="77777777" w:rsidR="00264EEB" w:rsidRPr="00734D3B" w:rsidRDefault="00264EEB" w:rsidP="00D7259E">
      <w:pPr>
        <w:rPr>
          <w:rFonts w:cs="Arial"/>
          <w:szCs w:val="22"/>
          <w:highlight w:val="yellow"/>
        </w:rPr>
      </w:pPr>
    </w:p>
    <w:p w14:paraId="67DF2ACB" w14:textId="77777777" w:rsidR="00264EEB" w:rsidRPr="00734D3B" w:rsidRDefault="00264EEB" w:rsidP="00D7259E">
      <w:pPr>
        <w:rPr>
          <w:rFonts w:cs="Arial"/>
          <w:szCs w:val="22"/>
          <w:highlight w:val="yellow"/>
        </w:rPr>
      </w:pPr>
    </w:p>
    <w:p w14:paraId="7779AE18" w14:textId="77777777" w:rsidR="00264EEB" w:rsidRPr="00734D3B" w:rsidRDefault="00264EEB" w:rsidP="00D7259E">
      <w:pPr>
        <w:rPr>
          <w:rFonts w:cs="Arial"/>
          <w:szCs w:val="22"/>
          <w:highlight w:val="yellow"/>
        </w:rPr>
      </w:pPr>
    </w:p>
    <w:p w14:paraId="1218D4B2" w14:textId="77777777" w:rsidR="00264EEB" w:rsidRPr="00734D3B" w:rsidRDefault="00264EEB" w:rsidP="00D7259E">
      <w:pPr>
        <w:rPr>
          <w:rFonts w:cs="Arial"/>
          <w:szCs w:val="22"/>
          <w:highlight w:val="yellow"/>
        </w:rPr>
      </w:pPr>
    </w:p>
    <w:p w14:paraId="5DA45B72" w14:textId="77777777" w:rsidR="00264EEB" w:rsidRPr="00734D3B" w:rsidRDefault="00264EEB" w:rsidP="00D7259E">
      <w:pPr>
        <w:rPr>
          <w:rFonts w:cs="Arial"/>
          <w:szCs w:val="22"/>
          <w:highlight w:val="yellow"/>
        </w:rPr>
      </w:pPr>
    </w:p>
    <w:p w14:paraId="055519C1" w14:textId="77777777" w:rsidR="00264EEB" w:rsidRPr="00734D3B" w:rsidRDefault="00264EEB" w:rsidP="00D7259E">
      <w:pPr>
        <w:rPr>
          <w:rFonts w:cs="Arial"/>
          <w:szCs w:val="22"/>
          <w:highlight w:val="yellow"/>
        </w:rPr>
      </w:pPr>
    </w:p>
    <w:p w14:paraId="2CC9C5D3" w14:textId="77777777" w:rsidR="00264EEB" w:rsidRPr="00734D3B" w:rsidRDefault="00264EEB" w:rsidP="00D7259E">
      <w:pPr>
        <w:rPr>
          <w:rFonts w:cs="Arial"/>
          <w:szCs w:val="22"/>
          <w:highlight w:val="yellow"/>
        </w:rPr>
      </w:pPr>
    </w:p>
    <w:p w14:paraId="2957FE85" w14:textId="77777777" w:rsidR="00264EEB" w:rsidRPr="00734D3B" w:rsidRDefault="00264EEB" w:rsidP="004E7F95">
      <w:pPr>
        <w:ind w:firstLine="0"/>
        <w:rPr>
          <w:b/>
          <w:bCs/>
        </w:rPr>
      </w:pPr>
      <w:r w:rsidRPr="00734D3B">
        <w:rPr>
          <w:b/>
          <w:bCs/>
        </w:rPr>
        <w:lastRenderedPageBreak/>
        <w:t>ABSTRACT</w:t>
      </w:r>
    </w:p>
    <w:p w14:paraId="138DB987" w14:textId="77777777" w:rsidR="009F2D3B" w:rsidRPr="00734D3B" w:rsidRDefault="009F2D3B" w:rsidP="004E7F95">
      <w:pPr>
        <w:spacing w:line="240" w:lineRule="auto"/>
        <w:ind w:firstLine="0"/>
      </w:pPr>
      <w:r w:rsidRPr="00734D3B">
        <w:t>Este proyecto tuvo como objetivo diseñar una guía metodológica de gestión sostenible dirigida a contratistas eléctricos que ejecutan proyectos de centros de datos en Arizona, Estados Unidos. La iniciativa surgió ante la necesidad de integrar prácticas ambientales, sociales y económicas en la fase constructiva, debido al alto volumen de residuos eléctricos generados y al alto consumo energético característico del sector.</w:t>
      </w:r>
    </w:p>
    <w:p w14:paraId="3F133341" w14:textId="77777777" w:rsidR="009F2D3B" w:rsidRPr="00734D3B" w:rsidRDefault="009F2D3B" w:rsidP="004E7F95">
      <w:pPr>
        <w:spacing w:line="240" w:lineRule="auto"/>
        <w:ind w:firstLine="0"/>
      </w:pPr>
      <w:r w:rsidRPr="00734D3B">
        <w:t>La investigación se desarrolló mediante un enfoque descriptivo y cualitativo, utilizando revisión bibliográfica, análisis comparativo y validación con expertos del sector. Este proceso permitió examinar las prácticas actuales, identificar brechas y reconocer oportunidades de mejora en la gestión ambiental y operativa de los contratistas eléctricos.</w:t>
      </w:r>
    </w:p>
    <w:p w14:paraId="5EA21BD4" w14:textId="2E68A33A" w:rsidR="009F2D3B" w:rsidRPr="00734D3B" w:rsidRDefault="009F2D3B" w:rsidP="004E7F95">
      <w:pPr>
        <w:spacing w:line="240" w:lineRule="auto"/>
        <w:ind w:firstLine="0"/>
      </w:pPr>
      <w:r w:rsidRPr="00734D3B">
        <w:t xml:space="preserve">Los resultados evidenciaron la ausencia de lineamientos específicos para la gestión sostenible en este tipo de proyectos, lo cual limita el desempeño ambiental, social y reputacional de las empresas. </w:t>
      </w:r>
      <w:r w:rsidR="002D15B8" w:rsidRPr="00734D3B">
        <w:t>En</w:t>
      </w:r>
      <w:r w:rsidRPr="00734D3B">
        <w:t xml:space="preserve"> conclusión, se elaboró una guía práctica basada en estándares internacionales, orientada a mejorar la eficiencia, reducir impactos ambientales y alinear la ejecución eléctrica con principios de sostenibilidad y desarrollo regenerativo.</w:t>
      </w:r>
    </w:p>
    <w:p w14:paraId="6EF7E8BD" w14:textId="77777777" w:rsidR="009F2D3B" w:rsidRPr="00734D3B" w:rsidRDefault="009F2D3B" w:rsidP="004E7F95">
      <w:pPr>
        <w:spacing w:line="240" w:lineRule="auto"/>
        <w:ind w:firstLine="0"/>
        <w:rPr>
          <w:b/>
          <w:bCs/>
        </w:rPr>
      </w:pPr>
    </w:p>
    <w:p w14:paraId="0C127E58" w14:textId="1F5DDD1A" w:rsidR="009F2D3B" w:rsidRPr="00734D3B" w:rsidRDefault="009F2D3B" w:rsidP="004E7F95">
      <w:pPr>
        <w:spacing w:line="240" w:lineRule="auto"/>
        <w:ind w:firstLine="0"/>
      </w:pPr>
      <w:r w:rsidRPr="00734D3B">
        <w:rPr>
          <w:b/>
          <w:bCs/>
        </w:rPr>
        <w:t>Palabras clave:</w:t>
      </w:r>
      <w:r w:rsidRPr="00734D3B">
        <w:t xml:space="preserve"> sostenibilidad, contratistas eléctricos, centros de datos, gestión ambiental, residuos, desarrollo regenerativo, LEED, P5, Arizona.</w:t>
      </w:r>
    </w:p>
    <w:p w14:paraId="59FE23B1" w14:textId="77777777" w:rsidR="00127701" w:rsidRPr="00734D3B" w:rsidRDefault="00127701" w:rsidP="00127701">
      <w:pPr>
        <w:spacing w:line="240" w:lineRule="auto"/>
        <w:ind w:firstLine="706"/>
      </w:pPr>
    </w:p>
    <w:p w14:paraId="7C90A1E6" w14:textId="77777777" w:rsidR="00127701" w:rsidRPr="00734D3B" w:rsidRDefault="00127701" w:rsidP="00127701">
      <w:pPr>
        <w:spacing w:line="240" w:lineRule="auto"/>
        <w:ind w:firstLine="706"/>
        <w:rPr>
          <w:rFonts w:cs="Arial"/>
          <w:szCs w:val="22"/>
          <w:highlight w:val="yellow"/>
        </w:rPr>
      </w:pPr>
    </w:p>
    <w:p w14:paraId="67E7B9F7" w14:textId="77777777" w:rsidR="00264EEB" w:rsidRPr="00734D3B" w:rsidRDefault="00264EEB" w:rsidP="00127701">
      <w:pPr>
        <w:spacing w:line="240" w:lineRule="auto"/>
        <w:ind w:firstLine="0"/>
        <w:rPr>
          <w:b/>
          <w:bCs/>
          <w:lang w:val="en-US"/>
        </w:rPr>
      </w:pPr>
      <w:r w:rsidRPr="00734D3B">
        <w:rPr>
          <w:b/>
          <w:bCs/>
          <w:lang w:val="en-US"/>
        </w:rPr>
        <w:t>ABSTRACT</w:t>
      </w:r>
    </w:p>
    <w:p w14:paraId="4F9D8FA2" w14:textId="77777777" w:rsidR="009F2D3B" w:rsidRPr="00734D3B" w:rsidRDefault="009F2D3B" w:rsidP="00127701">
      <w:pPr>
        <w:spacing w:line="240" w:lineRule="auto"/>
        <w:ind w:firstLine="0"/>
        <w:rPr>
          <w:b/>
          <w:bCs/>
          <w:lang w:val="en-US"/>
        </w:rPr>
      </w:pPr>
    </w:p>
    <w:p w14:paraId="00C05E12" w14:textId="77777777" w:rsidR="009F2D3B" w:rsidRPr="00734D3B" w:rsidRDefault="009F2D3B" w:rsidP="00127701">
      <w:pPr>
        <w:spacing w:line="240" w:lineRule="auto"/>
        <w:ind w:firstLine="0"/>
        <w:rPr>
          <w:b/>
          <w:bCs/>
          <w:lang w:val="en-US"/>
        </w:rPr>
      </w:pPr>
    </w:p>
    <w:p w14:paraId="2F9364D3" w14:textId="77777777" w:rsidR="00600E06" w:rsidRPr="00734D3B" w:rsidRDefault="00600E06" w:rsidP="004E7F95">
      <w:pPr>
        <w:spacing w:line="240" w:lineRule="auto"/>
        <w:ind w:firstLine="0"/>
        <w:rPr>
          <w:lang w:val="en-US"/>
        </w:rPr>
      </w:pPr>
      <w:r w:rsidRPr="00734D3B">
        <w:rPr>
          <w:lang w:val="en-US"/>
        </w:rPr>
        <w:t>This project aimed to design a sustainable management methodological guide for electrical contractors involved in data center construction projects in Arizona, United States. The initiative stemmed from the need to integrate environmental, social, and economic practices during the construction phase, due to the high volume of electrical waste and the sector’s significant energy consumption.</w:t>
      </w:r>
    </w:p>
    <w:p w14:paraId="5701A4DB" w14:textId="1428F86A" w:rsidR="00600E06" w:rsidRPr="00734D3B" w:rsidRDefault="00600E06" w:rsidP="004E7F95">
      <w:pPr>
        <w:spacing w:line="240" w:lineRule="auto"/>
        <w:ind w:firstLine="0"/>
        <w:rPr>
          <w:lang w:val="en-US"/>
        </w:rPr>
      </w:pPr>
      <w:r w:rsidRPr="00734D3B">
        <w:rPr>
          <w:lang w:val="en-US"/>
        </w:rPr>
        <w:t xml:space="preserve">The research followed a descriptive and qualitative approach, using bibliographic review, comparative analysis, and expert validation. </w:t>
      </w:r>
      <w:r w:rsidR="002A4D5F" w:rsidRPr="00734D3B">
        <w:rPr>
          <w:lang w:val="en-US"/>
        </w:rPr>
        <w:t>Through this process, it was possible to examine current practices</w:t>
      </w:r>
      <w:r w:rsidRPr="00734D3B">
        <w:rPr>
          <w:lang w:val="en-US"/>
        </w:rPr>
        <w:t>, identify gaps, and recognize improvement opportunities in environmental and operational management.</w:t>
      </w:r>
    </w:p>
    <w:p w14:paraId="267B4652" w14:textId="77777777" w:rsidR="00600E06" w:rsidRPr="00734D3B" w:rsidRDefault="00600E06" w:rsidP="004E7F95">
      <w:pPr>
        <w:spacing w:line="240" w:lineRule="auto"/>
        <w:ind w:firstLine="0"/>
        <w:rPr>
          <w:lang w:val="en-US"/>
        </w:rPr>
      </w:pPr>
      <w:r w:rsidRPr="00734D3B">
        <w:rPr>
          <w:lang w:val="en-US"/>
        </w:rPr>
        <w:t>Findings revealed the absence of specific guidelines for sustainable management in this type of project, limiting contractors’ environmental, social, and reputational performance. As a conclusion, a practical guide based on international standards was developed to improve efficiency, reduce environmental impacts, and align electrical construction activities with sustainability and regenerative development principles.</w:t>
      </w:r>
    </w:p>
    <w:p w14:paraId="6245803E" w14:textId="77777777" w:rsidR="00600E06" w:rsidRPr="00734D3B" w:rsidRDefault="00600E06" w:rsidP="004E7F95">
      <w:pPr>
        <w:spacing w:line="240" w:lineRule="auto"/>
        <w:ind w:firstLine="0"/>
        <w:rPr>
          <w:lang w:val="en-US"/>
        </w:rPr>
      </w:pPr>
    </w:p>
    <w:p w14:paraId="74B186C1" w14:textId="77777777" w:rsidR="00600E06" w:rsidRPr="00734D3B" w:rsidRDefault="00600E06" w:rsidP="004E7F95">
      <w:pPr>
        <w:spacing w:line="240" w:lineRule="auto"/>
        <w:ind w:firstLine="0"/>
        <w:rPr>
          <w:lang w:val="en-US"/>
        </w:rPr>
      </w:pPr>
      <w:r w:rsidRPr="00734D3B">
        <w:rPr>
          <w:b/>
          <w:bCs/>
          <w:lang w:val="en-US"/>
        </w:rPr>
        <w:t>Keywords</w:t>
      </w:r>
      <w:r w:rsidRPr="00734D3B">
        <w:rPr>
          <w:lang w:val="en-US"/>
        </w:rPr>
        <w:t>: sustainability, electrical contractors, data centers, environmental management, waste, regenerative development, LEED, P5, Arizona.</w:t>
      </w:r>
    </w:p>
    <w:p w14:paraId="579B55FD" w14:textId="77777777" w:rsidR="00600E06" w:rsidRPr="00734D3B" w:rsidRDefault="00600E06" w:rsidP="004E7F95">
      <w:pPr>
        <w:spacing w:line="240" w:lineRule="auto"/>
        <w:ind w:firstLine="0"/>
        <w:rPr>
          <w:b/>
          <w:bCs/>
          <w:lang w:val="en-US"/>
        </w:rPr>
      </w:pPr>
    </w:p>
    <w:p w14:paraId="679687AB" w14:textId="77777777" w:rsidR="00600E06" w:rsidRPr="00734D3B" w:rsidRDefault="00600E06" w:rsidP="00600E06">
      <w:pPr>
        <w:spacing w:line="240" w:lineRule="auto"/>
        <w:ind w:firstLine="0"/>
        <w:rPr>
          <w:b/>
          <w:bCs/>
          <w:lang w:val="en-US"/>
        </w:rPr>
      </w:pPr>
    </w:p>
    <w:p w14:paraId="63046919" w14:textId="77777777" w:rsidR="00600E06" w:rsidRPr="00734D3B" w:rsidRDefault="00600E06" w:rsidP="00600E06">
      <w:pPr>
        <w:spacing w:line="240" w:lineRule="auto"/>
        <w:ind w:firstLine="0"/>
        <w:rPr>
          <w:b/>
          <w:bCs/>
          <w:lang w:val="en-US"/>
        </w:rPr>
      </w:pPr>
    </w:p>
    <w:p w14:paraId="42B95F3F" w14:textId="77777777" w:rsidR="00600E06" w:rsidRPr="00734D3B" w:rsidRDefault="00600E06" w:rsidP="00600E06">
      <w:pPr>
        <w:spacing w:line="240" w:lineRule="auto"/>
        <w:ind w:firstLine="0"/>
        <w:rPr>
          <w:b/>
          <w:bCs/>
          <w:lang w:val="en-US"/>
        </w:rPr>
      </w:pPr>
    </w:p>
    <w:p w14:paraId="5E17CAD5" w14:textId="77777777" w:rsidR="00600E06" w:rsidRPr="00734D3B" w:rsidRDefault="00600E06" w:rsidP="00600E06">
      <w:pPr>
        <w:spacing w:line="240" w:lineRule="auto"/>
        <w:ind w:firstLine="0"/>
        <w:rPr>
          <w:b/>
          <w:bCs/>
          <w:lang w:val="en-US"/>
        </w:rPr>
      </w:pPr>
    </w:p>
    <w:p w14:paraId="6EEF0E01" w14:textId="77777777" w:rsidR="00596A1F" w:rsidRPr="00734D3B" w:rsidRDefault="00596A1F" w:rsidP="00600E06">
      <w:pPr>
        <w:spacing w:line="240" w:lineRule="auto"/>
        <w:ind w:firstLine="0"/>
        <w:rPr>
          <w:b/>
          <w:bCs/>
          <w:lang w:val="en-US"/>
        </w:rPr>
      </w:pPr>
    </w:p>
    <w:p w14:paraId="67DB035B" w14:textId="77777777" w:rsidR="00596A1F" w:rsidRPr="00734D3B" w:rsidRDefault="00596A1F" w:rsidP="00600E06">
      <w:pPr>
        <w:spacing w:line="240" w:lineRule="auto"/>
        <w:ind w:firstLine="0"/>
        <w:rPr>
          <w:b/>
          <w:bCs/>
          <w:lang w:val="en-US"/>
        </w:rPr>
      </w:pPr>
    </w:p>
    <w:p w14:paraId="46BC9D23" w14:textId="77777777" w:rsidR="00600E06" w:rsidRPr="00734D3B" w:rsidRDefault="00600E06" w:rsidP="00600E06">
      <w:pPr>
        <w:spacing w:line="240" w:lineRule="auto"/>
        <w:ind w:firstLine="0"/>
        <w:rPr>
          <w:b/>
          <w:bCs/>
          <w:lang w:val="en-US"/>
        </w:rPr>
      </w:pPr>
    </w:p>
    <w:p w14:paraId="67D9E0EA" w14:textId="51CD2977" w:rsidR="00264EEB" w:rsidRPr="00734D3B" w:rsidRDefault="00264EEB" w:rsidP="004E113C">
      <w:pPr>
        <w:ind w:firstLine="0"/>
        <w:rPr>
          <w:rFonts w:cs="Arial"/>
          <w:b/>
          <w:bCs/>
          <w:szCs w:val="22"/>
          <w:highlight w:val="yellow"/>
          <w:lang w:val="en-US"/>
        </w:rPr>
      </w:pPr>
      <w:r w:rsidRPr="00734D3B">
        <w:rPr>
          <w:b/>
          <w:bCs/>
        </w:rPr>
        <w:lastRenderedPageBreak/>
        <w:t>CONTENIDO</w:t>
      </w:r>
    </w:p>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cs="Times New Roman"/>
          <w:b/>
          <w:bCs w:val="0"/>
          <w:caps w:val="0"/>
        </w:rPr>
        <w:id w:val="1550955633"/>
        <w:docPartObj>
          <w:docPartGallery w:val="Table of Contents"/>
          <w:docPartUnique/>
        </w:docPartObj>
      </w:sdtPr>
      <w:sdtEndPr>
        <w:rPr>
          <w:b w:val="0"/>
          <w:noProof/>
        </w:rPr>
      </w:sdtEndPr>
      <w:sdtContent>
        <w:p w14:paraId="3A370D72" w14:textId="19851CDD" w:rsidR="00BB22D8" w:rsidRPr="00734D3B" w:rsidRDefault="005842B8">
          <w:pPr>
            <w:pStyle w:val="TOC1"/>
            <w:rPr>
              <w:rFonts w:asciiTheme="minorHAnsi" w:eastAsiaTheme="minorEastAsia" w:hAnsiTheme="minorHAnsi" w:cstheme="minorBidi"/>
              <w:bCs w:val="0"/>
              <w:caps w:val="0"/>
              <w:noProof/>
              <w:kern w:val="2"/>
              <w:sz w:val="24"/>
              <w:lang w:val="en-US" w:eastAsia="en-US"/>
              <w14:ligatures w14:val="standardContextual"/>
            </w:rPr>
          </w:pPr>
          <w:r w:rsidRPr="00734D3B">
            <w:rPr>
              <w:rFonts w:cs="Calibri"/>
              <w:bCs w:val="0"/>
              <w:caps w:val="0"/>
              <w:szCs w:val="20"/>
            </w:rPr>
            <w:fldChar w:fldCharType="begin"/>
          </w:r>
          <w:r w:rsidRPr="00734D3B">
            <w:rPr>
              <w:rFonts w:cs="Calibri"/>
              <w:bCs w:val="0"/>
              <w:caps w:val="0"/>
              <w:szCs w:val="20"/>
            </w:rPr>
            <w:instrText xml:space="preserve"> TOC \o "1-4" \h \z \u </w:instrText>
          </w:r>
          <w:r w:rsidRPr="00734D3B">
            <w:rPr>
              <w:rFonts w:cs="Calibri"/>
              <w:bCs w:val="0"/>
              <w:caps w:val="0"/>
              <w:szCs w:val="20"/>
            </w:rPr>
            <w:fldChar w:fldCharType="separate"/>
          </w:r>
          <w:hyperlink w:anchor="_Toc227936369" w:history="1">
            <w:r w:rsidR="00BB22D8" w:rsidRPr="00734D3B">
              <w:rPr>
                <w:rStyle w:val="Hyperlink"/>
                <w:noProof/>
                <w:color w:val="auto"/>
              </w:rPr>
              <w:t>LISTA DE FIGURAS</w:t>
            </w:r>
            <w:r w:rsidR="00BB22D8" w:rsidRPr="00734D3B">
              <w:rPr>
                <w:noProof/>
                <w:webHidden/>
              </w:rPr>
              <w:tab/>
            </w:r>
            <w:r w:rsidR="00BB22D8" w:rsidRPr="00734D3B">
              <w:rPr>
                <w:noProof/>
                <w:webHidden/>
              </w:rPr>
              <w:fldChar w:fldCharType="begin"/>
            </w:r>
            <w:r w:rsidR="00BB22D8" w:rsidRPr="00734D3B">
              <w:rPr>
                <w:noProof/>
                <w:webHidden/>
              </w:rPr>
              <w:instrText xml:space="preserve"> PAGEREF _Toc227936369 \h </w:instrText>
            </w:r>
            <w:r w:rsidR="00BB22D8" w:rsidRPr="00734D3B">
              <w:rPr>
                <w:noProof/>
                <w:webHidden/>
              </w:rPr>
            </w:r>
            <w:r w:rsidR="00BB22D8" w:rsidRPr="00734D3B">
              <w:rPr>
                <w:noProof/>
                <w:webHidden/>
              </w:rPr>
              <w:fldChar w:fldCharType="separate"/>
            </w:r>
            <w:r w:rsidR="0058263D" w:rsidRPr="00734D3B">
              <w:rPr>
                <w:noProof/>
                <w:webHidden/>
              </w:rPr>
              <w:t>11</w:t>
            </w:r>
            <w:r w:rsidR="00BB22D8" w:rsidRPr="00734D3B">
              <w:rPr>
                <w:noProof/>
                <w:webHidden/>
              </w:rPr>
              <w:fldChar w:fldCharType="end"/>
            </w:r>
          </w:hyperlink>
        </w:p>
        <w:p w14:paraId="6D0B99B7" w14:textId="56515CB9"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70" w:history="1">
            <w:r w:rsidRPr="00734D3B">
              <w:rPr>
                <w:rStyle w:val="Hyperlink"/>
                <w:noProof/>
                <w:color w:val="auto"/>
              </w:rPr>
              <w:t>LISTA DE TABLAS</w:t>
            </w:r>
            <w:r w:rsidRPr="00734D3B">
              <w:rPr>
                <w:noProof/>
                <w:webHidden/>
              </w:rPr>
              <w:tab/>
            </w:r>
            <w:r w:rsidRPr="00734D3B">
              <w:rPr>
                <w:noProof/>
                <w:webHidden/>
              </w:rPr>
              <w:fldChar w:fldCharType="begin"/>
            </w:r>
            <w:r w:rsidRPr="00734D3B">
              <w:rPr>
                <w:noProof/>
                <w:webHidden/>
              </w:rPr>
              <w:instrText xml:space="preserve"> PAGEREF _Toc227936370 \h </w:instrText>
            </w:r>
            <w:r w:rsidRPr="00734D3B">
              <w:rPr>
                <w:noProof/>
                <w:webHidden/>
              </w:rPr>
            </w:r>
            <w:r w:rsidRPr="00734D3B">
              <w:rPr>
                <w:noProof/>
                <w:webHidden/>
              </w:rPr>
              <w:fldChar w:fldCharType="separate"/>
            </w:r>
            <w:r w:rsidR="0058263D" w:rsidRPr="00734D3B">
              <w:rPr>
                <w:noProof/>
                <w:webHidden/>
              </w:rPr>
              <w:t>13</w:t>
            </w:r>
            <w:r w:rsidRPr="00734D3B">
              <w:rPr>
                <w:noProof/>
                <w:webHidden/>
              </w:rPr>
              <w:fldChar w:fldCharType="end"/>
            </w:r>
          </w:hyperlink>
        </w:p>
        <w:p w14:paraId="7114F05F" w14:textId="7257D53A"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71" w:history="1">
            <w:r w:rsidRPr="00734D3B">
              <w:rPr>
                <w:rStyle w:val="Hyperlink"/>
                <w:noProof/>
                <w:color w:val="auto"/>
              </w:rPr>
              <w:t>ÍNDICE DE ACRÓNIMOS Y ABREVIACIONES</w:t>
            </w:r>
            <w:r w:rsidRPr="00734D3B">
              <w:rPr>
                <w:noProof/>
                <w:webHidden/>
              </w:rPr>
              <w:tab/>
            </w:r>
            <w:r w:rsidRPr="00734D3B">
              <w:rPr>
                <w:noProof/>
                <w:webHidden/>
              </w:rPr>
              <w:fldChar w:fldCharType="begin"/>
            </w:r>
            <w:r w:rsidRPr="00734D3B">
              <w:rPr>
                <w:noProof/>
                <w:webHidden/>
              </w:rPr>
              <w:instrText xml:space="preserve"> PAGEREF _Toc227936371 \h </w:instrText>
            </w:r>
            <w:r w:rsidRPr="00734D3B">
              <w:rPr>
                <w:noProof/>
                <w:webHidden/>
              </w:rPr>
            </w:r>
            <w:r w:rsidRPr="00734D3B">
              <w:rPr>
                <w:noProof/>
                <w:webHidden/>
              </w:rPr>
              <w:fldChar w:fldCharType="separate"/>
            </w:r>
            <w:r w:rsidR="0058263D" w:rsidRPr="00734D3B">
              <w:rPr>
                <w:noProof/>
                <w:webHidden/>
              </w:rPr>
              <w:t>14</w:t>
            </w:r>
            <w:r w:rsidRPr="00734D3B">
              <w:rPr>
                <w:noProof/>
                <w:webHidden/>
              </w:rPr>
              <w:fldChar w:fldCharType="end"/>
            </w:r>
          </w:hyperlink>
        </w:p>
        <w:p w14:paraId="4B56661F" w14:textId="245596B7"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72" w:history="1">
            <w:r w:rsidRPr="00734D3B">
              <w:rPr>
                <w:rStyle w:val="Hyperlink"/>
                <w:noProof/>
                <w:color w:val="auto"/>
              </w:rPr>
              <w:t>RESUMEN EJECUTIVO</w:t>
            </w:r>
            <w:r w:rsidRPr="00734D3B">
              <w:rPr>
                <w:noProof/>
                <w:webHidden/>
              </w:rPr>
              <w:tab/>
            </w:r>
            <w:r w:rsidRPr="00734D3B">
              <w:rPr>
                <w:noProof/>
                <w:webHidden/>
              </w:rPr>
              <w:fldChar w:fldCharType="begin"/>
            </w:r>
            <w:r w:rsidRPr="00734D3B">
              <w:rPr>
                <w:noProof/>
                <w:webHidden/>
              </w:rPr>
              <w:instrText xml:space="preserve"> PAGEREF _Toc227936372 \h </w:instrText>
            </w:r>
            <w:r w:rsidRPr="00734D3B">
              <w:rPr>
                <w:noProof/>
                <w:webHidden/>
              </w:rPr>
            </w:r>
            <w:r w:rsidRPr="00734D3B">
              <w:rPr>
                <w:noProof/>
                <w:webHidden/>
              </w:rPr>
              <w:fldChar w:fldCharType="separate"/>
            </w:r>
            <w:r w:rsidR="0058263D" w:rsidRPr="00734D3B">
              <w:rPr>
                <w:noProof/>
                <w:webHidden/>
              </w:rPr>
              <w:t>16</w:t>
            </w:r>
            <w:r w:rsidRPr="00734D3B">
              <w:rPr>
                <w:noProof/>
                <w:webHidden/>
              </w:rPr>
              <w:fldChar w:fldCharType="end"/>
            </w:r>
          </w:hyperlink>
        </w:p>
        <w:p w14:paraId="4C98859C" w14:textId="7227B8EC"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73" w:history="1">
            <w:r w:rsidRPr="00734D3B">
              <w:rPr>
                <w:rStyle w:val="Hyperlink"/>
                <w:rFonts w:cs="Arial"/>
                <w:noProof/>
                <w:color w:val="auto"/>
              </w:rPr>
              <w:t>1.</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rFonts w:cs="Arial"/>
                <w:noProof/>
                <w:color w:val="auto"/>
              </w:rPr>
              <w:t>Introducción</w:t>
            </w:r>
            <w:r w:rsidRPr="00734D3B">
              <w:rPr>
                <w:noProof/>
                <w:webHidden/>
              </w:rPr>
              <w:tab/>
            </w:r>
            <w:r w:rsidRPr="00734D3B">
              <w:rPr>
                <w:noProof/>
                <w:webHidden/>
              </w:rPr>
              <w:fldChar w:fldCharType="begin"/>
            </w:r>
            <w:r w:rsidRPr="00734D3B">
              <w:rPr>
                <w:noProof/>
                <w:webHidden/>
              </w:rPr>
              <w:instrText xml:space="preserve"> PAGEREF _Toc227936373 \h </w:instrText>
            </w:r>
            <w:r w:rsidRPr="00734D3B">
              <w:rPr>
                <w:noProof/>
                <w:webHidden/>
              </w:rPr>
            </w:r>
            <w:r w:rsidRPr="00734D3B">
              <w:rPr>
                <w:noProof/>
                <w:webHidden/>
              </w:rPr>
              <w:fldChar w:fldCharType="separate"/>
            </w:r>
            <w:r w:rsidR="0058263D" w:rsidRPr="00734D3B">
              <w:rPr>
                <w:noProof/>
                <w:webHidden/>
              </w:rPr>
              <w:t>18</w:t>
            </w:r>
            <w:r w:rsidRPr="00734D3B">
              <w:rPr>
                <w:noProof/>
                <w:webHidden/>
              </w:rPr>
              <w:fldChar w:fldCharType="end"/>
            </w:r>
          </w:hyperlink>
        </w:p>
        <w:p w14:paraId="124A7D0E" w14:textId="3F8F093E"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74" w:history="1">
            <w:r w:rsidRPr="00734D3B">
              <w:rPr>
                <w:rStyle w:val="Hyperlink"/>
                <w:noProof/>
                <w:color w:val="auto"/>
              </w:rPr>
              <w:t>1.1</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Antecedentes</w:t>
            </w:r>
            <w:r w:rsidRPr="00734D3B">
              <w:rPr>
                <w:noProof/>
                <w:webHidden/>
              </w:rPr>
              <w:tab/>
            </w:r>
            <w:r w:rsidRPr="00734D3B">
              <w:rPr>
                <w:noProof/>
                <w:webHidden/>
              </w:rPr>
              <w:fldChar w:fldCharType="begin"/>
            </w:r>
            <w:r w:rsidRPr="00734D3B">
              <w:rPr>
                <w:noProof/>
                <w:webHidden/>
              </w:rPr>
              <w:instrText xml:space="preserve"> PAGEREF _Toc227936374 \h </w:instrText>
            </w:r>
            <w:r w:rsidRPr="00734D3B">
              <w:rPr>
                <w:noProof/>
                <w:webHidden/>
              </w:rPr>
            </w:r>
            <w:r w:rsidRPr="00734D3B">
              <w:rPr>
                <w:noProof/>
                <w:webHidden/>
              </w:rPr>
              <w:fldChar w:fldCharType="separate"/>
            </w:r>
            <w:r w:rsidR="0058263D" w:rsidRPr="00734D3B">
              <w:rPr>
                <w:noProof/>
                <w:webHidden/>
              </w:rPr>
              <w:t>19</w:t>
            </w:r>
            <w:r w:rsidRPr="00734D3B">
              <w:rPr>
                <w:noProof/>
                <w:webHidden/>
              </w:rPr>
              <w:fldChar w:fldCharType="end"/>
            </w:r>
          </w:hyperlink>
        </w:p>
        <w:p w14:paraId="4EAC2B39" w14:textId="3950CD38"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75" w:history="1">
            <w:r w:rsidRPr="00734D3B">
              <w:rPr>
                <w:rStyle w:val="Hyperlink"/>
                <w:noProof/>
                <w:color w:val="auto"/>
              </w:rPr>
              <w:t>1.2</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Problemática u oportunidad organizacional</w:t>
            </w:r>
            <w:r w:rsidRPr="00734D3B">
              <w:rPr>
                <w:noProof/>
                <w:webHidden/>
              </w:rPr>
              <w:tab/>
            </w:r>
            <w:r w:rsidRPr="00734D3B">
              <w:rPr>
                <w:noProof/>
                <w:webHidden/>
              </w:rPr>
              <w:fldChar w:fldCharType="begin"/>
            </w:r>
            <w:r w:rsidRPr="00734D3B">
              <w:rPr>
                <w:noProof/>
                <w:webHidden/>
              </w:rPr>
              <w:instrText xml:space="preserve"> PAGEREF _Toc227936375 \h </w:instrText>
            </w:r>
            <w:r w:rsidRPr="00734D3B">
              <w:rPr>
                <w:noProof/>
                <w:webHidden/>
              </w:rPr>
            </w:r>
            <w:r w:rsidRPr="00734D3B">
              <w:rPr>
                <w:noProof/>
                <w:webHidden/>
              </w:rPr>
              <w:fldChar w:fldCharType="separate"/>
            </w:r>
            <w:r w:rsidR="0058263D" w:rsidRPr="00734D3B">
              <w:rPr>
                <w:noProof/>
                <w:webHidden/>
              </w:rPr>
              <w:t>21</w:t>
            </w:r>
            <w:r w:rsidRPr="00734D3B">
              <w:rPr>
                <w:noProof/>
                <w:webHidden/>
              </w:rPr>
              <w:fldChar w:fldCharType="end"/>
            </w:r>
          </w:hyperlink>
        </w:p>
        <w:p w14:paraId="3E02F8D5" w14:textId="2C12AC46"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76" w:history="1">
            <w:r w:rsidRPr="00734D3B">
              <w:rPr>
                <w:rStyle w:val="Hyperlink"/>
                <w:noProof/>
                <w:color w:val="auto"/>
              </w:rPr>
              <w:t>1.3</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Justificación del proyecto</w:t>
            </w:r>
            <w:r w:rsidRPr="00734D3B">
              <w:rPr>
                <w:noProof/>
                <w:webHidden/>
              </w:rPr>
              <w:tab/>
            </w:r>
            <w:r w:rsidRPr="00734D3B">
              <w:rPr>
                <w:noProof/>
                <w:webHidden/>
              </w:rPr>
              <w:fldChar w:fldCharType="begin"/>
            </w:r>
            <w:r w:rsidRPr="00734D3B">
              <w:rPr>
                <w:noProof/>
                <w:webHidden/>
              </w:rPr>
              <w:instrText xml:space="preserve"> PAGEREF _Toc227936376 \h </w:instrText>
            </w:r>
            <w:r w:rsidRPr="00734D3B">
              <w:rPr>
                <w:noProof/>
                <w:webHidden/>
              </w:rPr>
            </w:r>
            <w:r w:rsidRPr="00734D3B">
              <w:rPr>
                <w:noProof/>
                <w:webHidden/>
              </w:rPr>
              <w:fldChar w:fldCharType="separate"/>
            </w:r>
            <w:r w:rsidR="0058263D" w:rsidRPr="00734D3B">
              <w:rPr>
                <w:noProof/>
                <w:webHidden/>
              </w:rPr>
              <w:t>23</w:t>
            </w:r>
            <w:r w:rsidRPr="00734D3B">
              <w:rPr>
                <w:noProof/>
                <w:webHidden/>
              </w:rPr>
              <w:fldChar w:fldCharType="end"/>
            </w:r>
          </w:hyperlink>
        </w:p>
        <w:p w14:paraId="1310D607" w14:textId="38DC8B40"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77" w:history="1">
            <w:r w:rsidRPr="00734D3B">
              <w:rPr>
                <w:rStyle w:val="Hyperlink"/>
                <w:noProof/>
                <w:color w:val="auto"/>
              </w:rPr>
              <w:t>1.4</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Objetivo general</w:t>
            </w:r>
            <w:r w:rsidRPr="00734D3B">
              <w:rPr>
                <w:noProof/>
                <w:webHidden/>
              </w:rPr>
              <w:tab/>
            </w:r>
            <w:r w:rsidRPr="00734D3B">
              <w:rPr>
                <w:noProof/>
                <w:webHidden/>
              </w:rPr>
              <w:fldChar w:fldCharType="begin"/>
            </w:r>
            <w:r w:rsidRPr="00734D3B">
              <w:rPr>
                <w:noProof/>
                <w:webHidden/>
              </w:rPr>
              <w:instrText xml:space="preserve"> PAGEREF _Toc227936377 \h </w:instrText>
            </w:r>
            <w:r w:rsidRPr="00734D3B">
              <w:rPr>
                <w:noProof/>
                <w:webHidden/>
              </w:rPr>
            </w:r>
            <w:r w:rsidRPr="00734D3B">
              <w:rPr>
                <w:noProof/>
                <w:webHidden/>
              </w:rPr>
              <w:fldChar w:fldCharType="separate"/>
            </w:r>
            <w:r w:rsidR="0058263D" w:rsidRPr="00734D3B">
              <w:rPr>
                <w:noProof/>
                <w:webHidden/>
              </w:rPr>
              <w:t>26</w:t>
            </w:r>
            <w:r w:rsidRPr="00734D3B">
              <w:rPr>
                <w:noProof/>
                <w:webHidden/>
              </w:rPr>
              <w:fldChar w:fldCharType="end"/>
            </w:r>
          </w:hyperlink>
        </w:p>
        <w:p w14:paraId="07EF8B6F" w14:textId="4960DE1D"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78" w:history="1">
            <w:r w:rsidRPr="00734D3B">
              <w:rPr>
                <w:rStyle w:val="Hyperlink"/>
                <w:noProof/>
                <w:color w:val="auto"/>
              </w:rPr>
              <w:t>1.5</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Objetivos específicos</w:t>
            </w:r>
            <w:r w:rsidRPr="00734D3B">
              <w:rPr>
                <w:noProof/>
                <w:webHidden/>
              </w:rPr>
              <w:tab/>
            </w:r>
            <w:r w:rsidRPr="00734D3B">
              <w:rPr>
                <w:noProof/>
                <w:webHidden/>
              </w:rPr>
              <w:fldChar w:fldCharType="begin"/>
            </w:r>
            <w:r w:rsidRPr="00734D3B">
              <w:rPr>
                <w:noProof/>
                <w:webHidden/>
              </w:rPr>
              <w:instrText xml:space="preserve"> PAGEREF _Toc227936378 \h </w:instrText>
            </w:r>
            <w:r w:rsidRPr="00734D3B">
              <w:rPr>
                <w:noProof/>
                <w:webHidden/>
              </w:rPr>
            </w:r>
            <w:r w:rsidRPr="00734D3B">
              <w:rPr>
                <w:noProof/>
                <w:webHidden/>
              </w:rPr>
              <w:fldChar w:fldCharType="separate"/>
            </w:r>
            <w:r w:rsidR="0058263D" w:rsidRPr="00734D3B">
              <w:rPr>
                <w:noProof/>
                <w:webHidden/>
              </w:rPr>
              <w:t>26</w:t>
            </w:r>
            <w:r w:rsidRPr="00734D3B">
              <w:rPr>
                <w:noProof/>
                <w:webHidden/>
              </w:rPr>
              <w:fldChar w:fldCharType="end"/>
            </w:r>
          </w:hyperlink>
        </w:p>
        <w:p w14:paraId="0BC4E058" w14:textId="1F85F7EE"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79" w:history="1">
            <w:r w:rsidRPr="00734D3B">
              <w:rPr>
                <w:rStyle w:val="Hyperlink"/>
                <w:noProof/>
                <w:color w:val="auto"/>
              </w:rPr>
              <w:t>1.</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noProof/>
                <w:color w:val="auto"/>
              </w:rPr>
              <w:t>Marco teórico</w:t>
            </w:r>
            <w:r w:rsidRPr="00734D3B">
              <w:rPr>
                <w:noProof/>
                <w:webHidden/>
              </w:rPr>
              <w:tab/>
            </w:r>
            <w:r w:rsidRPr="00734D3B">
              <w:rPr>
                <w:noProof/>
                <w:webHidden/>
              </w:rPr>
              <w:fldChar w:fldCharType="begin"/>
            </w:r>
            <w:r w:rsidRPr="00734D3B">
              <w:rPr>
                <w:noProof/>
                <w:webHidden/>
              </w:rPr>
              <w:instrText xml:space="preserve"> PAGEREF _Toc227936379 \h </w:instrText>
            </w:r>
            <w:r w:rsidRPr="00734D3B">
              <w:rPr>
                <w:noProof/>
                <w:webHidden/>
              </w:rPr>
            </w:r>
            <w:r w:rsidRPr="00734D3B">
              <w:rPr>
                <w:noProof/>
                <w:webHidden/>
              </w:rPr>
              <w:fldChar w:fldCharType="separate"/>
            </w:r>
            <w:r w:rsidR="0058263D" w:rsidRPr="00734D3B">
              <w:rPr>
                <w:noProof/>
                <w:webHidden/>
              </w:rPr>
              <w:t>27</w:t>
            </w:r>
            <w:r w:rsidRPr="00734D3B">
              <w:rPr>
                <w:noProof/>
                <w:webHidden/>
              </w:rPr>
              <w:fldChar w:fldCharType="end"/>
            </w:r>
          </w:hyperlink>
        </w:p>
        <w:p w14:paraId="1ADF3A3B" w14:textId="2EB5E528"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0" w:history="1">
            <w:r w:rsidRPr="00734D3B">
              <w:rPr>
                <w:rStyle w:val="Hyperlink"/>
                <w:noProof/>
                <w:color w:val="auto"/>
              </w:rPr>
              <w:t>1.1.1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Antecedentes de la institución</w:t>
            </w:r>
            <w:r w:rsidRPr="00734D3B">
              <w:rPr>
                <w:noProof/>
                <w:webHidden/>
              </w:rPr>
              <w:tab/>
            </w:r>
            <w:r w:rsidRPr="00734D3B">
              <w:rPr>
                <w:noProof/>
                <w:webHidden/>
              </w:rPr>
              <w:fldChar w:fldCharType="begin"/>
            </w:r>
            <w:r w:rsidRPr="00734D3B">
              <w:rPr>
                <w:noProof/>
                <w:webHidden/>
              </w:rPr>
              <w:instrText xml:space="preserve"> PAGEREF _Toc227936380 \h </w:instrText>
            </w:r>
            <w:r w:rsidRPr="00734D3B">
              <w:rPr>
                <w:noProof/>
                <w:webHidden/>
              </w:rPr>
            </w:r>
            <w:r w:rsidRPr="00734D3B">
              <w:rPr>
                <w:noProof/>
                <w:webHidden/>
              </w:rPr>
              <w:fldChar w:fldCharType="separate"/>
            </w:r>
            <w:r w:rsidR="0058263D" w:rsidRPr="00734D3B">
              <w:rPr>
                <w:noProof/>
                <w:webHidden/>
              </w:rPr>
              <w:t>29</w:t>
            </w:r>
            <w:r w:rsidRPr="00734D3B">
              <w:rPr>
                <w:noProof/>
                <w:webHidden/>
              </w:rPr>
              <w:fldChar w:fldCharType="end"/>
            </w:r>
          </w:hyperlink>
        </w:p>
        <w:p w14:paraId="00C9ADFF" w14:textId="5AB52401"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1" w:history="1">
            <w:r w:rsidRPr="00734D3B">
              <w:rPr>
                <w:rStyle w:val="Hyperlink"/>
                <w:noProof/>
                <w:color w:val="auto"/>
              </w:rPr>
              <w:t>1.1.2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Misión y visión</w:t>
            </w:r>
            <w:r w:rsidRPr="00734D3B">
              <w:rPr>
                <w:noProof/>
                <w:webHidden/>
              </w:rPr>
              <w:tab/>
            </w:r>
            <w:r w:rsidRPr="00734D3B">
              <w:rPr>
                <w:noProof/>
                <w:webHidden/>
              </w:rPr>
              <w:fldChar w:fldCharType="begin"/>
            </w:r>
            <w:r w:rsidRPr="00734D3B">
              <w:rPr>
                <w:noProof/>
                <w:webHidden/>
              </w:rPr>
              <w:instrText xml:space="preserve"> PAGEREF _Toc227936381 \h </w:instrText>
            </w:r>
            <w:r w:rsidRPr="00734D3B">
              <w:rPr>
                <w:noProof/>
                <w:webHidden/>
              </w:rPr>
            </w:r>
            <w:r w:rsidRPr="00734D3B">
              <w:rPr>
                <w:noProof/>
                <w:webHidden/>
              </w:rPr>
              <w:fldChar w:fldCharType="separate"/>
            </w:r>
            <w:r w:rsidR="0058263D" w:rsidRPr="00734D3B">
              <w:rPr>
                <w:noProof/>
                <w:webHidden/>
              </w:rPr>
              <w:t>31</w:t>
            </w:r>
            <w:r w:rsidRPr="00734D3B">
              <w:rPr>
                <w:noProof/>
                <w:webHidden/>
              </w:rPr>
              <w:fldChar w:fldCharType="end"/>
            </w:r>
          </w:hyperlink>
        </w:p>
        <w:p w14:paraId="5424CAD4" w14:textId="7187F69F"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2" w:history="1">
            <w:r w:rsidRPr="00734D3B">
              <w:rPr>
                <w:rStyle w:val="Hyperlink"/>
                <w:noProof/>
                <w:color w:val="auto"/>
              </w:rPr>
              <w:t>1.1.3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Estructura organizativa</w:t>
            </w:r>
            <w:r w:rsidRPr="00734D3B">
              <w:rPr>
                <w:noProof/>
                <w:webHidden/>
              </w:rPr>
              <w:tab/>
            </w:r>
            <w:r w:rsidRPr="00734D3B">
              <w:rPr>
                <w:noProof/>
                <w:webHidden/>
              </w:rPr>
              <w:fldChar w:fldCharType="begin"/>
            </w:r>
            <w:r w:rsidRPr="00734D3B">
              <w:rPr>
                <w:noProof/>
                <w:webHidden/>
              </w:rPr>
              <w:instrText xml:space="preserve"> PAGEREF _Toc227936382 \h </w:instrText>
            </w:r>
            <w:r w:rsidRPr="00734D3B">
              <w:rPr>
                <w:noProof/>
                <w:webHidden/>
              </w:rPr>
            </w:r>
            <w:r w:rsidRPr="00734D3B">
              <w:rPr>
                <w:noProof/>
                <w:webHidden/>
              </w:rPr>
              <w:fldChar w:fldCharType="separate"/>
            </w:r>
            <w:r w:rsidR="0058263D" w:rsidRPr="00734D3B">
              <w:rPr>
                <w:noProof/>
                <w:webHidden/>
              </w:rPr>
              <w:t>33</w:t>
            </w:r>
            <w:r w:rsidRPr="00734D3B">
              <w:rPr>
                <w:noProof/>
                <w:webHidden/>
              </w:rPr>
              <w:fldChar w:fldCharType="end"/>
            </w:r>
          </w:hyperlink>
        </w:p>
        <w:p w14:paraId="228613E4" w14:textId="557F6511"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3" w:history="1">
            <w:r w:rsidRPr="00734D3B">
              <w:rPr>
                <w:rStyle w:val="Hyperlink"/>
                <w:noProof/>
                <w:color w:val="auto"/>
              </w:rPr>
              <w:t>1.1.4</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Productos y servicios que ofrece</w:t>
            </w:r>
            <w:r w:rsidRPr="00734D3B">
              <w:rPr>
                <w:noProof/>
                <w:webHidden/>
              </w:rPr>
              <w:tab/>
            </w:r>
            <w:r w:rsidRPr="00734D3B">
              <w:rPr>
                <w:noProof/>
                <w:webHidden/>
              </w:rPr>
              <w:fldChar w:fldCharType="begin"/>
            </w:r>
            <w:r w:rsidRPr="00734D3B">
              <w:rPr>
                <w:noProof/>
                <w:webHidden/>
              </w:rPr>
              <w:instrText xml:space="preserve"> PAGEREF _Toc227936383 \h </w:instrText>
            </w:r>
            <w:r w:rsidRPr="00734D3B">
              <w:rPr>
                <w:noProof/>
                <w:webHidden/>
              </w:rPr>
            </w:r>
            <w:r w:rsidRPr="00734D3B">
              <w:rPr>
                <w:noProof/>
                <w:webHidden/>
              </w:rPr>
              <w:fldChar w:fldCharType="separate"/>
            </w:r>
            <w:r w:rsidR="0058263D" w:rsidRPr="00734D3B">
              <w:rPr>
                <w:noProof/>
                <w:webHidden/>
              </w:rPr>
              <w:t>36</w:t>
            </w:r>
            <w:r w:rsidRPr="00734D3B">
              <w:rPr>
                <w:noProof/>
                <w:webHidden/>
              </w:rPr>
              <w:fldChar w:fldCharType="end"/>
            </w:r>
          </w:hyperlink>
        </w:p>
        <w:p w14:paraId="0CB5CDD9" w14:textId="378274BE"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84" w:history="1">
            <w:r w:rsidRPr="00734D3B">
              <w:rPr>
                <w:rStyle w:val="Hyperlink"/>
                <w:noProof/>
                <w:color w:val="auto"/>
              </w:rPr>
              <w:t>1.2</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Teoría de Administración de Proyectos</w:t>
            </w:r>
            <w:r w:rsidRPr="00734D3B">
              <w:rPr>
                <w:noProof/>
                <w:webHidden/>
              </w:rPr>
              <w:tab/>
            </w:r>
            <w:r w:rsidRPr="00734D3B">
              <w:rPr>
                <w:noProof/>
                <w:webHidden/>
              </w:rPr>
              <w:fldChar w:fldCharType="begin"/>
            </w:r>
            <w:r w:rsidRPr="00734D3B">
              <w:rPr>
                <w:noProof/>
                <w:webHidden/>
              </w:rPr>
              <w:instrText xml:space="preserve"> PAGEREF _Toc227936384 \h </w:instrText>
            </w:r>
            <w:r w:rsidRPr="00734D3B">
              <w:rPr>
                <w:noProof/>
                <w:webHidden/>
              </w:rPr>
            </w:r>
            <w:r w:rsidRPr="00734D3B">
              <w:rPr>
                <w:noProof/>
                <w:webHidden/>
              </w:rPr>
              <w:fldChar w:fldCharType="separate"/>
            </w:r>
            <w:r w:rsidR="0058263D" w:rsidRPr="00734D3B">
              <w:rPr>
                <w:noProof/>
                <w:webHidden/>
              </w:rPr>
              <w:t>38</w:t>
            </w:r>
            <w:r w:rsidRPr="00734D3B">
              <w:rPr>
                <w:noProof/>
                <w:webHidden/>
              </w:rPr>
              <w:fldChar w:fldCharType="end"/>
            </w:r>
          </w:hyperlink>
        </w:p>
        <w:p w14:paraId="35A6C444" w14:textId="7D5183B4"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5" w:history="1">
            <w:r w:rsidRPr="00734D3B">
              <w:rPr>
                <w:rStyle w:val="Hyperlink"/>
                <w:noProof/>
                <w:color w:val="auto"/>
              </w:rPr>
              <w:t>1.2.1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Principios de la dirección de proyectos</w:t>
            </w:r>
            <w:r w:rsidRPr="00734D3B">
              <w:rPr>
                <w:noProof/>
                <w:webHidden/>
              </w:rPr>
              <w:tab/>
            </w:r>
            <w:r w:rsidRPr="00734D3B">
              <w:rPr>
                <w:noProof/>
                <w:webHidden/>
              </w:rPr>
              <w:fldChar w:fldCharType="begin"/>
            </w:r>
            <w:r w:rsidRPr="00734D3B">
              <w:rPr>
                <w:noProof/>
                <w:webHidden/>
              </w:rPr>
              <w:instrText xml:space="preserve"> PAGEREF _Toc227936385 \h </w:instrText>
            </w:r>
            <w:r w:rsidRPr="00734D3B">
              <w:rPr>
                <w:noProof/>
                <w:webHidden/>
              </w:rPr>
            </w:r>
            <w:r w:rsidRPr="00734D3B">
              <w:rPr>
                <w:noProof/>
                <w:webHidden/>
              </w:rPr>
              <w:fldChar w:fldCharType="separate"/>
            </w:r>
            <w:r w:rsidR="0058263D" w:rsidRPr="00734D3B">
              <w:rPr>
                <w:noProof/>
                <w:webHidden/>
              </w:rPr>
              <w:t>40</w:t>
            </w:r>
            <w:r w:rsidRPr="00734D3B">
              <w:rPr>
                <w:noProof/>
                <w:webHidden/>
              </w:rPr>
              <w:fldChar w:fldCharType="end"/>
            </w:r>
          </w:hyperlink>
        </w:p>
        <w:p w14:paraId="59C434A6" w14:textId="55C17932"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6" w:history="1">
            <w:r w:rsidRPr="00734D3B">
              <w:rPr>
                <w:rStyle w:val="Hyperlink"/>
                <w:noProof/>
                <w:color w:val="auto"/>
              </w:rPr>
              <w:t>1.2.2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Dominios de desempeño del proyecto</w:t>
            </w:r>
            <w:r w:rsidRPr="00734D3B">
              <w:rPr>
                <w:noProof/>
                <w:webHidden/>
              </w:rPr>
              <w:tab/>
            </w:r>
            <w:r w:rsidRPr="00734D3B">
              <w:rPr>
                <w:noProof/>
                <w:webHidden/>
              </w:rPr>
              <w:fldChar w:fldCharType="begin"/>
            </w:r>
            <w:r w:rsidRPr="00734D3B">
              <w:rPr>
                <w:noProof/>
                <w:webHidden/>
              </w:rPr>
              <w:instrText xml:space="preserve"> PAGEREF _Toc227936386 \h </w:instrText>
            </w:r>
            <w:r w:rsidRPr="00734D3B">
              <w:rPr>
                <w:noProof/>
                <w:webHidden/>
              </w:rPr>
            </w:r>
            <w:r w:rsidRPr="00734D3B">
              <w:rPr>
                <w:noProof/>
                <w:webHidden/>
              </w:rPr>
              <w:fldChar w:fldCharType="separate"/>
            </w:r>
            <w:r w:rsidR="0058263D" w:rsidRPr="00734D3B">
              <w:rPr>
                <w:noProof/>
                <w:webHidden/>
              </w:rPr>
              <w:t>45</w:t>
            </w:r>
            <w:r w:rsidRPr="00734D3B">
              <w:rPr>
                <w:noProof/>
                <w:webHidden/>
              </w:rPr>
              <w:fldChar w:fldCharType="end"/>
            </w:r>
          </w:hyperlink>
        </w:p>
        <w:p w14:paraId="5724BD3D" w14:textId="3005D1E5"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7" w:history="1">
            <w:r w:rsidRPr="00734D3B">
              <w:rPr>
                <w:rStyle w:val="Hyperlink"/>
                <w:noProof/>
                <w:color w:val="auto"/>
              </w:rPr>
              <w:t>1.2.3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Enfoques de desarrollo y ciclo de vida de los proyectos.</w:t>
            </w:r>
            <w:r w:rsidRPr="00734D3B">
              <w:rPr>
                <w:noProof/>
                <w:webHidden/>
              </w:rPr>
              <w:tab/>
            </w:r>
            <w:r w:rsidRPr="00734D3B">
              <w:rPr>
                <w:noProof/>
                <w:webHidden/>
              </w:rPr>
              <w:fldChar w:fldCharType="begin"/>
            </w:r>
            <w:r w:rsidRPr="00734D3B">
              <w:rPr>
                <w:noProof/>
                <w:webHidden/>
              </w:rPr>
              <w:instrText xml:space="preserve"> PAGEREF _Toc227936387 \h </w:instrText>
            </w:r>
            <w:r w:rsidRPr="00734D3B">
              <w:rPr>
                <w:noProof/>
                <w:webHidden/>
              </w:rPr>
            </w:r>
            <w:r w:rsidRPr="00734D3B">
              <w:rPr>
                <w:noProof/>
                <w:webHidden/>
              </w:rPr>
              <w:fldChar w:fldCharType="separate"/>
            </w:r>
            <w:r w:rsidR="0058263D" w:rsidRPr="00734D3B">
              <w:rPr>
                <w:noProof/>
                <w:webHidden/>
              </w:rPr>
              <w:t>47</w:t>
            </w:r>
            <w:r w:rsidRPr="00734D3B">
              <w:rPr>
                <w:noProof/>
                <w:webHidden/>
              </w:rPr>
              <w:fldChar w:fldCharType="end"/>
            </w:r>
          </w:hyperlink>
        </w:p>
        <w:p w14:paraId="377CAD72" w14:textId="0D50023F"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8" w:history="1">
            <w:r w:rsidRPr="00734D3B">
              <w:rPr>
                <w:rStyle w:val="Hyperlink"/>
                <w:noProof/>
                <w:color w:val="auto"/>
              </w:rPr>
              <w:t>1.2.4</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Administración, dirección o gerencia de proyectos</w:t>
            </w:r>
            <w:r w:rsidRPr="00734D3B">
              <w:rPr>
                <w:noProof/>
                <w:webHidden/>
              </w:rPr>
              <w:tab/>
            </w:r>
            <w:r w:rsidRPr="00734D3B">
              <w:rPr>
                <w:noProof/>
                <w:webHidden/>
              </w:rPr>
              <w:fldChar w:fldCharType="begin"/>
            </w:r>
            <w:r w:rsidRPr="00734D3B">
              <w:rPr>
                <w:noProof/>
                <w:webHidden/>
              </w:rPr>
              <w:instrText xml:space="preserve"> PAGEREF _Toc227936388 \h </w:instrText>
            </w:r>
            <w:r w:rsidRPr="00734D3B">
              <w:rPr>
                <w:noProof/>
                <w:webHidden/>
              </w:rPr>
            </w:r>
            <w:r w:rsidRPr="00734D3B">
              <w:rPr>
                <w:noProof/>
                <w:webHidden/>
              </w:rPr>
              <w:fldChar w:fldCharType="separate"/>
            </w:r>
            <w:r w:rsidR="0058263D" w:rsidRPr="00734D3B">
              <w:rPr>
                <w:noProof/>
                <w:webHidden/>
              </w:rPr>
              <w:t>50</w:t>
            </w:r>
            <w:r w:rsidRPr="00734D3B">
              <w:rPr>
                <w:noProof/>
                <w:webHidden/>
              </w:rPr>
              <w:fldChar w:fldCharType="end"/>
            </w:r>
          </w:hyperlink>
        </w:p>
        <w:p w14:paraId="4516B18D" w14:textId="557912F9"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89" w:history="1">
            <w:r w:rsidRPr="00734D3B">
              <w:rPr>
                <w:rStyle w:val="Hyperlink"/>
                <w:noProof/>
                <w:color w:val="auto"/>
              </w:rPr>
              <w:t>1.2.5</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Grupos de procesos de la dirección de proyectos</w:t>
            </w:r>
            <w:r w:rsidRPr="00734D3B">
              <w:rPr>
                <w:noProof/>
                <w:webHidden/>
              </w:rPr>
              <w:tab/>
            </w:r>
            <w:r w:rsidRPr="00734D3B">
              <w:rPr>
                <w:noProof/>
                <w:webHidden/>
              </w:rPr>
              <w:fldChar w:fldCharType="begin"/>
            </w:r>
            <w:r w:rsidRPr="00734D3B">
              <w:rPr>
                <w:noProof/>
                <w:webHidden/>
              </w:rPr>
              <w:instrText xml:space="preserve"> PAGEREF _Toc227936389 \h </w:instrText>
            </w:r>
            <w:r w:rsidRPr="00734D3B">
              <w:rPr>
                <w:noProof/>
                <w:webHidden/>
              </w:rPr>
            </w:r>
            <w:r w:rsidRPr="00734D3B">
              <w:rPr>
                <w:noProof/>
                <w:webHidden/>
              </w:rPr>
              <w:fldChar w:fldCharType="separate"/>
            </w:r>
            <w:r w:rsidR="0058263D" w:rsidRPr="00734D3B">
              <w:rPr>
                <w:noProof/>
                <w:webHidden/>
              </w:rPr>
              <w:t>52</w:t>
            </w:r>
            <w:r w:rsidRPr="00734D3B">
              <w:rPr>
                <w:noProof/>
                <w:webHidden/>
              </w:rPr>
              <w:fldChar w:fldCharType="end"/>
            </w:r>
          </w:hyperlink>
        </w:p>
        <w:p w14:paraId="12A63E79" w14:textId="654232F7"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0" w:history="1">
            <w:r w:rsidRPr="00734D3B">
              <w:rPr>
                <w:rStyle w:val="Hyperlink"/>
                <w:noProof/>
                <w:color w:val="auto"/>
              </w:rPr>
              <w:t>1.2.6</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Estrategia empresarial, portafolios, programas, proyectos</w:t>
            </w:r>
            <w:r w:rsidRPr="00734D3B">
              <w:rPr>
                <w:noProof/>
                <w:webHidden/>
              </w:rPr>
              <w:tab/>
            </w:r>
            <w:r w:rsidRPr="00734D3B">
              <w:rPr>
                <w:noProof/>
                <w:webHidden/>
              </w:rPr>
              <w:fldChar w:fldCharType="begin"/>
            </w:r>
            <w:r w:rsidRPr="00734D3B">
              <w:rPr>
                <w:noProof/>
                <w:webHidden/>
              </w:rPr>
              <w:instrText xml:space="preserve"> PAGEREF _Toc227936390 \h </w:instrText>
            </w:r>
            <w:r w:rsidRPr="00734D3B">
              <w:rPr>
                <w:noProof/>
                <w:webHidden/>
              </w:rPr>
            </w:r>
            <w:r w:rsidRPr="00734D3B">
              <w:rPr>
                <w:noProof/>
                <w:webHidden/>
              </w:rPr>
              <w:fldChar w:fldCharType="separate"/>
            </w:r>
            <w:r w:rsidR="0058263D" w:rsidRPr="00734D3B">
              <w:rPr>
                <w:noProof/>
                <w:webHidden/>
              </w:rPr>
              <w:t>55</w:t>
            </w:r>
            <w:r w:rsidRPr="00734D3B">
              <w:rPr>
                <w:noProof/>
                <w:webHidden/>
              </w:rPr>
              <w:fldChar w:fldCharType="end"/>
            </w:r>
          </w:hyperlink>
        </w:p>
        <w:p w14:paraId="0EB7700B" w14:textId="2D7F96BA"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91" w:history="1">
            <w:r w:rsidRPr="00734D3B">
              <w:rPr>
                <w:rStyle w:val="Hyperlink"/>
                <w:noProof/>
                <w:color w:val="auto"/>
              </w:rPr>
              <w:t>1.3</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Estado de la cuestión y otra teoría propia del tema de interés</w:t>
            </w:r>
            <w:r w:rsidRPr="00734D3B">
              <w:rPr>
                <w:noProof/>
                <w:webHidden/>
              </w:rPr>
              <w:tab/>
            </w:r>
            <w:r w:rsidRPr="00734D3B">
              <w:rPr>
                <w:noProof/>
                <w:webHidden/>
              </w:rPr>
              <w:fldChar w:fldCharType="begin"/>
            </w:r>
            <w:r w:rsidRPr="00734D3B">
              <w:rPr>
                <w:noProof/>
                <w:webHidden/>
              </w:rPr>
              <w:instrText xml:space="preserve"> PAGEREF _Toc227936391 \h </w:instrText>
            </w:r>
            <w:r w:rsidRPr="00734D3B">
              <w:rPr>
                <w:noProof/>
                <w:webHidden/>
              </w:rPr>
            </w:r>
            <w:r w:rsidRPr="00734D3B">
              <w:rPr>
                <w:noProof/>
                <w:webHidden/>
              </w:rPr>
              <w:fldChar w:fldCharType="separate"/>
            </w:r>
            <w:r w:rsidR="0058263D" w:rsidRPr="00734D3B">
              <w:rPr>
                <w:noProof/>
                <w:webHidden/>
              </w:rPr>
              <w:t>58</w:t>
            </w:r>
            <w:r w:rsidRPr="00734D3B">
              <w:rPr>
                <w:noProof/>
                <w:webHidden/>
              </w:rPr>
              <w:fldChar w:fldCharType="end"/>
            </w:r>
          </w:hyperlink>
        </w:p>
        <w:p w14:paraId="2E51FF6F" w14:textId="2DD06A62"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2" w:history="1">
            <w:r w:rsidRPr="00734D3B">
              <w:rPr>
                <w:rStyle w:val="Hyperlink"/>
                <w:noProof/>
                <w:color w:val="auto"/>
              </w:rPr>
              <w:t>1.3.1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Situación actual del problema u oportunidad en estudio</w:t>
            </w:r>
            <w:r w:rsidRPr="00734D3B">
              <w:rPr>
                <w:noProof/>
                <w:webHidden/>
              </w:rPr>
              <w:tab/>
            </w:r>
            <w:r w:rsidRPr="00734D3B">
              <w:rPr>
                <w:noProof/>
                <w:webHidden/>
              </w:rPr>
              <w:fldChar w:fldCharType="begin"/>
            </w:r>
            <w:r w:rsidRPr="00734D3B">
              <w:rPr>
                <w:noProof/>
                <w:webHidden/>
              </w:rPr>
              <w:instrText xml:space="preserve"> PAGEREF _Toc227936392 \h </w:instrText>
            </w:r>
            <w:r w:rsidRPr="00734D3B">
              <w:rPr>
                <w:noProof/>
                <w:webHidden/>
              </w:rPr>
            </w:r>
            <w:r w:rsidRPr="00734D3B">
              <w:rPr>
                <w:noProof/>
                <w:webHidden/>
              </w:rPr>
              <w:fldChar w:fldCharType="separate"/>
            </w:r>
            <w:r w:rsidR="0058263D" w:rsidRPr="00734D3B">
              <w:rPr>
                <w:noProof/>
                <w:webHidden/>
              </w:rPr>
              <w:t>59</w:t>
            </w:r>
            <w:r w:rsidRPr="00734D3B">
              <w:rPr>
                <w:noProof/>
                <w:webHidden/>
              </w:rPr>
              <w:fldChar w:fldCharType="end"/>
            </w:r>
          </w:hyperlink>
        </w:p>
        <w:p w14:paraId="1AC109F6" w14:textId="672963C6"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3" w:history="1">
            <w:r w:rsidRPr="00734D3B">
              <w:rPr>
                <w:rStyle w:val="Hyperlink"/>
                <w:noProof/>
                <w:color w:val="auto"/>
              </w:rPr>
              <w:t>1.3.2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Investigaciones que se han hecho sobre el tema en estudio</w:t>
            </w:r>
            <w:r w:rsidRPr="00734D3B">
              <w:rPr>
                <w:noProof/>
                <w:webHidden/>
              </w:rPr>
              <w:tab/>
            </w:r>
            <w:r w:rsidRPr="00734D3B">
              <w:rPr>
                <w:noProof/>
                <w:webHidden/>
              </w:rPr>
              <w:fldChar w:fldCharType="begin"/>
            </w:r>
            <w:r w:rsidRPr="00734D3B">
              <w:rPr>
                <w:noProof/>
                <w:webHidden/>
              </w:rPr>
              <w:instrText xml:space="preserve"> PAGEREF _Toc227936393 \h </w:instrText>
            </w:r>
            <w:r w:rsidRPr="00734D3B">
              <w:rPr>
                <w:noProof/>
                <w:webHidden/>
              </w:rPr>
            </w:r>
            <w:r w:rsidRPr="00734D3B">
              <w:rPr>
                <w:noProof/>
                <w:webHidden/>
              </w:rPr>
              <w:fldChar w:fldCharType="separate"/>
            </w:r>
            <w:r w:rsidR="0058263D" w:rsidRPr="00734D3B">
              <w:rPr>
                <w:noProof/>
                <w:webHidden/>
              </w:rPr>
              <w:t>61</w:t>
            </w:r>
            <w:r w:rsidRPr="00734D3B">
              <w:rPr>
                <w:noProof/>
                <w:webHidden/>
              </w:rPr>
              <w:fldChar w:fldCharType="end"/>
            </w:r>
          </w:hyperlink>
        </w:p>
        <w:p w14:paraId="7AA7E487" w14:textId="69A11BA1"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4" w:history="1">
            <w:r w:rsidRPr="00734D3B">
              <w:rPr>
                <w:rStyle w:val="Hyperlink"/>
                <w:noProof/>
                <w:color w:val="auto"/>
              </w:rPr>
              <w:t>1.3.3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Otras teorías o buenas prácticas relacionadas con el tema en estudio</w:t>
            </w:r>
            <w:r w:rsidRPr="00734D3B">
              <w:rPr>
                <w:noProof/>
                <w:webHidden/>
              </w:rPr>
              <w:tab/>
            </w:r>
            <w:r w:rsidRPr="00734D3B">
              <w:rPr>
                <w:noProof/>
                <w:webHidden/>
              </w:rPr>
              <w:fldChar w:fldCharType="begin"/>
            </w:r>
            <w:r w:rsidRPr="00734D3B">
              <w:rPr>
                <w:noProof/>
                <w:webHidden/>
              </w:rPr>
              <w:instrText xml:space="preserve"> PAGEREF _Toc227936394 \h </w:instrText>
            </w:r>
            <w:r w:rsidRPr="00734D3B">
              <w:rPr>
                <w:noProof/>
                <w:webHidden/>
              </w:rPr>
            </w:r>
            <w:r w:rsidRPr="00734D3B">
              <w:rPr>
                <w:noProof/>
                <w:webHidden/>
              </w:rPr>
              <w:fldChar w:fldCharType="separate"/>
            </w:r>
            <w:r w:rsidR="0058263D" w:rsidRPr="00734D3B">
              <w:rPr>
                <w:noProof/>
                <w:webHidden/>
              </w:rPr>
              <w:t>64</w:t>
            </w:r>
            <w:r w:rsidRPr="00734D3B">
              <w:rPr>
                <w:noProof/>
                <w:webHidden/>
              </w:rPr>
              <w:fldChar w:fldCharType="end"/>
            </w:r>
          </w:hyperlink>
        </w:p>
        <w:p w14:paraId="15F6F7CC" w14:textId="7B01A99F" w:rsidR="00BB22D8" w:rsidRPr="00734D3B" w:rsidRDefault="00BB22D8">
          <w:pPr>
            <w:pStyle w:val="TOC4"/>
            <w:tabs>
              <w:tab w:val="left" w:pos="2062"/>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5" w:history="1">
            <w:r w:rsidRPr="00734D3B">
              <w:rPr>
                <w:rStyle w:val="Hyperlink"/>
                <w:noProof/>
                <w:color w:val="auto"/>
              </w:rPr>
              <w:t>1.3.3.1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Teoría del Desarrollo Regenerativo</w:t>
            </w:r>
            <w:r w:rsidRPr="00734D3B">
              <w:rPr>
                <w:noProof/>
                <w:webHidden/>
              </w:rPr>
              <w:tab/>
            </w:r>
            <w:r w:rsidRPr="00734D3B">
              <w:rPr>
                <w:noProof/>
                <w:webHidden/>
              </w:rPr>
              <w:fldChar w:fldCharType="begin"/>
            </w:r>
            <w:r w:rsidRPr="00734D3B">
              <w:rPr>
                <w:noProof/>
                <w:webHidden/>
              </w:rPr>
              <w:instrText xml:space="preserve"> PAGEREF _Toc227936395 \h </w:instrText>
            </w:r>
            <w:r w:rsidRPr="00734D3B">
              <w:rPr>
                <w:noProof/>
                <w:webHidden/>
              </w:rPr>
            </w:r>
            <w:r w:rsidRPr="00734D3B">
              <w:rPr>
                <w:noProof/>
                <w:webHidden/>
              </w:rPr>
              <w:fldChar w:fldCharType="separate"/>
            </w:r>
            <w:r w:rsidR="0058263D" w:rsidRPr="00734D3B">
              <w:rPr>
                <w:noProof/>
                <w:webHidden/>
              </w:rPr>
              <w:t>64</w:t>
            </w:r>
            <w:r w:rsidRPr="00734D3B">
              <w:rPr>
                <w:noProof/>
                <w:webHidden/>
              </w:rPr>
              <w:fldChar w:fldCharType="end"/>
            </w:r>
          </w:hyperlink>
        </w:p>
        <w:p w14:paraId="3E8CFE30" w14:textId="67A382F8" w:rsidR="00BB22D8" w:rsidRPr="00734D3B" w:rsidRDefault="00BB22D8">
          <w:pPr>
            <w:pStyle w:val="TOC4"/>
            <w:tabs>
              <w:tab w:val="left" w:pos="2062"/>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6" w:history="1">
            <w:r w:rsidRPr="00734D3B">
              <w:rPr>
                <w:rStyle w:val="Hyperlink"/>
                <w:noProof/>
                <w:color w:val="auto"/>
              </w:rPr>
              <w:t>1.3.3.2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Enfoque P5 de sostenibilidad en la gestión de proyectos</w:t>
            </w:r>
            <w:r w:rsidRPr="00734D3B">
              <w:rPr>
                <w:noProof/>
                <w:webHidden/>
              </w:rPr>
              <w:tab/>
            </w:r>
            <w:r w:rsidRPr="00734D3B">
              <w:rPr>
                <w:noProof/>
                <w:webHidden/>
              </w:rPr>
              <w:fldChar w:fldCharType="begin"/>
            </w:r>
            <w:r w:rsidRPr="00734D3B">
              <w:rPr>
                <w:noProof/>
                <w:webHidden/>
              </w:rPr>
              <w:instrText xml:space="preserve"> PAGEREF _Toc227936396 \h </w:instrText>
            </w:r>
            <w:r w:rsidRPr="00734D3B">
              <w:rPr>
                <w:noProof/>
                <w:webHidden/>
              </w:rPr>
            </w:r>
            <w:r w:rsidRPr="00734D3B">
              <w:rPr>
                <w:noProof/>
                <w:webHidden/>
              </w:rPr>
              <w:fldChar w:fldCharType="separate"/>
            </w:r>
            <w:r w:rsidR="0058263D" w:rsidRPr="00734D3B">
              <w:rPr>
                <w:noProof/>
                <w:webHidden/>
              </w:rPr>
              <w:t>66</w:t>
            </w:r>
            <w:r w:rsidRPr="00734D3B">
              <w:rPr>
                <w:noProof/>
                <w:webHidden/>
              </w:rPr>
              <w:fldChar w:fldCharType="end"/>
            </w:r>
          </w:hyperlink>
        </w:p>
        <w:p w14:paraId="4200504D" w14:textId="097728AB" w:rsidR="00BB22D8" w:rsidRPr="00734D3B" w:rsidRDefault="00BB22D8">
          <w:pPr>
            <w:pStyle w:val="TOC4"/>
            <w:tabs>
              <w:tab w:val="left" w:pos="2062"/>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397" w:history="1">
            <w:r w:rsidRPr="00734D3B">
              <w:rPr>
                <w:rStyle w:val="Hyperlink"/>
                <w:noProof/>
                <w:color w:val="auto"/>
              </w:rPr>
              <w:t>1.3.3.3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Economía Circular en la Construcción</w:t>
            </w:r>
            <w:r w:rsidRPr="00734D3B">
              <w:rPr>
                <w:noProof/>
                <w:webHidden/>
              </w:rPr>
              <w:tab/>
            </w:r>
            <w:r w:rsidRPr="00734D3B">
              <w:rPr>
                <w:noProof/>
                <w:webHidden/>
              </w:rPr>
              <w:fldChar w:fldCharType="begin"/>
            </w:r>
            <w:r w:rsidRPr="00734D3B">
              <w:rPr>
                <w:noProof/>
                <w:webHidden/>
              </w:rPr>
              <w:instrText xml:space="preserve"> PAGEREF _Toc227936397 \h </w:instrText>
            </w:r>
            <w:r w:rsidRPr="00734D3B">
              <w:rPr>
                <w:noProof/>
                <w:webHidden/>
              </w:rPr>
            </w:r>
            <w:r w:rsidRPr="00734D3B">
              <w:rPr>
                <w:noProof/>
                <w:webHidden/>
              </w:rPr>
              <w:fldChar w:fldCharType="separate"/>
            </w:r>
            <w:r w:rsidR="0058263D" w:rsidRPr="00734D3B">
              <w:rPr>
                <w:noProof/>
                <w:webHidden/>
              </w:rPr>
              <w:t>69</w:t>
            </w:r>
            <w:r w:rsidRPr="00734D3B">
              <w:rPr>
                <w:noProof/>
                <w:webHidden/>
              </w:rPr>
              <w:fldChar w:fldCharType="end"/>
            </w:r>
          </w:hyperlink>
        </w:p>
        <w:p w14:paraId="21158426" w14:textId="7A186508"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398" w:history="1">
            <w:r w:rsidRPr="00734D3B">
              <w:rPr>
                <w:rStyle w:val="Hyperlink"/>
                <w:noProof/>
                <w:color w:val="auto"/>
              </w:rPr>
              <w:t>2.</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noProof/>
                <w:color w:val="auto"/>
              </w:rPr>
              <w:t>Marco metodológico</w:t>
            </w:r>
            <w:r w:rsidRPr="00734D3B">
              <w:rPr>
                <w:noProof/>
                <w:webHidden/>
              </w:rPr>
              <w:tab/>
            </w:r>
            <w:r w:rsidRPr="00734D3B">
              <w:rPr>
                <w:noProof/>
                <w:webHidden/>
              </w:rPr>
              <w:fldChar w:fldCharType="begin"/>
            </w:r>
            <w:r w:rsidRPr="00734D3B">
              <w:rPr>
                <w:noProof/>
                <w:webHidden/>
              </w:rPr>
              <w:instrText xml:space="preserve"> PAGEREF _Toc227936398 \h </w:instrText>
            </w:r>
            <w:r w:rsidRPr="00734D3B">
              <w:rPr>
                <w:noProof/>
                <w:webHidden/>
              </w:rPr>
            </w:r>
            <w:r w:rsidRPr="00734D3B">
              <w:rPr>
                <w:noProof/>
                <w:webHidden/>
              </w:rPr>
              <w:fldChar w:fldCharType="separate"/>
            </w:r>
            <w:r w:rsidR="0058263D" w:rsidRPr="00734D3B">
              <w:rPr>
                <w:noProof/>
                <w:webHidden/>
              </w:rPr>
              <w:t>72</w:t>
            </w:r>
            <w:r w:rsidRPr="00734D3B">
              <w:rPr>
                <w:noProof/>
                <w:webHidden/>
              </w:rPr>
              <w:fldChar w:fldCharType="end"/>
            </w:r>
          </w:hyperlink>
        </w:p>
        <w:p w14:paraId="517B680A" w14:textId="6518B93A"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399" w:history="1">
            <w:r w:rsidRPr="00734D3B">
              <w:rPr>
                <w:rStyle w:val="Hyperlink"/>
                <w:noProof/>
                <w:color w:val="auto"/>
              </w:rPr>
              <w:t>2.1</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Fuentes de información</w:t>
            </w:r>
            <w:r w:rsidRPr="00734D3B">
              <w:rPr>
                <w:noProof/>
                <w:webHidden/>
              </w:rPr>
              <w:tab/>
            </w:r>
            <w:r w:rsidRPr="00734D3B">
              <w:rPr>
                <w:noProof/>
                <w:webHidden/>
              </w:rPr>
              <w:fldChar w:fldCharType="begin"/>
            </w:r>
            <w:r w:rsidRPr="00734D3B">
              <w:rPr>
                <w:noProof/>
                <w:webHidden/>
              </w:rPr>
              <w:instrText xml:space="preserve"> PAGEREF _Toc227936399 \h </w:instrText>
            </w:r>
            <w:r w:rsidRPr="00734D3B">
              <w:rPr>
                <w:noProof/>
                <w:webHidden/>
              </w:rPr>
            </w:r>
            <w:r w:rsidRPr="00734D3B">
              <w:rPr>
                <w:noProof/>
                <w:webHidden/>
              </w:rPr>
              <w:fldChar w:fldCharType="separate"/>
            </w:r>
            <w:r w:rsidR="0058263D" w:rsidRPr="00734D3B">
              <w:rPr>
                <w:noProof/>
                <w:webHidden/>
              </w:rPr>
              <w:t>73</w:t>
            </w:r>
            <w:r w:rsidRPr="00734D3B">
              <w:rPr>
                <w:noProof/>
                <w:webHidden/>
              </w:rPr>
              <w:fldChar w:fldCharType="end"/>
            </w:r>
          </w:hyperlink>
        </w:p>
        <w:p w14:paraId="0653375B" w14:textId="48459FA1"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00" w:history="1">
            <w:r w:rsidRPr="00734D3B">
              <w:rPr>
                <w:rStyle w:val="Hyperlink"/>
                <w:noProof/>
                <w:color w:val="auto"/>
              </w:rPr>
              <w:t>2.1.1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Fuentes primarias</w:t>
            </w:r>
            <w:r w:rsidRPr="00734D3B">
              <w:rPr>
                <w:noProof/>
                <w:webHidden/>
              </w:rPr>
              <w:tab/>
            </w:r>
            <w:r w:rsidRPr="00734D3B">
              <w:rPr>
                <w:noProof/>
                <w:webHidden/>
              </w:rPr>
              <w:fldChar w:fldCharType="begin"/>
            </w:r>
            <w:r w:rsidRPr="00734D3B">
              <w:rPr>
                <w:noProof/>
                <w:webHidden/>
              </w:rPr>
              <w:instrText xml:space="preserve"> PAGEREF _Toc227936400 \h </w:instrText>
            </w:r>
            <w:r w:rsidRPr="00734D3B">
              <w:rPr>
                <w:noProof/>
                <w:webHidden/>
              </w:rPr>
            </w:r>
            <w:r w:rsidRPr="00734D3B">
              <w:rPr>
                <w:noProof/>
                <w:webHidden/>
              </w:rPr>
              <w:fldChar w:fldCharType="separate"/>
            </w:r>
            <w:r w:rsidR="0058263D" w:rsidRPr="00734D3B">
              <w:rPr>
                <w:noProof/>
                <w:webHidden/>
              </w:rPr>
              <w:t>74</w:t>
            </w:r>
            <w:r w:rsidRPr="00734D3B">
              <w:rPr>
                <w:noProof/>
                <w:webHidden/>
              </w:rPr>
              <w:fldChar w:fldCharType="end"/>
            </w:r>
          </w:hyperlink>
        </w:p>
        <w:p w14:paraId="417F4ADE" w14:textId="2D25EA98"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01" w:history="1">
            <w:r w:rsidRPr="00734D3B">
              <w:rPr>
                <w:rStyle w:val="Hyperlink"/>
                <w:noProof/>
                <w:color w:val="auto"/>
              </w:rPr>
              <w:t>2.1.2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Fuentes secundarias</w:t>
            </w:r>
            <w:r w:rsidRPr="00734D3B">
              <w:rPr>
                <w:noProof/>
                <w:webHidden/>
              </w:rPr>
              <w:tab/>
            </w:r>
            <w:r w:rsidRPr="00734D3B">
              <w:rPr>
                <w:noProof/>
                <w:webHidden/>
              </w:rPr>
              <w:fldChar w:fldCharType="begin"/>
            </w:r>
            <w:r w:rsidRPr="00734D3B">
              <w:rPr>
                <w:noProof/>
                <w:webHidden/>
              </w:rPr>
              <w:instrText xml:space="preserve"> PAGEREF _Toc227936401 \h </w:instrText>
            </w:r>
            <w:r w:rsidRPr="00734D3B">
              <w:rPr>
                <w:noProof/>
                <w:webHidden/>
              </w:rPr>
            </w:r>
            <w:r w:rsidRPr="00734D3B">
              <w:rPr>
                <w:noProof/>
                <w:webHidden/>
              </w:rPr>
              <w:fldChar w:fldCharType="separate"/>
            </w:r>
            <w:r w:rsidR="0058263D" w:rsidRPr="00734D3B">
              <w:rPr>
                <w:noProof/>
                <w:webHidden/>
              </w:rPr>
              <w:t>75</w:t>
            </w:r>
            <w:r w:rsidRPr="00734D3B">
              <w:rPr>
                <w:noProof/>
                <w:webHidden/>
              </w:rPr>
              <w:fldChar w:fldCharType="end"/>
            </w:r>
          </w:hyperlink>
        </w:p>
        <w:p w14:paraId="4B67F1F3" w14:textId="53A81916"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02" w:history="1">
            <w:r w:rsidRPr="00734D3B">
              <w:rPr>
                <w:rStyle w:val="Hyperlink"/>
                <w:rFonts w:cs="Arial"/>
                <w:noProof/>
                <w:color w:val="auto"/>
              </w:rPr>
              <w:t>3.</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rFonts w:eastAsia="Calibri" w:cs="Arial"/>
                <w:noProof/>
                <w:color w:val="auto"/>
                <w:lang w:eastAsia="en-US"/>
              </w:rPr>
              <w:t>Diagnosticar el estado actual de las prácticas de sostenibilidad y gestión de residuos aplicadas por contratistas eléctricos en proyectos de data centers en Arizona, EE. UU., para identificar brechas y oportunidades de mejora.</w:t>
            </w:r>
            <w:r w:rsidRPr="00734D3B">
              <w:rPr>
                <w:noProof/>
                <w:webHidden/>
              </w:rPr>
              <w:tab/>
            </w:r>
            <w:r w:rsidRPr="00734D3B">
              <w:rPr>
                <w:noProof/>
                <w:webHidden/>
              </w:rPr>
              <w:fldChar w:fldCharType="begin"/>
            </w:r>
            <w:r w:rsidRPr="00734D3B">
              <w:rPr>
                <w:noProof/>
                <w:webHidden/>
              </w:rPr>
              <w:instrText xml:space="preserve"> PAGEREF _Toc227936402 \h </w:instrText>
            </w:r>
            <w:r w:rsidRPr="00734D3B">
              <w:rPr>
                <w:noProof/>
                <w:webHidden/>
              </w:rPr>
            </w:r>
            <w:r w:rsidRPr="00734D3B">
              <w:rPr>
                <w:noProof/>
                <w:webHidden/>
              </w:rPr>
              <w:fldChar w:fldCharType="separate"/>
            </w:r>
            <w:r w:rsidR="0058263D" w:rsidRPr="00734D3B">
              <w:rPr>
                <w:noProof/>
                <w:webHidden/>
              </w:rPr>
              <w:t>77</w:t>
            </w:r>
            <w:r w:rsidRPr="00734D3B">
              <w:rPr>
                <w:noProof/>
                <w:webHidden/>
              </w:rPr>
              <w:fldChar w:fldCharType="end"/>
            </w:r>
          </w:hyperlink>
        </w:p>
        <w:p w14:paraId="6DB9E62B" w14:textId="03140E5F"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03" w:history="1">
            <w:r w:rsidRPr="00734D3B">
              <w:rPr>
                <w:rStyle w:val="Hyperlink"/>
                <w:rFonts w:eastAsia="Calibri" w:cs="Arial"/>
                <w:noProof/>
                <w:color w:val="auto"/>
                <w:lang w:eastAsia="en-US"/>
              </w:rPr>
              <w:t>4.</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rFonts w:eastAsia="Calibri" w:cs="Arial"/>
                <w:noProof/>
                <w:color w:val="auto"/>
                <w:lang w:eastAsia="en-US"/>
              </w:rPr>
              <w:t>Analizar marcos normativos y buenas prácticas internacionales y regionales aplicables a la gestión ambiental en proyectos eléctricos para fundamentar el diseño de la guía metodológica.</w:t>
            </w:r>
            <w:r w:rsidRPr="00734D3B">
              <w:rPr>
                <w:noProof/>
                <w:webHidden/>
              </w:rPr>
              <w:tab/>
            </w:r>
            <w:r w:rsidRPr="00734D3B">
              <w:rPr>
                <w:noProof/>
                <w:webHidden/>
              </w:rPr>
              <w:fldChar w:fldCharType="begin"/>
            </w:r>
            <w:r w:rsidRPr="00734D3B">
              <w:rPr>
                <w:noProof/>
                <w:webHidden/>
              </w:rPr>
              <w:instrText xml:space="preserve"> PAGEREF _Toc227936403 \h </w:instrText>
            </w:r>
            <w:r w:rsidRPr="00734D3B">
              <w:rPr>
                <w:noProof/>
                <w:webHidden/>
              </w:rPr>
            </w:r>
            <w:r w:rsidRPr="00734D3B">
              <w:rPr>
                <w:noProof/>
                <w:webHidden/>
              </w:rPr>
              <w:fldChar w:fldCharType="separate"/>
            </w:r>
            <w:r w:rsidR="0058263D" w:rsidRPr="00734D3B">
              <w:rPr>
                <w:noProof/>
                <w:webHidden/>
              </w:rPr>
              <w:t>77</w:t>
            </w:r>
            <w:r w:rsidRPr="00734D3B">
              <w:rPr>
                <w:noProof/>
                <w:webHidden/>
              </w:rPr>
              <w:fldChar w:fldCharType="end"/>
            </w:r>
          </w:hyperlink>
        </w:p>
        <w:p w14:paraId="0FBFF93C" w14:textId="55F6F024"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04" w:history="1">
            <w:r w:rsidRPr="00734D3B">
              <w:rPr>
                <w:rStyle w:val="Hyperlink"/>
                <w:rFonts w:eastAsia="Calibri" w:cs="Arial"/>
                <w:noProof/>
                <w:color w:val="auto"/>
                <w:lang w:eastAsia="en-US"/>
              </w:rPr>
              <w:t>5.</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rFonts w:eastAsia="Calibri" w:cs="Arial"/>
                <w:noProof/>
                <w:color w:val="auto"/>
                <w:lang w:eastAsia="en-US"/>
              </w:rPr>
              <w:t>Diseñar lineamientos y procedimientos prácticos para la reducción, segregación, reutilización y disposición adecuada de residuos eléctricos en proyectos de construcción de data centers para orientar la gestión sostenible de contratistas eléctricos.</w:t>
            </w:r>
            <w:r w:rsidRPr="00734D3B">
              <w:rPr>
                <w:noProof/>
                <w:webHidden/>
              </w:rPr>
              <w:tab/>
            </w:r>
            <w:r w:rsidRPr="00734D3B">
              <w:rPr>
                <w:noProof/>
                <w:webHidden/>
              </w:rPr>
              <w:fldChar w:fldCharType="begin"/>
            </w:r>
            <w:r w:rsidRPr="00734D3B">
              <w:rPr>
                <w:noProof/>
                <w:webHidden/>
              </w:rPr>
              <w:instrText xml:space="preserve"> PAGEREF _Toc227936404 \h </w:instrText>
            </w:r>
            <w:r w:rsidRPr="00734D3B">
              <w:rPr>
                <w:noProof/>
                <w:webHidden/>
              </w:rPr>
            </w:r>
            <w:r w:rsidRPr="00734D3B">
              <w:rPr>
                <w:noProof/>
                <w:webHidden/>
              </w:rPr>
              <w:fldChar w:fldCharType="separate"/>
            </w:r>
            <w:r w:rsidR="0058263D" w:rsidRPr="00734D3B">
              <w:rPr>
                <w:noProof/>
                <w:webHidden/>
              </w:rPr>
              <w:t>77</w:t>
            </w:r>
            <w:r w:rsidRPr="00734D3B">
              <w:rPr>
                <w:noProof/>
                <w:webHidden/>
              </w:rPr>
              <w:fldChar w:fldCharType="end"/>
            </w:r>
          </w:hyperlink>
        </w:p>
        <w:p w14:paraId="52C91EC7" w14:textId="338327DA"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05" w:history="1">
            <w:r w:rsidRPr="00734D3B">
              <w:rPr>
                <w:rStyle w:val="Hyperlink"/>
                <w:rFonts w:eastAsia="Calibri" w:cs="Arial"/>
                <w:noProof/>
                <w:color w:val="auto"/>
                <w:lang w:eastAsia="en-US"/>
              </w:rPr>
              <w:t>6.</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rFonts w:eastAsia="Calibri" w:cs="Arial"/>
                <w:noProof/>
                <w:color w:val="auto"/>
                <w:lang w:eastAsia="en-US"/>
              </w:rPr>
              <w:t>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r w:rsidRPr="00734D3B">
              <w:rPr>
                <w:noProof/>
                <w:webHidden/>
              </w:rPr>
              <w:tab/>
            </w:r>
            <w:r w:rsidRPr="00734D3B">
              <w:rPr>
                <w:noProof/>
                <w:webHidden/>
              </w:rPr>
              <w:fldChar w:fldCharType="begin"/>
            </w:r>
            <w:r w:rsidRPr="00734D3B">
              <w:rPr>
                <w:noProof/>
                <w:webHidden/>
              </w:rPr>
              <w:instrText xml:space="preserve"> PAGEREF _Toc227936405 \h </w:instrText>
            </w:r>
            <w:r w:rsidRPr="00734D3B">
              <w:rPr>
                <w:noProof/>
                <w:webHidden/>
              </w:rPr>
            </w:r>
            <w:r w:rsidRPr="00734D3B">
              <w:rPr>
                <w:noProof/>
                <w:webHidden/>
              </w:rPr>
              <w:fldChar w:fldCharType="separate"/>
            </w:r>
            <w:r w:rsidR="0058263D" w:rsidRPr="00734D3B">
              <w:rPr>
                <w:noProof/>
                <w:webHidden/>
              </w:rPr>
              <w:t>78</w:t>
            </w:r>
            <w:r w:rsidRPr="00734D3B">
              <w:rPr>
                <w:noProof/>
                <w:webHidden/>
              </w:rPr>
              <w:fldChar w:fldCharType="end"/>
            </w:r>
          </w:hyperlink>
        </w:p>
        <w:p w14:paraId="08AEAA0A" w14:textId="000091AE" w:rsidR="00BB22D8" w:rsidRPr="00734D3B" w:rsidRDefault="00BB22D8">
          <w:pPr>
            <w:pStyle w:val="TOC2"/>
            <w:tabs>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06" w:history="1">
            <w:r w:rsidRPr="00734D3B">
              <w:rPr>
                <w:rStyle w:val="Hyperlink"/>
                <w:noProof/>
                <w:color w:val="auto"/>
              </w:rPr>
              <w:t>3.2 Métodos de Investigación y estrategias lógicas de razonamiento</w:t>
            </w:r>
            <w:r w:rsidRPr="00734D3B">
              <w:rPr>
                <w:noProof/>
                <w:webHidden/>
              </w:rPr>
              <w:tab/>
            </w:r>
            <w:r w:rsidRPr="00734D3B">
              <w:rPr>
                <w:noProof/>
                <w:webHidden/>
              </w:rPr>
              <w:fldChar w:fldCharType="begin"/>
            </w:r>
            <w:r w:rsidRPr="00734D3B">
              <w:rPr>
                <w:noProof/>
                <w:webHidden/>
              </w:rPr>
              <w:instrText xml:space="preserve"> PAGEREF _Toc227936406 \h </w:instrText>
            </w:r>
            <w:r w:rsidRPr="00734D3B">
              <w:rPr>
                <w:noProof/>
                <w:webHidden/>
              </w:rPr>
            </w:r>
            <w:r w:rsidRPr="00734D3B">
              <w:rPr>
                <w:noProof/>
                <w:webHidden/>
              </w:rPr>
              <w:fldChar w:fldCharType="separate"/>
            </w:r>
            <w:r w:rsidR="0058263D" w:rsidRPr="00734D3B">
              <w:rPr>
                <w:noProof/>
                <w:webHidden/>
              </w:rPr>
              <w:t>78</w:t>
            </w:r>
            <w:r w:rsidRPr="00734D3B">
              <w:rPr>
                <w:noProof/>
                <w:webHidden/>
              </w:rPr>
              <w:fldChar w:fldCharType="end"/>
            </w:r>
          </w:hyperlink>
        </w:p>
        <w:p w14:paraId="2FBDEAC5" w14:textId="1FB8186B" w:rsidR="00BB22D8" w:rsidRPr="00734D3B" w:rsidRDefault="00BB22D8">
          <w:pPr>
            <w:pStyle w:val="TOC3"/>
            <w:tabs>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07" w:history="1">
            <w:r w:rsidRPr="00734D3B">
              <w:rPr>
                <w:rStyle w:val="Hyperlink"/>
                <w:noProof/>
                <w:color w:val="auto"/>
              </w:rPr>
              <w:t>3.2.1 Analítico-sintético</w:t>
            </w:r>
            <w:r w:rsidRPr="00734D3B">
              <w:rPr>
                <w:noProof/>
                <w:webHidden/>
              </w:rPr>
              <w:tab/>
            </w:r>
            <w:r w:rsidRPr="00734D3B">
              <w:rPr>
                <w:noProof/>
                <w:webHidden/>
              </w:rPr>
              <w:fldChar w:fldCharType="begin"/>
            </w:r>
            <w:r w:rsidRPr="00734D3B">
              <w:rPr>
                <w:noProof/>
                <w:webHidden/>
              </w:rPr>
              <w:instrText xml:space="preserve"> PAGEREF _Toc227936407 \h </w:instrText>
            </w:r>
            <w:r w:rsidRPr="00734D3B">
              <w:rPr>
                <w:noProof/>
                <w:webHidden/>
              </w:rPr>
            </w:r>
            <w:r w:rsidRPr="00734D3B">
              <w:rPr>
                <w:noProof/>
                <w:webHidden/>
              </w:rPr>
              <w:fldChar w:fldCharType="separate"/>
            </w:r>
            <w:r w:rsidR="0058263D" w:rsidRPr="00734D3B">
              <w:rPr>
                <w:noProof/>
                <w:webHidden/>
              </w:rPr>
              <w:t>82</w:t>
            </w:r>
            <w:r w:rsidRPr="00734D3B">
              <w:rPr>
                <w:noProof/>
                <w:webHidden/>
              </w:rPr>
              <w:fldChar w:fldCharType="end"/>
            </w:r>
          </w:hyperlink>
        </w:p>
        <w:p w14:paraId="23E456B1" w14:textId="3CCB6915" w:rsidR="00BB22D8" w:rsidRPr="00734D3B" w:rsidRDefault="00BB22D8">
          <w:pPr>
            <w:pStyle w:val="TOC3"/>
            <w:tabs>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08" w:history="1">
            <w:r w:rsidRPr="00734D3B">
              <w:rPr>
                <w:rStyle w:val="Hyperlink"/>
                <w:noProof/>
                <w:color w:val="auto"/>
              </w:rPr>
              <w:t>3.2.2 Inducción</w:t>
            </w:r>
            <w:r w:rsidRPr="00734D3B">
              <w:rPr>
                <w:noProof/>
                <w:webHidden/>
              </w:rPr>
              <w:tab/>
            </w:r>
            <w:r w:rsidRPr="00734D3B">
              <w:rPr>
                <w:noProof/>
                <w:webHidden/>
              </w:rPr>
              <w:fldChar w:fldCharType="begin"/>
            </w:r>
            <w:r w:rsidRPr="00734D3B">
              <w:rPr>
                <w:noProof/>
                <w:webHidden/>
              </w:rPr>
              <w:instrText xml:space="preserve"> PAGEREF _Toc227936408 \h </w:instrText>
            </w:r>
            <w:r w:rsidRPr="00734D3B">
              <w:rPr>
                <w:noProof/>
                <w:webHidden/>
              </w:rPr>
            </w:r>
            <w:r w:rsidRPr="00734D3B">
              <w:rPr>
                <w:noProof/>
                <w:webHidden/>
              </w:rPr>
              <w:fldChar w:fldCharType="separate"/>
            </w:r>
            <w:r w:rsidR="0058263D" w:rsidRPr="00734D3B">
              <w:rPr>
                <w:noProof/>
                <w:webHidden/>
              </w:rPr>
              <w:t>83</w:t>
            </w:r>
            <w:r w:rsidRPr="00734D3B">
              <w:rPr>
                <w:noProof/>
                <w:webHidden/>
              </w:rPr>
              <w:fldChar w:fldCharType="end"/>
            </w:r>
          </w:hyperlink>
        </w:p>
        <w:p w14:paraId="09DE96F3" w14:textId="15CD20EF" w:rsidR="00BB22D8" w:rsidRPr="00734D3B" w:rsidRDefault="00BB22D8">
          <w:pPr>
            <w:pStyle w:val="TOC3"/>
            <w:tabs>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09" w:history="1">
            <w:r w:rsidRPr="00734D3B">
              <w:rPr>
                <w:rStyle w:val="Hyperlink"/>
                <w:noProof/>
                <w:color w:val="auto"/>
              </w:rPr>
              <w:t>3.2. Deducción</w:t>
            </w:r>
            <w:r w:rsidRPr="00734D3B">
              <w:rPr>
                <w:noProof/>
                <w:webHidden/>
              </w:rPr>
              <w:tab/>
            </w:r>
            <w:r w:rsidRPr="00734D3B">
              <w:rPr>
                <w:noProof/>
                <w:webHidden/>
              </w:rPr>
              <w:fldChar w:fldCharType="begin"/>
            </w:r>
            <w:r w:rsidRPr="00734D3B">
              <w:rPr>
                <w:noProof/>
                <w:webHidden/>
              </w:rPr>
              <w:instrText xml:space="preserve"> PAGEREF _Toc227936409 \h </w:instrText>
            </w:r>
            <w:r w:rsidRPr="00734D3B">
              <w:rPr>
                <w:noProof/>
                <w:webHidden/>
              </w:rPr>
            </w:r>
            <w:r w:rsidRPr="00734D3B">
              <w:rPr>
                <w:noProof/>
                <w:webHidden/>
              </w:rPr>
              <w:fldChar w:fldCharType="separate"/>
            </w:r>
            <w:r w:rsidR="0058263D" w:rsidRPr="00734D3B">
              <w:rPr>
                <w:noProof/>
                <w:webHidden/>
              </w:rPr>
              <w:t>85</w:t>
            </w:r>
            <w:r w:rsidRPr="00734D3B">
              <w:rPr>
                <w:noProof/>
                <w:webHidden/>
              </w:rPr>
              <w:fldChar w:fldCharType="end"/>
            </w:r>
          </w:hyperlink>
        </w:p>
        <w:p w14:paraId="3B51A92A" w14:textId="5C4FB281" w:rsidR="00BB22D8" w:rsidRPr="00734D3B" w:rsidRDefault="00BB22D8">
          <w:pPr>
            <w:pStyle w:val="TOC2"/>
            <w:tabs>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10" w:history="1">
            <w:r w:rsidRPr="00734D3B">
              <w:rPr>
                <w:rStyle w:val="Hyperlink"/>
                <w:noProof/>
                <w:color w:val="auto"/>
              </w:rPr>
              <w:t>3.3 Herramientas</w:t>
            </w:r>
            <w:r w:rsidRPr="00734D3B">
              <w:rPr>
                <w:noProof/>
                <w:webHidden/>
              </w:rPr>
              <w:tab/>
            </w:r>
            <w:r w:rsidRPr="00734D3B">
              <w:rPr>
                <w:noProof/>
                <w:webHidden/>
              </w:rPr>
              <w:fldChar w:fldCharType="begin"/>
            </w:r>
            <w:r w:rsidRPr="00734D3B">
              <w:rPr>
                <w:noProof/>
                <w:webHidden/>
              </w:rPr>
              <w:instrText xml:space="preserve"> PAGEREF _Toc227936410 \h </w:instrText>
            </w:r>
            <w:r w:rsidRPr="00734D3B">
              <w:rPr>
                <w:noProof/>
                <w:webHidden/>
              </w:rPr>
            </w:r>
            <w:r w:rsidRPr="00734D3B">
              <w:rPr>
                <w:noProof/>
                <w:webHidden/>
              </w:rPr>
              <w:fldChar w:fldCharType="separate"/>
            </w:r>
            <w:r w:rsidR="0058263D" w:rsidRPr="00734D3B">
              <w:rPr>
                <w:noProof/>
                <w:webHidden/>
              </w:rPr>
              <w:t>86</w:t>
            </w:r>
            <w:r w:rsidRPr="00734D3B">
              <w:rPr>
                <w:noProof/>
                <w:webHidden/>
              </w:rPr>
              <w:fldChar w:fldCharType="end"/>
            </w:r>
          </w:hyperlink>
        </w:p>
        <w:p w14:paraId="46D395A3" w14:textId="028CACC3" w:rsidR="00BB22D8" w:rsidRPr="00734D3B" w:rsidRDefault="00BB22D8">
          <w:pPr>
            <w:pStyle w:val="TOC2"/>
            <w:tabs>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11" w:history="1">
            <w:r w:rsidRPr="00734D3B">
              <w:rPr>
                <w:rStyle w:val="Hyperlink"/>
                <w:noProof/>
                <w:color w:val="auto"/>
              </w:rPr>
              <w:t>3.4 Supuestos y restricciones</w:t>
            </w:r>
            <w:r w:rsidRPr="00734D3B">
              <w:rPr>
                <w:noProof/>
                <w:webHidden/>
              </w:rPr>
              <w:tab/>
            </w:r>
            <w:r w:rsidRPr="00734D3B">
              <w:rPr>
                <w:noProof/>
                <w:webHidden/>
              </w:rPr>
              <w:fldChar w:fldCharType="begin"/>
            </w:r>
            <w:r w:rsidRPr="00734D3B">
              <w:rPr>
                <w:noProof/>
                <w:webHidden/>
              </w:rPr>
              <w:instrText xml:space="preserve"> PAGEREF _Toc227936411 \h </w:instrText>
            </w:r>
            <w:r w:rsidRPr="00734D3B">
              <w:rPr>
                <w:noProof/>
                <w:webHidden/>
              </w:rPr>
            </w:r>
            <w:r w:rsidRPr="00734D3B">
              <w:rPr>
                <w:noProof/>
                <w:webHidden/>
              </w:rPr>
              <w:fldChar w:fldCharType="separate"/>
            </w:r>
            <w:r w:rsidR="0058263D" w:rsidRPr="00734D3B">
              <w:rPr>
                <w:noProof/>
                <w:webHidden/>
              </w:rPr>
              <w:t>89</w:t>
            </w:r>
            <w:r w:rsidRPr="00734D3B">
              <w:rPr>
                <w:noProof/>
                <w:webHidden/>
              </w:rPr>
              <w:fldChar w:fldCharType="end"/>
            </w:r>
          </w:hyperlink>
        </w:p>
        <w:p w14:paraId="3E205ED7" w14:textId="1D2871FB"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12" w:history="1">
            <w:r w:rsidRPr="00734D3B">
              <w:rPr>
                <w:rStyle w:val="Hyperlink"/>
                <w:noProof/>
                <w:color w:val="auto"/>
                <w:lang w:val="en-US"/>
              </w:rPr>
              <w:t>3.4.1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lang w:val="en-US"/>
              </w:rPr>
              <w:t>Supuestos del proyecto</w:t>
            </w:r>
            <w:r w:rsidRPr="00734D3B">
              <w:rPr>
                <w:noProof/>
                <w:webHidden/>
              </w:rPr>
              <w:tab/>
            </w:r>
            <w:r w:rsidRPr="00734D3B">
              <w:rPr>
                <w:noProof/>
                <w:webHidden/>
              </w:rPr>
              <w:fldChar w:fldCharType="begin"/>
            </w:r>
            <w:r w:rsidRPr="00734D3B">
              <w:rPr>
                <w:noProof/>
                <w:webHidden/>
              </w:rPr>
              <w:instrText xml:space="preserve"> PAGEREF _Toc227936412 \h </w:instrText>
            </w:r>
            <w:r w:rsidRPr="00734D3B">
              <w:rPr>
                <w:noProof/>
                <w:webHidden/>
              </w:rPr>
            </w:r>
            <w:r w:rsidRPr="00734D3B">
              <w:rPr>
                <w:noProof/>
                <w:webHidden/>
              </w:rPr>
              <w:fldChar w:fldCharType="separate"/>
            </w:r>
            <w:r w:rsidR="0058263D" w:rsidRPr="00734D3B">
              <w:rPr>
                <w:noProof/>
                <w:webHidden/>
              </w:rPr>
              <w:t>90</w:t>
            </w:r>
            <w:r w:rsidRPr="00734D3B">
              <w:rPr>
                <w:noProof/>
                <w:webHidden/>
              </w:rPr>
              <w:fldChar w:fldCharType="end"/>
            </w:r>
          </w:hyperlink>
        </w:p>
        <w:p w14:paraId="7AE322A9" w14:textId="167A64DD" w:rsidR="00BB22D8" w:rsidRPr="00734D3B" w:rsidRDefault="00BB22D8">
          <w:pPr>
            <w:pStyle w:val="TOC3"/>
            <w:tabs>
              <w:tab w:val="left" w:pos="1658"/>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13" w:history="1">
            <w:r w:rsidRPr="00734D3B">
              <w:rPr>
                <w:rStyle w:val="Hyperlink"/>
                <w:noProof/>
                <w:color w:val="auto"/>
              </w:rPr>
              <w:t>3.4.2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Restricciones del proyecto</w:t>
            </w:r>
            <w:r w:rsidRPr="00734D3B">
              <w:rPr>
                <w:noProof/>
                <w:webHidden/>
              </w:rPr>
              <w:tab/>
            </w:r>
            <w:r w:rsidRPr="00734D3B">
              <w:rPr>
                <w:noProof/>
                <w:webHidden/>
              </w:rPr>
              <w:fldChar w:fldCharType="begin"/>
            </w:r>
            <w:r w:rsidRPr="00734D3B">
              <w:rPr>
                <w:noProof/>
                <w:webHidden/>
              </w:rPr>
              <w:instrText xml:space="preserve"> PAGEREF _Toc227936413 \h </w:instrText>
            </w:r>
            <w:r w:rsidRPr="00734D3B">
              <w:rPr>
                <w:noProof/>
                <w:webHidden/>
              </w:rPr>
            </w:r>
            <w:r w:rsidRPr="00734D3B">
              <w:rPr>
                <w:noProof/>
                <w:webHidden/>
              </w:rPr>
              <w:fldChar w:fldCharType="separate"/>
            </w:r>
            <w:r w:rsidR="0058263D" w:rsidRPr="00734D3B">
              <w:rPr>
                <w:noProof/>
                <w:webHidden/>
              </w:rPr>
              <w:t>91</w:t>
            </w:r>
            <w:r w:rsidRPr="00734D3B">
              <w:rPr>
                <w:noProof/>
                <w:webHidden/>
              </w:rPr>
              <w:fldChar w:fldCharType="end"/>
            </w:r>
          </w:hyperlink>
        </w:p>
        <w:p w14:paraId="76B5B550" w14:textId="4EDACF6A"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14" w:history="1">
            <w:r w:rsidRPr="00734D3B">
              <w:rPr>
                <w:rStyle w:val="Hyperlink"/>
                <w:noProof/>
                <w:color w:val="auto"/>
              </w:rPr>
              <w:t>3.5</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Entregables</w:t>
            </w:r>
            <w:r w:rsidRPr="00734D3B">
              <w:rPr>
                <w:noProof/>
                <w:webHidden/>
              </w:rPr>
              <w:tab/>
            </w:r>
            <w:r w:rsidRPr="00734D3B">
              <w:rPr>
                <w:noProof/>
                <w:webHidden/>
              </w:rPr>
              <w:fldChar w:fldCharType="begin"/>
            </w:r>
            <w:r w:rsidRPr="00734D3B">
              <w:rPr>
                <w:noProof/>
                <w:webHidden/>
              </w:rPr>
              <w:instrText xml:space="preserve"> PAGEREF _Toc227936414 \h </w:instrText>
            </w:r>
            <w:r w:rsidRPr="00734D3B">
              <w:rPr>
                <w:noProof/>
                <w:webHidden/>
              </w:rPr>
            </w:r>
            <w:r w:rsidRPr="00734D3B">
              <w:rPr>
                <w:noProof/>
                <w:webHidden/>
              </w:rPr>
              <w:fldChar w:fldCharType="separate"/>
            </w:r>
            <w:r w:rsidR="0058263D" w:rsidRPr="00734D3B">
              <w:rPr>
                <w:noProof/>
                <w:webHidden/>
              </w:rPr>
              <w:t>94</w:t>
            </w:r>
            <w:r w:rsidRPr="00734D3B">
              <w:rPr>
                <w:noProof/>
                <w:webHidden/>
              </w:rPr>
              <w:fldChar w:fldCharType="end"/>
            </w:r>
          </w:hyperlink>
        </w:p>
        <w:p w14:paraId="33F9AB16" w14:textId="0C2DB93A"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15" w:history="1">
            <w:r w:rsidRPr="00734D3B">
              <w:rPr>
                <w:rStyle w:val="Hyperlink"/>
                <w:noProof/>
                <w:color w:val="auto"/>
              </w:rPr>
              <w:t>4</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noProof/>
                <w:color w:val="auto"/>
              </w:rPr>
              <w:t>Desarrollo</w:t>
            </w:r>
            <w:r w:rsidRPr="00734D3B">
              <w:rPr>
                <w:noProof/>
                <w:webHidden/>
              </w:rPr>
              <w:tab/>
            </w:r>
            <w:r w:rsidRPr="00734D3B">
              <w:rPr>
                <w:noProof/>
                <w:webHidden/>
              </w:rPr>
              <w:fldChar w:fldCharType="begin"/>
            </w:r>
            <w:r w:rsidRPr="00734D3B">
              <w:rPr>
                <w:noProof/>
                <w:webHidden/>
              </w:rPr>
              <w:instrText xml:space="preserve"> PAGEREF _Toc227936415 \h </w:instrText>
            </w:r>
            <w:r w:rsidRPr="00734D3B">
              <w:rPr>
                <w:noProof/>
                <w:webHidden/>
              </w:rPr>
            </w:r>
            <w:r w:rsidRPr="00734D3B">
              <w:rPr>
                <w:noProof/>
                <w:webHidden/>
              </w:rPr>
              <w:fldChar w:fldCharType="separate"/>
            </w:r>
            <w:r w:rsidR="0058263D" w:rsidRPr="00734D3B">
              <w:rPr>
                <w:noProof/>
                <w:webHidden/>
              </w:rPr>
              <w:t>96</w:t>
            </w:r>
            <w:r w:rsidRPr="00734D3B">
              <w:rPr>
                <w:noProof/>
                <w:webHidden/>
              </w:rPr>
              <w:fldChar w:fldCharType="end"/>
            </w:r>
          </w:hyperlink>
        </w:p>
        <w:p w14:paraId="0FAAE570" w14:textId="1F34458D" w:rsidR="00BB22D8" w:rsidRPr="00734D3B" w:rsidRDefault="00BB22D8" w:rsidP="00170B0B">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16" w:history="1">
            <w:r w:rsidRPr="00734D3B">
              <w:rPr>
                <w:rStyle w:val="Hyperlink"/>
                <w:noProof/>
                <w:color w:val="auto"/>
              </w:rPr>
              <w:t>4.1</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Diagnóstico del estado actual de la sostenibilidad y gestión de residuos en proyectos eléctricos de centros de datos en Arizona, Estados Unidos</w:t>
            </w:r>
            <w:r w:rsidRPr="00734D3B">
              <w:rPr>
                <w:noProof/>
                <w:webHidden/>
              </w:rPr>
              <w:tab/>
            </w:r>
            <w:r w:rsidRPr="00734D3B">
              <w:rPr>
                <w:noProof/>
                <w:webHidden/>
              </w:rPr>
              <w:fldChar w:fldCharType="begin"/>
            </w:r>
            <w:r w:rsidRPr="00734D3B">
              <w:rPr>
                <w:noProof/>
                <w:webHidden/>
              </w:rPr>
              <w:instrText xml:space="preserve"> PAGEREF _Toc227936416 \h </w:instrText>
            </w:r>
            <w:r w:rsidRPr="00734D3B">
              <w:rPr>
                <w:noProof/>
                <w:webHidden/>
              </w:rPr>
            </w:r>
            <w:r w:rsidRPr="00734D3B">
              <w:rPr>
                <w:noProof/>
                <w:webHidden/>
              </w:rPr>
              <w:fldChar w:fldCharType="separate"/>
            </w:r>
            <w:r w:rsidR="0058263D" w:rsidRPr="00734D3B">
              <w:rPr>
                <w:noProof/>
                <w:webHidden/>
              </w:rPr>
              <w:t>96</w:t>
            </w:r>
            <w:r w:rsidRPr="00734D3B">
              <w:rPr>
                <w:noProof/>
                <w:webHidden/>
              </w:rPr>
              <w:fldChar w:fldCharType="end"/>
            </w:r>
          </w:hyperlink>
        </w:p>
        <w:p w14:paraId="2A30A8BE" w14:textId="1C42976B"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31" w:history="1">
            <w:r w:rsidRPr="00734D3B">
              <w:rPr>
                <w:rStyle w:val="Hyperlink"/>
                <w:noProof/>
                <w:color w:val="auto"/>
              </w:rPr>
              <w:t>4.2</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Análisis de marcos normativos y buenas prácticas aplicables a la gestión ambiental en proyectos eléctricos</w:t>
            </w:r>
            <w:r w:rsidRPr="00734D3B">
              <w:rPr>
                <w:noProof/>
                <w:webHidden/>
              </w:rPr>
              <w:tab/>
            </w:r>
            <w:r w:rsidRPr="00734D3B">
              <w:rPr>
                <w:noProof/>
                <w:webHidden/>
              </w:rPr>
              <w:fldChar w:fldCharType="begin"/>
            </w:r>
            <w:r w:rsidRPr="00734D3B">
              <w:rPr>
                <w:noProof/>
                <w:webHidden/>
              </w:rPr>
              <w:instrText xml:space="preserve"> PAGEREF _Toc227936431 \h </w:instrText>
            </w:r>
            <w:r w:rsidRPr="00734D3B">
              <w:rPr>
                <w:noProof/>
                <w:webHidden/>
              </w:rPr>
            </w:r>
            <w:r w:rsidRPr="00734D3B">
              <w:rPr>
                <w:noProof/>
                <w:webHidden/>
              </w:rPr>
              <w:fldChar w:fldCharType="separate"/>
            </w:r>
            <w:r w:rsidR="0058263D" w:rsidRPr="00734D3B">
              <w:rPr>
                <w:noProof/>
                <w:webHidden/>
              </w:rPr>
              <w:t>123</w:t>
            </w:r>
            <w:r w:rsidRPr="00734D3B">
              <w:rPr>
                <w:noProof/>
                <w:webHidden/>
              </w:rPr>
              <w:fldChar w:fldCharType="end"/>
            </w:r>
          </w:hyperlink>
        </w:p>
        <w:p w14:paraId="27C65D90" w14:textId="77FBF03E"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32" w:history="1">
            <w:r w:rsidRPr="00734D3B">
              <w:rPr>
                <w:rStyle w:val="Hyperlink"/>
                <w:noProof/>
                <w:color w:val="auto"/>
              </w:rPr>
              <w:t>4.3</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Diseño de lineamientos y procedimientos para la gestión sostenible de residuos eléctricos en centros de datos</w:t>
            </w:r>
            <w:r w:rsidRPr="00734D3B">
              <w:rPr>
                <w:noProof/>
                <w:webHidden/>
              </w:rPr>
              <w:tab/>
            </w:r>
            <w:r w:rsidRPr="00734D3B">
              <w:rPr>
                <w:noProof/>
                <w:webHidden/>
              </w:rPr>
              <w:fldChar w:fldCharType="begin"/>
            </w:r>
            <w:r w:rsidRPr="00734D3B">
              <w:rPr>
                <w:noProof/>
                <w:webHidden/>
              </w:rPr>
              <w:instrText xml:space="preserve"> PAGEREF _Toc227936432 \h </w:instrText>
            </w:r>
            <w:r w:rsidRPr="00734D3B">
              <w:rPr>
                <w:noProof/>
                <w:webHidden/>
              </w:rPr>
            </w:r>
            <w:r w:rsidRPr="00734D3B">
              <w:rPr>
                <w:noProof/>
                <w:webHidden/>
              </w:rPr>
              <w:fldChar w:fldCharType="separate"/>
            </w:r>
            <w:r w:rsidR="0058263D" w:rsidRPr="00734D3B">
              <w:rPr>
                <w:noProof/>
                <w:webHidden/>
              </w:rPr>
              <w:t>135</w:t>
            </w:r>
            <w:r w:rsidRPr="00734D3B">
              <w:rPr>
                <w:noProof/>
                <w:webHidden/>
              </w:rPr>
              <w:fldChar w:fldCharType="end"/>
            </w:r>
          </w:hyperlink>
        </w:p>
        <w:p w14:paraId="00001D4E" w14:textId="342A20CD"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33" w:history="1">
            <w:r w:rsidRPr="00734D3B">
              <w:rPr>
                <w:rStyle w:val="Hyperlink"/>
                <w:noProof/>
                <w:color w:val="auto"/>
              </w:rPr>
              <w:t>4.4</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Diseño de una guía metodológica para la gestión sostenible en proyectos eléctricos de centros de datos</w:t>
            </w:r>
            <w:r w:rsidRPr="00734D3B">
              <w:rPr>
                <w:noProof/>
                <w:webHidden/>
              </w:rPr>
              <w:tab/>
            </w:r>
            <w:r w:rsidRPr="00734D3B">
              <w:rPr>
                <w:noProof/>
                <w:webHidden/>
              </w:rPr>
              <w:fldChar w:fldCharType="begin"/>
            </w:r>
            <w:r w:rsidRPr="00734D3B">
              <w:rPr>
                <w:noProof/>
                <w:webHidden/>
              </w:rPr>
              <w:instrText xml:space="preserve"> PAGEREF _Toc227936433 \h </w:instrText>
            </w:r>
            <w:r w:rsidRPr="00734D3B">
              <w:rPr>
                <w:noProof/>
                <w:webHidden/>
              </w:rPr>
            </w:r>
            <w:r w:rsidRPr="00734D3B">
              <w:rPr>
                <w:noProof/>
                <w:webHidden/>
              </w:rPr>
              <w:fldChar w:fldCharType="separate"/>
            </w:r>
            <w:r w:rsidR="0058263D" w:rsidRPr="00734D3B">
              <w:rPr>
                <w:noProof/>
                <w:webHidden/>
              </w:rPr>
              <w:t>157</w:t>
            </w:r>
            <w:r w:rsidRPr="00734D3B">
              <w:rPr>
                <w:noProof/>
                <w:webHidden/>
              </w:rPr>
              <w:fldChar w:fldCharType="end"/>
            </w:r>
          </w:hyperlink>
        </w:p>
        <w:p w14:paraId="1F70F176" w14:textId="46DD9EDE"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34" w:history="1">
            <w:r w:rsidRPr="00734D3B">
              <w:rPr>
                <w:rStyle w:val="Hyperlink"/>
                <w:noProof/>
                <w:color w:val="auto"/>
              </w:rPr>
              <w:t>Conclusiones</w:t>
            </w:r>
            <w:r w:rsidRPr="00734D3B">
              <w:rPr>
                <w:noProof/>
                <w:webHidden/>
              </w:rPr>
              <w:tab/>
            </w:r>
            <w:r w:rsidRPr="00734D3B">
              <w:rPr>
                <w:noProof/>
                <w:webHidden/>
              </w:rPr>
              <w:fldChar w:fldCharType="begin"/>
            </w:r>
            <w:r w:rsidRPr="00734D3B">
              <w:rPr>
                <w:noProof/>
                <w:webHidden/>
              </w:rPr>
              <w:instrText xml:space="preserve"> PAGEREF _Toc227936434 \h </w:instrText>
            </w:r>
            <w:r w:rsidRPr="00734D3B">
              <w:rPr>
                <w:noProof/>
                <w:webHidden/>
              </w:rPr>
            </w:r>
            <w:r w:rsidRPr="00734D3B">
              <w:rPr>
                <w:noProof/>
                <w:webHidden/>
              </w:rPr>
              <w:fldChar w:fldCharType="separate"/>
            </w:r>
            <w:r w:rsidR="0058263D" w:rsidRPr="00734D3B">
              <w:rPr>
                <w:noProof/>
                <w:webHidden/>
              </w:rPr>
              <w:t>174</w:t>
            </w:r>
            <w:r w:rsidRPr="00734D3B">
              <w:rPr>
                <w:noProof/>
                <w:webHidden/>
              </w:rPr>
              <w:fldChar w:fldCharType="end"/>
            </w:r>
          </w:hyperlink>
        </w:p>
        <w:p w14:paraId="4AEBF138" w14:textId="1C7BA920"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35" w:history="1">
            <w:r w:rsidRPr="00734D3B">
              <w:rPr>
                <w:rStyle w:val="Hyperlink"/>
                <w:noProof/>
                <w:color w:val="auto"/>
              </w:rPr>
              <w:t>Recomendaciones</w:t>
            </w:r>
            <w:r w:rsidRPr="00734D3B">
              <w:rPr>
                <w:noProof/>
                <w:webHidden/>
              </w:rPr>
              <w:tab/>
            </w:r>
            <w:r w:rsidRPr="00734D3B">
              <w:rPr>
                <w:noProof/>
                <w:webHidden/>
              </w:rPr>
              <w:fldChar w:fldCharType="begin"/>
            </w:r>
            <w:r w:rsidRPr="00734D3B">
              <w:rPr>
                <w:noProof/>
                <w:webHidden/>
              </w:rPr>
              <w:instrText xml:space="preserve"> PAGEREF _Toc227936435 \h </w:instrText>
            </w:r>
            <w:r w:rsidRPr="00734D3B">
              <w:rPr>
                <w:noProof/>
                <w:webHidden/>
              </w:rPr>
            </w:r>
            <w:r w:rsidRPr="00734D3B">
              <w:rPr>
                <w:noProof/>
                <w:webHidden/>
              </w:rPr>
              <w:fldChar w:fldCharType="separate"/>
            </w:r>
            <w:r w:rsidR="0058263D" w:rsidRPr="00734D3B">
              <w:rPr>
                <w:noProof/>
                <w:webHidden/>
              </w:rPr>
              <w:t>177</w:t>
            </w:r>
            <w:r w:rsidRPr="00734D3B">
              <w:rPr>
                <w:noProof/>
                <w:webHidden/>
              </w:rPr>
              <w:fldChar w:fldCharType="end"/>
            </w:r>
          </w:hyperlink>
        </w:p>
        <w:p w14:paraId="5891BF31" w14:textId="497A7257"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36" w:history="1">
            <w:r w:rsidRPr="00734D3B">
              <w:rPr>
                <w:rStyle w:val="Hyperlink"/>
                <w:noProof/>
                <w:color w:val="auto"/>
              </w:rPr>
              <w:t>5.</w:t>
            </w:r>
            <w:r w:rsidRPr="00734D3B">
              <w:rPr>
                <w:rFonts w:asciiTheme="minorHAnsi" w:eastAsiaTheme="minorEastAsia" w:hAnsiTheme="minorHAnsi" w:cstheme="minorBidi"/>
                <w:bCs w:val="0"/>
                <w:caps w:val="0"/>
                <w:noProof/>
                <w:kern w:val="2"/>
                <w:sz w:val="24"/>
                <w:lang w:val="en-US" w:eastAsia="en-US"/>
                <w14:ligatures w14:val="standardContextual"/>
              </w:rPr>
              <w:tab/>
            </w:r>
            <w:r w:rsidRPr="00734D3B">
              <w:rPr>
                <w:rStyle w:val="Hyperlink"/>
                <w:noProof/>
                <w:color w:val="auto"/>
              </w:rPr>
              <w:t>Validación del trabajo en el campo del desarrollo regenerativo y/o sostenible</w:t>
            </w:r>
            <w:r w:rsidRPr="00734D3B">
              <w:rPr>
                <w:noProof/>
                <w:webHidden/>
              </w:rPr>
              <w:tab/>
            </w:r>
            <w:r w:rsidRPr="00734D3B">
              <w:rPr>
                <w:noProof/>
                <w:webHidden/>
              </w:rPr>
              <w:fldChar w:fldCharType="begin"/>
            </w:r>
            <w:r w:rsidRPr="00734D3B">
              <w:rPr>
                <w:noProof/>
                <w:webHidden/>
              </w:rPr>
              <w:instrText xml:space="preserve"> PAGEREF _Toc227936436 \h </w:instrText>
            </w:r>
            <w:r w:rsidRPr="00734D3B">
              <w:rPr>
                <w:noProof/>
                <w:webHidden/>
              </w:rPr>
            </w:r>
            <w:r w:rsidRPr="00734D3B">
              <w:rPr>
                <w:noProof/>
                <w:webHidden/>
              </w:rPr>
              <w:fldChar w:fldCharType="separate"/>
            </w:r>
            <w:r w:rsidR="0058263D" w:rsidRPr="00734D3B">
              <w:rPr>
                <w:noProof/>
                <w:webHidden/>
              </w:rPr>
              <w:t>179</w:t>
            </w:r>
            <w:r w:rsidRPr="00734D3B">
              <w:rPr>
                <w:noProof/>
                <w:webHidden/>
              </w:rPr>
              <w:fldChar w:fldCharType="end"/>
            </w:r>
          </w:hyperlink>
        </w:p>
        <w:p w14:paraId="6A60B070" w14:textId="6AA537A3"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37" w:history="1">
            <w:r w:rsidRPr="00734D3B">
              <w:rPr>
                <w:rStyle w:val="Hyperlink"/>
                <w:noProof/>
                <w:color w:val="auto"/>
              </w:rPr>
              <w:t>1.</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Relación del proyecto con los objetivos de Desarrollo Sostenible</w:t>
            </w:r>
            <w:r w:rsidRPr="00734D3B">
              <w:rPr>
                <w:noProof/>
                <w:webHidden/>
              </w:rPr>
              <w:tab/>
            </w:r>
            <w:r w:rsidRPr="00734D3B">
              <w:rPr>
                <w:noProof/>
                <w:webHidden/>
              </w:rPr>
              <w:fldChar w:fldCharType="begin"/>
            </w:r>
            <w:r w:rsidRPr="00734D3B">
              <w:rPr>
                <w:noProof/>
                <w:webHidden/>
              </w:rPr>
              <w:instrText xml:space="preserve"> PAGEREF _Toc227936437 \h </w:instrText>
            </w:r>
            <w:r w:rsidRPr="00734D3B">
              <w:rPr>
                <w:noProof/>
                <w:webHidden/>
              </w:rPr>
            </w:r>
            <w:r w:rsidRPr="00734D3B">
              <w:rPr>
                <w:noProof/>
                <w:webHidden/>
              </w:rPr>
              <w:fldChar w:fldCharType="separate"/>
            </w:r>
            <w:r w:rsidR="0058263D" w:rsidRPr="00734D3B">
              <w:rPr>
                <w:noProof/>
                <w:webHidden/>
              </w:rPr>
              <w:t>181</w:t>
            </w:r>
            <w:r w:rsidRPr="00734D3B">
              <w:rPr>
                <w:noProof/>
                <w:webHidden/>
              </w:rPr>
              <w:fldChar w:fldCharType="end"/>
            </w:r>
          </w:hyperlink>
        </w:p>
        <w:p w14:paraId="1A5D9946" w14:textId="6BA771DF"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38" w:history="1">
            <w:r w:rsidRPr="00734D3B">
              <w:rPr>
                <w:rStyle w:val="Hyperlink"/>
                <w:noProof/>
                <w:color w:val="auto"/>
              </w:rPr>
              <w:t>2.</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Análisis del proyecto de acuerdo con el Estándar P5</w:t>
            </w:r>
            <w:r w:rsidRPr="00734D3B">
              <w:rPr>
                <w:noProof/>
                <w:webHidden/>
              </w:rPr>
              <w:tab/>
            </w:r>
            <w:r w:rsidRPr="00734D3B">
              <w:rPr>
                <w:noProof/>
                <w:webHidden/>
              </w:rPr>
              <w:fldChar w:fldCharType="begin"/>
            </w:r>
            <w:r w:rsidRPr="00734D3B">
              <w:rPr>
                <w:noProof/>
                <w:webHidden/>
              </w:rPr>
              <w:instrText xml:space="preserve"> PAGEREF _Toc227936438 \h </w:instrText>
            </w:r>
            <w:r w:rsidRPr="00734D3B">
              <w:rPr>
                <w:noProof/>
                <w:webHidden/>
              </w:rPr>
            </w:r>
            <w:r w:rsidRPr="00734D3B">
              <w:rPr>
                <w:noProof/>
                <w:webHidden/>
              </w:rPr>
              <w:fldChar w:fldCharType="separate"/>
            </w:r>
            <w:r w:rsidR="0058263D" w:rsidRPr="00734D3B">
              <w:rPr>
                <w:noProof/>
                <w:webHidden/>
              </w:rPr>
              <w:t>186</w:t>
            </w:r>
            <w:r w:rsidRPr="00734D3B">
              <w:rPr>
                <w:noProof/>
                <w:webHidden/>
              </w:rPr>
              <w:fldChar w:fldCharType="end"/>
            </w:r>
          </w:hyperlink>
        </w:p>
        <w:p w14:paraId="13CDCB14" w14:textId="031838F7"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39" w:history="1">
            <w:r w:rsidRPr="00734D3B">
              <w:rPr>
                <w:rStyle w:val="Hyperlink"/>
                <w:noProof/>
                <w:color w:val="auto"/>
              </w:rPr>
              <w:t>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Categoría: Impacto a las Personas</w:t>
            </w:r>
            <w:r w:rsidRPr="00734D3B">
              <w:rPr>
                <w:noProof/>
                <w:webHidden/>
              </w:rPr>
              <w:tab/>
            </w:r>
            <w:r w:rsidRPr="00734D3B">
              <w:rPr>
                <w:noProof/>
                <w:webHidden/>
              </w:rPr>
              <w:fldChar w:fldCharType="begin"/>
            </w:r>
            <w:r w:rsidRPr="00734D3B">
              <w:rPr>
                <w:noProof/>
                <w:webHidden/>
              </w:rPr>
              <w:instrText xml:space="preserve"> PAGEREF _Toc227936439 \h </w:instrText>
            </w:r>
            <w:r w:rsidRPr="00734D3B">
              <w:rPr>
                <w:noProof/>
                <w:webHidden/>
              </w:rPr>
            </w:r>
            <w:r w:rsidRPr="00734D3B">
              <w:rPr>
                <w:noProof/>
                <w:webHidden/>
              </w:rPr>
              <w:fldChar w:fldCharType="separate"/>
            </w:r>
            <w:r w:rsidR="0058263D" w:rsidRPr="00734D3B">
              <w:rPr>
                <w:noProof/>
                <w:webHidden/>
              </w:rPr>
              <w:t>190</w:t>
            </w:r>
            <w:r w:rsidRPr="00734D3B">
              <w:rPr>
                <w:noProof/>
                <w:webHidden/>
              </w:rPr>
              <w:fldChar w:fldCharType="end"/>
            </w:r>
          </w:hyperlink>
        </w:p>
        <w:p w14:paraId="58F47E07" w14:textId="46919CAC"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0" w:history="1">
            <w:r w:rsidRPr="00734D3B">
              <w:rPr>
                <w:rStyle w:val="Hyperlink"/>
                <w:noProof/>
                <w:color w:val="auto"/>
              </w:rPr>
              <w:t>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Categoría: Impacto al Planeta</w:t>
            </w:r>
            <w:r w:rsidRPr="00734D3B">
              <w:rPr>
                <w:noProof/>
                <w:webHidden/>
              </w:rPr>
              <w:tab/>
            </w:r>
            <w:r w:rsidRPr="00734D3B">
              <w:rPr>
                <w:noProof/>
                <w:webHidden/>
              </w:rPr>
              <w:fldChar w:fldCharType="begin"/>
            </w:r>
            <w:r w:rsidRPr="00734D3B">
              <w:rPr>
                <w:noProof/>
                <w:webHidden/>
              </w:rPr>
              <w:instrText xml:space="preserve"> PAGEREF _Toc227936440 \h </w:instrText>
            </w:r>
            <w:r w:rsidRPr="00734D3B">
              <w:rPr>
                <w:noProof/>
                <w:webHidden/>
              </w:rPr>
            </w:r>
            <w:r w:rsidRPr="00734D3B">
              <w:rPr>
                <w:noProof/>
                <w:webHidden/>
              </w:rPr>
              <w:fldChar w:fldCharType="separate"/>
            </w:r>
            <w:r w:rsidR="0058263D" w:rsidRPr="00734D3B">
              <w:rPr>
                <w:noProof/>
                <w:webHidden/>
              </w:rPr>
              <w:t>194</w:t>
            </w:r>
            <w:r w:rsidRPr="00734D3B">
              <w:rPr>
                <w:noProof/>
                <w:webHidden/>
              </w:rPr>
              <w:fldChar w:fldCharType="end"/>
            </w:r>
          </w:hyperlink>
        </w:p>
        <w:p w14:paraId="3693C27D" w14:textId="753464A1"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1" w:history="1">
            <w:r w:rsidRPr="00734D3B">
              <w:rPr>
                <w:rStyle w:val="Hyperlink"/>
                <w:noProof/>
                <w:color w:val="auto"/>
              </w:rPr>
              <w:t>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Categoría: Impacto a la Prosperidad</w:t>
            </w:r>
            <w:r w:rsidRPr="00734D3B">
              <w:rPr>
                <w:noProof/>
                <w:webHidden/>
              </w:rPr>
              <w:tab/>
            </w:r>
            <w:r w:rsidRPr="00734D3B">
              <w:rPr>
                <w:noProof/>
                <w:webHidden/>
              </w:rPr>
              <w:fldChar w:fldCharType="begin"/>
            </w:r>
            <w:r w:rsidRPr="00734D3B">
              <w:rPr>
                <w:noProof/>
                <w:webHidden/>
              </w:rPr>
              <w:instrText xml:space="preserve"> PAGEREF _Toc227936441 \h </w:instrText>
            </w:r>
            <w:r w:rsidRPr="00734D3B">
              <w:rPr>
                <w:noProof/>
                <w:webHidden/>
              </w:rPr>
            </w:r>
            <w:r w:rsidRPr="00734D3B">
              <w:rPr>
                <w:noProof/>
                <w:webHidden/>
              </w:rPr>
              <w:fldChar w:fldCharType="separate"/>
            </w:r>
            <w:r w:rsidR="0058263D" w:rsidRPr="00734D3B">
              <w:rPr>
                <w:noProof/>
                <w:webHidden/>
              </w:rPr>
              <w:t>198</w:t>
            </w:r>
            <w:r w:rsidRPr="00734D3B">
              <w:rPr>
                <w:noProof/>
                <w:webHidden/>
              </w:rPr>
              <w:fldChar w:fldCharType="end"/>
            </w:r>
          </w:hyperlink>
        </w:p>
        <w:p w14:paraId="5D98F71F" w14:textId="723582B5" w:rsidR="00BB22D8" w:rsidRPr="00734D3B" w:rsidRDefault="00BB22D8">
          <w:pPr>
            <w:pStyle w:val="TOC2"/>
            <w:tabs>
              <w:tab w:val="left" w:pos="1320"/>
              <w:tab w:val="right" w:leader="dot" w:pos="9352"/>
            </w:tabs>
            <w:rPr>
              <w:rFonts w:asciiTheme="minorHAnsi" w:eastAsiaTheme="minorEastAsia" w:hAnsiTheme="minorHAnsi" w:cstheme="minorBidi"/>
              <w:bCs w:val="0"/>
              <w:noProof/>
              <w:kern w:val="2"/>
              <w:sz w:val="24"/>
              <w:szCs w:val="24"/>
              <w:lang w:val="en-US" w:eastAsia="en-US"/>
              <w14:ligatures w14:val="standardContextual"/>
            </w:rPr>
          </w:pPr>
          <w:hyperlink w:anchor="_Toc227936442" w:history="1">
            <w:r w:rsidRPr="00734D3B">
              <w:rPr>
                <w:rStyle w:val="Hyperlink"/>
                <w:noProof/>
                <w:color w:val="auto"/>
              </w:rPr>
              <w:t>3.</w:t>
            </w:r>
            <w:r w:rsidRPr="00734D3B">
              <w:rPr>
                <w:rFonts w:asciiTheme="minorHAnsi" w:eastAsiaTheme="minorEastAsia" w:hAnsiTheme="minorHAnsi" w:cstheme="minorBidi"/>
                <w:bCs w:val="0"/>
                <w:noProof/>
                <w:kern w:val="2"/>
                <w:sz w:val="24"/>
                <w:szCs w:val="24"/>
                <w:lang w:val="en-US" w:eastAsia="en-US"/>
                <w14:ligatures w14:val="standardContextual"/>
              </w:rPr>
              <w:tab/>
            </w:r>
            <w:r w:rsidRPr="00734D3B">
              <w:rPr>
                <w:rStyle w:val="Hyperlink"/>
                <w:noProof/>
                <w:color w:val="auto"/>
              </w:rPr>
              <w:t>Relación del proyecto con las dimensiones del Desarrollo Regenerativo</w:t>
            </w:r>
            <w:r w:rsidRPr="00734D3B">
              <w:rPr>
                <w:noProof/>
                <w:webHidden/>
              </w:rPr>
              <w:tab/>
            </w:r>
            <w:r w:rsidRPr="00734D3B">
              <w:rPr>
                <w:noProof/>
                <w:webHidden/>
              </w:rPr>
              <w:fldChar w:fldCharType="begin"/>
            </w:r>
            <w:r w:rsidRPr="00734D3B">
              <w:rPr>
                <w:noProof/>
                <w:webHidden/>
              </w:rPr>
              <w:instrText xml:space="preserve"> PAGEREF _Toc227936442 \h </w:instrText>
            </w:r>
            <w:r w:rsidRPr="00734D3B">
              <w:rPr>
                <w:noProof/>
                <w:webHidden/>
              </w:rPr>
            </w:r>
            <w:r w:rsidRPr="00734D3B">
              <w:rPr>
                <w:noProof/>
                <w:webHidden/>
              </w:rPr>
              <w:fldChar w:fldCharType="separate"/>
            </w:r>
            <w:r w:rsidR="0058263D" w:rsidRPr="00734D3B">
              <w:rPr>
                <w:noProof/>
                <w:webHidden/>
              </w:rPr>
              <w:t>202</w:t>
            </w:r>
            <w:r w:rsidRPr="00734D3B">
              <w:rPr>
                <w:noProof/>
                <w:webHidden/>
              </w:rPr>
              <w:fldChar w:fldCharType="end"/>
            </w:r>
          </w:hyperlink>
        </w:p>
        <w:p w14:paraId="504D4590" w14:textId="7571F7B7"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3" w:history="1">
            <w:r w:rsidRPr="00734D3B">
              <w:rPr>
                <w:rStyle w:val="Hyperlink"/>
                <w:noProof/>
                <w:color w:val="auto"/>
              </w:rPr>
              <w:t>1.</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ambiental del desarrollo regenerativo</w:t>
            </w:r>
            <w:r w:rsidRPr="00734D3B">
              <w:rPr>
                <w:noProof/>
                <w:webHidden/>
              </w:rPr>
              <w:tab/>
            </w:r>
            <w:r w:rsidRPr="00734D3B">
              <w:rPr>
                <w:noProof/>
                <w:webHidden/>
              </w:rPr>
              <w:fldChar w:fldCharType="begin"/>
            </w:r>
            <w:r w:rsidRPr="00734D3B">
              <w:rPr>
                <w:noProof/>
                <w:webHidden/>
              </w:rPr>
              <w:instrText xml:space="preserve"> PAGEREF _Toc227936443 \h </w:instrText>
            </w:r>
            <w:r w:rsidRPr="00734D3B">
              <w:rPr>
                <w:noProof/>
                <w:webHidden/>
              </w:rPr>
            </w:r>
            <w:r w:rsidRPr="00734D3B">
              <w:rPr>
                <w:noProof/>
                <w:webHidden/>
              </w:rPr>
              <w:fldChar w:fldCharType="separate"/>
            </w:r>
            <w:r w:rsidR="0058263D" w:rsidRPr="00734D3B">
              <w:rPr>
                <w:noProof/>
                <w:webHidden/>
              </w:rPr>
              <w:t>203</w:t>
            </w:r>
            <w:r w:rsidRPr="00734D3B">
              <w:rPr>
                <w:noProof/>
                <w:webHidden/>
              </w:rPr>
              <w:fldChar w:fldCharType="end"/>
            </w:r>
          </w:hyperlink>
        </w:p>
        <w:p w14:paraId="3F729555" w14:textId="59C8A882"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4" w:history="1">
            <w:r w:rsidRPr="00734D3B">
              <w:rPr>
                <w:rStyle w:val="Hyperlink"/>
                <w:noProof/>
                <w:color w:val="auto"/>
              </w:rPr>
              <w:t>2.</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social del desarrollo regenerativo</w:t>
            </w:r>
            <w:r w:rsidRPr="00734D3B">
              <w:rPr>
                <w:noProof/>
                <w:webHidden/>
              </w:rPr>
              <w:tab/>
            </w:r>
            <w:r w:rsidRPr="00734D3B">
              <w:rPr>
                <w:noProof/>
                <w:webHidden/>
              </w:rPr>
              <w:fldChar w:fldCharType="begin"/>
            </w:r>
            <w:r w:rsidRPr="00734D3B">
              <w:rPr>
                <w:noProof/>
                <w:webHidden/>
              </w:rPr>
              <w:instrText xml:space="preserve"> PAGEREF _Toc227936444 \h </w:instrText>
            </w:r>
            <w:r w:rsidRPr="00734D3B">
              <w:rPr>
                <w:noProof/>
                <w:webHidden/>
              </w:rPr>
            </w:r>
            <w:r w:rsidRPr="00734D3B">
              <w:rPr>
                <w:noProof/>
                <w:webHidden/>
              </w:rPr>
              <w:fldChar w:fldCharType="separate"/>
            </w:r>
            <w:r w:rsidR="0058263D" w:rsidRPr="00734D3B">
              <w:rPr>
                <w:noProof/>
                <w:webHidden/>
              </w:rPr>
              <w:t>206</w:t>
            </w:r>
            <w:r w:rsidRPr="00734D3B">
              <w:rPr>
                <w:noProof/>
                <w:webHidden/>
              </w:rPr>
              <w:fldChar w:fldCharType="end"/>
            </w:r>
          </w:hyperlink>
        </w:p>
        <w:p w14:paraId="29D7A690" w14:textId="7D1B1A25"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5" w:history="1">
            <w:r w:rsidRPr="00734D3B">
              <w:rPr>
                <w:rStyle w:val="Hyperlink"/>
                <w:noProof/>
                <w:color w:val="auto"/>
              </w:rPr>
              <w:t>3.</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económica del desarrollo regenerativo</w:t>
            </w:r>
            <w:r w:rsidRPr="00734D3B">
              <w:rPr>
                <w:noProof/>
                <w:webHidden/>
              </w:rPr>
              <w:tab/>
            </w:r>
            <w:r w:rsidRPr="00734D3B">
              <w:rPr>
                <w:noProof/>
                <w:webHidden/>
              </w:rPr>
              <w:fldChar w:fldCharType="begin"/>
            </w:r>
            <w:r w:rsidRPr="00734D3B">
              <w:rPr>
                <w:noProof/>
                <w:webHidden/>
              </w:rPr>
              <w:instrText xml:space="preserve"> PAGEREF _Toc227936445 \h </w:instrText>
            </w:r>
            <w:r w:rsidRPr="00734D3B">
              <w:rPr>
                <w:noProof/>
                <w:webHidden/>
              </w:rPr>
            </w:r>
            <w:r w:rsidRPr="00734D3B">
              <w:rPr>
                <w:noProof/>
                <w:webHidden/>
              </w:rPr>
              <w:fldChar w:fldCharType="separate"/>
            </w:r>
            <w:r w:rsidR="0058263D" w:rsidRPr="00734D3B">
              <w:rPr>
                <w:noProof/>
                <w:webHidden/>
              </w:rPr>
              <w:t>207</w:t>
            </w:r>
            <w:r w:rsidRPr="00734D3B">
              <w:rPr>
                <w:noProof/>
                <w:webHidden/>
              </w:rPr>
              <w:fldChar w:fldCharType="end"/>
            </w:r>
          </w:hyperlink>
        </w:p>
        <w:p w14:paraId="511D9D21" w14:textId="0D916485"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6" w:history="1">
            <w:r w:rsidRPr="00734D3B">
              <w:rPr>
                <w:rStyle w:val="Hyperlink"/>
                <w:noProof/>
                <w:color w:val="auto"/>
              </w:rPr>
              <w:t>4.</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espiritual del desarrollo regenerativo</w:t>
            </w:r>
            <w:r w:rsidRPr="00734D3B">
              <w:rPr>
                <w:noProof/>
                <w:webHidden/>
              </w:rPr>
              <w:tab/>
            </w:r>
            <w:r w:rsidRPr="00734D3B">
              <w:rPr>
                <w:noProof/>
                <w:webHidden/>
              </w:rPr>
              <w:fldChar w:fldCharType="begin"/>
            </w:r>
            <w:r w:rsidRPr="00734D3B">
              <w:rPr>
                <w:noProof/>
                <w:webHidden/>
              </w:rPr>
              <w:instrText xml:space="preserve"> PAGEREF _Toc227936446 \h </w:instrText>
            </w:r>
            <w:r w:rsidRPr="00734D3B">
              <w:rPr>
                <w:noProof/>
                <w:webHidden/>
              </w:rPr>
            </w:r>
            <w:r w:rsidRPr="00734D3B">
              <w:rPr>
                <w:noProof/>
                <w:webHidden/>
              </w:rPr>
              <w:fldChar w:fldCharType="separate"/>
            </w:r>
            <w:r w:rsidR="0058263D" w:rsidRPr="00734D3B">
              <w:rPr>
                <w:noProof/>
                <w:webHidden/>
              </w:rPr>
              <w:t>209</w:t>
            </w:r>
            <w:r w:rsidRPr="00734D3B">
              <w:rPr>
                <w:noProof/>
                <w:webHidden/>
              </w:rPr>
              <w:fldChar w:fldCharType="end"/>
            </w:r>
          </w:hyperlink>
        </w:p>
        <w:p w14:paraId="7821EB61" w14:textId="634C622B"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7" w:history="1">
            <w:r w:rsidRPr="00734D3B">
              <w:rPr>
                <w:rStyle w:val="Hyperlink"/>
                <w:noProof/>
                <w:color w:val="auto"/>
              </w:rPr>
              <w:t>5.</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cultural del desarrollo regenerativo</w:t>
            </w:r>
            <w:r w:rsidRPr="00734D3B">
              <w:rPr>
                <w:noProof/>
                <w:webHidden/>
              </w:rPr>
              <w:tab/>
            </w:r>
            <w:r w:rsidRPr="00734D3B">
              <w:rPr>
                <w:noProof/>
                <w:webHidden/>
              </w:rPr>
              <w:fldChar w:fldCharType="begin"/>
            </w:r>
            <w:r w:rsidRPr="00734D3B">
              <w:rPr>
                <w:noProof/>
                <w:webHidden/>
              </w:rPr>
              <w:instrText xml:space="preserve"> PAGEREF _Toc227936447 \h </w:instrText>
            </w:r>
            <w:r w:rsidRPr="00734D3B">
              <w:rPr>
                <w:noProof/>
                <w:webHidden/>
              </w:rPr>
            </w:r>
            <w:r w:rsidRPr="00734D3B">
              <w:rPr>
                <w:noProof/>
                <w:webHidden/>
              </w:rPr>
              <w:fldChar w:fldCharType="separate"/>
            </w:r>
            <w:r w:rsidR="0058263D" w:rsidRPr="00734D3B">
              <w:rPr>
                <w:noProof/>
                <w:webHidden/>
              </w:rPr>
              <w:t>211</w:t>
            </w:r>
            <w:r w:rsidRPr="00734D3B">
              <w:rPr>
                <w:noProof/>
                <w:webHidden/>
              </w:rPr>
              <w:fldChar w:fldCharType="end"/>
            </w:r>
          </w:hyperlink>
        </w:p>
        <w:p w14:paraId="484FD3C3" w14:textId="35820685" w:rsidR="00BB22D8" w:rsidRPr="00734D3B" w:rsidRDefault="00BB22D8">
          <w:pPr>
            <w:pStyle w:val="TOC3"/>
            <w:tabs>
              <w:tab w:val="left" w:pos="1540"/>
              <w:tab w:val="right" w:leader="dot" w:pos="9352"/>
            </w:tabs>
            <w:rPr>
              <w:rFonts w:asciiTheme="minorHAnsi" w:eastAsiaTheme="minorEastAsia" w:hAnsiTheme="minorHAnsi" w:cstheme="minorBidi"/>
              <w:noProof/>
              <w:kern w:val="2"/>
              <w:sz w:val="24"/>
              <w:szCs w:val="24"/>
              <w:lang w:val="en-US" w:eastAsia="en-US"/>
              <w14:ligatures w14:val="standardContextual"/>
            </w:rPr>
          </w:pPr>
          <w:hyperlink w:anchor="_Toc227936448" w:history="1">
            <w:r w:rsidRPr="00734D3B">
              <w:rPr>
                <w:rStyle w:val="Hyperlink"/>
                <w:noProof/>
                <w:color w:val="auto"/>
              </w:rPr>
              <w:t>6.</w:t>
            </w:r>
            <w:r w:rsidRPr="00734D3B">
              <w:rPr>
                <w:rFonts w:asciiTheme="minorHAnsi" w:eastAsiaTheme="minorEastAsia" w:hAnsiTheme="minorHAnsi" w:cstheme="minorBidi"/>
                <w:noProof/>
                <w:kern w:val="2"/>
                <w:sz w:val="24"/>
                <w:szCs w:val="24"/>
                <w:lang w:val="en-US" w:eastAsia="en-US"/>
                <w14:ligatures w14:val="standardContextual"/>
              </w:rPr>
              <w:tab/>
            </w:r>
            <w:r w:rsidRPr="00734D3B">
              <w:rPr>
                <w:rStyle w:val="Hyperlink"/>
                <w:noProof/>
                <w:color w:val="auto"/>
              </w:rPr>
              <w:t>Dimensión política del desarrollo regenerativo</w:t>
            </w:r>
            <w:r w:rsidRPr="00734D3B">
              <w:rPr>
                <w:noProof/>
                <w:webHidden/>
              </w:rPr>
              <w:tab/>
            </w:r>
            <w:r w:rsidRPr="00734D3B">
              <w:rPr>
                <w:noProof/>
                <w:webHidden/>
              </w:rPr>
              <w:fldChar w:fldCharType="begin"/>
            </w:r>
            <w:r w:rsidRPr="00734D3B">
              <w:rPr>
                <w:noProof/>
                <w:webHidden/>
              </w:rPr>
              <w:instrText xml:space="preserve"> PAGEREF _Toc227936448 \h </w:instrText>
            </w:r>
            <w:r w:rsidRPr="00734D3B">
              <w:rPr>
                <w:noProof/>
                <w:webHidden/>
              </w:rPr>
            </w:r>
            <w:r w:rsidRPr="00734D3B">
              <w:rPr>
                <w:noProof/>
                <w:webHidden/>
              </w:rPr>
              <w:fldChar w:fldCharType="separate"/>
            </w:r>
            <w:r w:rsidR="0058263D" w:rsidRPr="00734D3B">
              <w:rPr>
                <w:noProof/>
                <w:webHidden/>
              </w:rPr>
              <w:t>214</w:t>
            </w:r>
            <w:r w:rsidRPr="00734D3B">
              <w:rPr>
                <w:noProof/>
                <w:webHidden/>
              </w:rPr>
              <w:fldChar w:fldCharType="end"/>
            </w:r>
          </w:hyperlink>
        </w:p>
        <w:p w14:paraId="397BAC7E" w14:textId="368BBD5E"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49" w:history="1">
            <w:r w:rsidRPr="00734D3B">
              <w:rPr>
                <w:rStyle w:val="Hyperlink"/>
                <w:noProof/>
                <w:color w:val="auto"/>
              </w:rPr>
              <w:t>Lista de Referencias</w:t>
            </w:r>
            <w:r w:rsidRPr="00734D3B">
              <w:rPr>
                <w:noProof/>
                <w:webHidden/>
              </w:rPr>
              <w:tab/>
            </w:r>
            <w:r w:rsidRPr="00734D3B">
              <w:rPr>
                <w:noProof/>
                <w:webHidden/>
              </w:rPr>
              <w:fldChar w:fldCharType="begin"/>
            </w:r>
            <w:r w:rsidRPr="00734D3B">
              <w:rPr>
                <w:noProof/>
                <w:webHidden/>
              </w:rPr>
              <w:instrText xml:space="preserve"> PAGEREF _Toc227936449 \h </w:instrText>
            </w:r>
            <w:r w:rsidRPr="00734D3B">
              <w:rPr>
                <w:noProof/>
                <w:webHidden/>
              </w:rPr>
            </w:r>
            <w:r w:rsidRPr="00734D3B">
              <w:rPr>
                <w:noProof/>
                <w:webHidden/>
              </w:rPr>
              <w:fldChar w:fldCharType="separate"/>
            </w:r>
            <w:r w:rsidR="0058263D" w:rsidRPr="00734D3B">
              <w:rPr>
                <w:noProof/>
                <w:webHidden/>
              </w:rPr>
              <w:t>217</w:t>
            </w:r>
            <w:r w:rsidRPr="00734D3B">
              <w:rPr>
                <w:noProof/>
                <w:webHidden/>
              </w:rPr>
              <w:fldChar w:fldCharType="end"/>
            </w:r>
          </w:hyperlink>
        </w:p>
        <w:p w14:paraId="589530A5" w14:textId="07A2C1D6"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0" w:history="1">
            <w:r w:rsidRPr="00734D3B">
              <w:rPr>
                <w:rStyle w:val="Hyperlink"/>
                <w:noProof/>
                <w:color w:val="auto"/>
              </w:rPr>
              <w:t>Anexos</w:t>
            </w:r>
            <w:r w:rsidRPr="00734D3B">
              <w:rPr>
                <w:noProof/>
                <w:webHidden/>
              </w:rPr>
              <w:tab/>
            </w:r>
            <w:r w:rsidRPr="00734D3B">
              <w:rPr>
                <w:noProof/>
                <w:webHidden/>
              </w:rPr>
              <w:fldChar w:fldCharType="begin"/>
            </w:r>
            <w:r w:rsidRPr="00734D3B">
              <w:rPr>
                <w:noProof/>
                <w:webHidden/>
              </w:rPr>
              <w:instrText xml:space="preserve"> PAGEREF _Toc227936450 \h </w:instrText>
            </w:r>
            <w:r w:rsidRPr="00734D3B">
              <w:rPr>
                <w:noProof/>
                <w:webHidden/>
              </w:rPr>
            </w:r>
            <w:r w:rsidRPr="00734D3B">
              <w:rPr>
                <w:noProof/>
                <w:webHidden/>
              </w:rPr>
              <w:fldChar w:fldCharType="separate"/>
            </w:r>
            <w:r w:rsidR="0058263D" w:rsidRPr="00734D3B">
              <w:rPr>
                <w:noProof/>
                <w:webHidden/>
              </w:rPr>
              <w:t>224</w:t>
            </w:r>
            <w:r w:rsidRPr="00734D3B">
              <w:rPr>
                <w:noProof/>
                <w:webHidden/>
              </w:rPr>
              <w:fldChar w:fldCharType="end"/>
            </w:r>
          </w:hyperlink>
        </w:p>
        <w:p w14:paraId="6E77FFBB" w14:textId="1A0DB212"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1" w:history="1">
            <w:r w:rsidRPr="00734D3B">
              <w:rPr>
                <w:rStyle w:val="Hyperlink"/>
                <w:noProof/>
                <w:color w:val="auto"/>
              </w:rPr>
              <w:t>Anexo 1: ACTA (CHÁRTER) DEL PFG</w:t>
            </w:r>
            <w:r w:rsidRPr="00734D3B">
              <w:rPr>
                <w:noProof/>
                <w:webHidden/>
              </w:rPr>
              <w:tab/>
            </w:r>
            <w:r w:rsidRPr="00734D3B">
              <w:rPr>
                <w:noProof/>
                <w:webHidden/>
              </w:rPr>
              <w:fldChar w:fldCharType="begin"/>
            </w:r>
            <w:r w:rsidRPr="00734D3B">
              <w:rPr>
                <w:noProof/>
                <w:webHidden/>
              </w:rPr>
              <w:instrText xml:space="preserve"> PAGEREF _Toc227936451 \h </w:instrText>
            </w:r>
            <w:r w:rsidRPr="00734D3B">
              <w:rPr>
                <w:noProof/>
                <w:webHidden/>
              </w:rPr>
            </w:r>
            <w:r w:rsidRPr="00734D3B">
              <w:rPr>
                <w:noProof/>
                <w:webHidden/>
              </w:rPr>
              <w:fldChar w:fldCharType="separate"/>
            </w:r>
            <w:r w:rsidR="0058263D" w:rsidRPr="00734D3B">
              <w:rPr>
                <w:noProof/>
                <w:webHidden/>
              </w:rPr>
              <w:t>224</w:t>
            </w:r>
            <w:r w:rsidRPr="00734D3B">
              <w:rPr>
                <w:noProof/>
                <w:webHidden/>
              </w:rPr>
              <w:fldChar w:fldCharType="end"/>
            </w:r>
          </w:hyperlink>
        </w:p>
        <w:p w14:paraId="0C9AA851" w14:textId="4B3C84D2"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2" w:history="1">
            <w:r w:rsidRPr="00734D3B">
              <w:rPr>
                <w:rStyle w:val="Hyperlink"/>
                <w:noProof/>
                <w:color w:val="auto"/>
              </w:rPr>
              <w:t>Anexo 2: EDT del PFG</w:t>
            </w:r>
            <w:r w:rsidRPr="00734D3B">
              <w:rPr>
                <w:noProof/>
                <w:webHidden/>
              </w:rPr>
              <w:tab/>
            </w:r>
            <w:r w:rsidRPr="00734D3B">
              <w:rPr>
                <w:noProof/>
                <w:webHidden/>
              </w:rPr>
              <w:fldChar w:fldCharType="begin"/>
            </w:r>
            <w:r w:rsidRPr="00734D3B">
              <w:rPr>
                <w:noProof/>
                <w:webHidden/>
              </w:rPr>
              <w:instrText xml:space="preserve"> PAGEREF _Toc227936452 \h </w:instrText>
            </w:r>
            <w:r w:rsidRPr="00734D3B">
              <w:rPr>
                <w:noProof/>
                <w:webHidden/>
              </w:rPr>
            </w:r>
            <w:r w:rsidRPr="00734D3B">
              <w:rPr>
                <w:noProof/>
                <w:webHidden/>
              </w:rPr>
              <w:fldChar w:fldCharType="separate"/>
            </w:r>
            <w:r w:rsidR="0058263D" w:rsidRPr="00734D3B">
              <w:rPr>
                <w:noProof/>
                <w:webHidden/>
              </w:rPr>
              <w:t>232</w:t>
            </w:r>
            <w:r w:rsidRPr="00734D3B">
              <w:rPr>
                <w:noProof/>
                <w:webHidden/>
              </w:rPr>
              <w:fldChar w:fldCharType="end"/>
            </w:r>
          </w:hyperlink>
        </w:p>
        <w:p w14:paraId="2437D6D0" w14:textId="27193BF1"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3" w:history="1">
            <w:r w:rsidRPr="00734D3B">
              <w:rPr>
                <w:rStyle w:val="Hyperlink"/>
                <w:noProof/>
                <w:color w:val="auto"/>
              </w:rPr>
              <w:t>Anexo 3: CRONOGRAMA del PFG</w:t>
            </w:r>
            <w:r w:rsidRPr="00734D3B">
              <w:rPr>
                <w:noProof/>
                <w:webHidden/>
              </w:rPr>
              <w:tab/>
            </w:r>
            <w:r w:rsidRPr="00734D3B">
              <w:rPr>
                <w:noProof/>
                <w:webHidden/>
              </w:rPr>
              <w:fldChar w:fldCharType="begin"/>
            </w:r>
            <w:r w:rsidRPr="00734D3B">
              <w:rPr>
                <w:noProof/>
                <w:webHidden/>
              </w:rPr>
              <w:instrText xml:space="preserve"> PAGEREF _Toc227936453 \h </w:instrText>
            </w:r>
            <w:r w:rsidRPr="00734D3B">
              <w:rPr>
                <w:noProof/>
                <w:webHidden/>
              </w:rPr>
            </w:r>
            <w:r w:rsidRPr="00734D3B">
              <w:rPr>
                <w:noProof/>
                <w:webHidden/>
              </w:rPr>
              <w:fldChar w:fldCharType="separate"/>
            </w:r>
            <w:r w:rsidR="0058263D" w:rsidRPr="00734D3B">
              <w:rPr>
                <w:noProof/>
                <w:webHidden/>
              </w:rPr>
              <w:t>233</w:t>
            </w:r>
            <w:r w:rsidRPr="00734D3B">
              <w:rPr>
                <w:noProof/>
                <w:webHidden/>
              </w:rPr>
              <w:fldChar w:fldCharType="end"/>
            </w:r>
          </w:hyperlink>
        </w:p>
        <w:p w14:paraId="0D38A38F" w14:textId="7F15B97C"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4" w:history="1">
            <w:r w:rsidRPr="00734D3B">
              <w:rPr>
                <w:rStyle w:val="Hyperlink"/>
                <w:noProof/>
                <w:color w:val="auto"/>
              </w:rPr>
              <w:t>Anexo 4: Investigación bibliográfica preliminar</w:t>
            </w:r>
            <w:r w:rsidRPr="00734D3B">
              <w:rPr>
                <w:noProof/>
                <w:webHidden/>
              </w:rPr>
              <w:tab/>
            </w:r>
            <w:r w:rsidRPr="00734D3B">
              <w:rPr>
                <w:noProof/>
                <w:webHidden/>
              </w:rPr>
              <w:fldChar w:fldCharType="begin"/>
            </w:r>
            <w:r w:rsidRPr="00734D3B">
              <w:rPr>
                <w:noProof/>
                <w:webHidden/>
              </w:rPr>
              <w:instrText xml:space="preserve"> PAGEREF _Toc227936454 \h </w:instrText>
            </w:r>
            <w:r w:rsidRPr="00734D3B">
              <w:rPr>
                <w:noProof/>
                <w:webHidden/>
              </w:rPr>
            </w:r>
            <w:r w:rsidRPr="00734D3B">
              <w:rPr>
                <w:noProof/>
                <w:webHidden/>
              </w:rPr>
              <w:fldChar w:fldCharType="separate"/>
            </w:r>
            <w:r w:rsidR="0058263D" w:rsidRPr="00734D3B">
              <w:rPr>
                <w:noProof/>
                <w:webHidden/>
              </w:rPr>
              <w:t>234</w:t>
            </w:r>
            <w:r w:rsidRPr="00734D3B">
              <w:rPr>
                <w:noProof/>
                <w:webHidden/>
              </w:rPr>
              <w:fldChar w:fldCharType="end"/>
            </w:r>
          </w:hyperlink>
        </w:p>
        <w:p w14:paraId="50E76F0D" w14:textId="76F23E5C"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5" w:history="1">
            <w:r w:rsidRPr="00734D3B">
              <w:rPr>
                <w:rStyle w:val="Hyperlink"/>
                <w:noProof/>
                <w:color w:val="auto"/>
              </w:rPr>
              <w:t>Anexo 5: Cuestionario aplicado</w:t>
            </w:r>
            <w:r w:rsidRPr="00734D3B">
              <w:rPr>
                <w:noProof/>
                <w:webHidden/>
              </w:rPr>
              <w:tab/>
            </w:r>
            <w:r w:rsidRPr="00734D3B">
              <w:rPr>
                <w:noProof/>
                <w:webHidden/>
              </w:rPr>
              <w:fldChar w:fldCharType="begin"/>
            </w:r>
            <w:r w:rsidRPr="00734D3B">
              <w:rPr>
                <w:noProof/>
                <w:webHidden/>
              </w:rPr>
              <w:instrText xml:space="preserve"> PAGEREF _Toc227936455 \h </w:instrText>
            </w:r>
            <w:r w:rsidRPr="00734D3B">
              <w:rPr>
                <w:noProof/>
                <w:webHidden/>
              </w:rPr>
            </w:r>
            <w:r w:rsidRPr="00734D3B">
              <w:rPr>
                <w:noProof/>
                <w:webHidden/>
              </w:rPr>
              <w:fldChar w:fldCharType="separate"/>
            </w:r>
            <w:r w:rsidR="0058263D" w:rsidRPr="00734D3B">
              <w:rPr>
                <w:noProof/>
                <w:webHidden/>
              </w:rPr>
              <w:t>238</w:t>
            </w:r>
            <w:r w:rsidRPr="00734D3B">
              <w:rPr>
                <w:noProof/>
                <w:webHidden/>
              </w:rPr>
              <w:fldChar w:fldCharType="end"/>
            </w:r>
          </w:hyperlink>
        </w:p>
        <w:p w14:paraId="599C3836" w14:textId="20B71CDE" w:rsidR="00BB22D8" w:rsidRPr="00734D3B" w:rsidRDefault="00BB22D8">
          <w:pPr>
            <w:pStyle w:val="TOC1"/>
            <w:rPr>
              <w:rFonts w:asciiTheme="minorHAnsi" w:eastAsiaTheme="minorEastAsia" w:hAnsiTheme="minorHAnsi" w:cstheme="minorBidi"/>
              <w:bCs w:val="0"/>
              <w:caps w:val="0"/>
              <w:noProof/>
              <w:kern w:val="2"/>
              <w:sz w:val="24"/>
              <w:lang w:val="en-US" w:eastAsia="en-US"/>
              <w14:ligatures w14:val="standardContextual"/>
            </w:rPr>
          </w:pPr>
          <w:hyperlink w:anchor="_Toc227936456" w:history="1">
            <w:r w:rsidRPr="00734D3B">
              <w:rPr>
                <w:rStyle w:val="Hyperlink"/>
                <w:noProof/>
                <w:color w:val="auto"/>
              </w:rPr>
              <w:t>Anexo 6: Plantillas para la guía metodológica</w:t>
            </w:r>
            <w:r w:rsidRPr="00734D3B">
              <w:rPr>
                <w:noProof/>
                <w:webHidden/>
              </w:rPr>
              <w:tab/>
            </w:r>
            <w:r w:rsidRPr="00734D3B">
              <w:rPr>
                <w:noProof/>
                <w:webHidden/>
              </w:rPr>
              <w:fldChar w:fldCharType="begin"/>
            </w:r>
            <w:r w:rsidRPr="00734D3B">
              <w:rPr>
                <w:noProof/>
                <w:webHidden/>
              </w:rPr>
              <w:instrText xml:space="preserve"> PAGEREF _Toc227936456 \h </w:instrText>
            </w:r>
            <w:r w:rsidRPr="00734D3B">
              <w:rPr>
                <w:noProof/>
                <w:webHidden/>
              </w:rPr>
            </w:r>
            <w:r w:rsidRPr="00734D3B">
              <w:rPr>
                <w:noProof/>
                <w:webHidden/>
              </w:rPr>
              <w:fldChar w:fldCharType="separate"/>
            </w:r>
            <w:r w:rsidR="0058263D" w:rsidRPr="00734D3B">
              <w:rPr>
                <w:noProof/>
                <w:webHidden/>
              </w:rPr>
              <w:t>247</w:t>
            </w:r>
            <w:r w:rsidRPr="00734D3B">
              <w:rPr>
                <w:noProof/>
                <w:webHidden/>
              </w:rPr>
              <w:fldChar w:fldCharType="end"/>
            </w:r>
          </w:hyperlink>
        </w:p>
        <w:p w14:paraId="3686232C" w14:textId="59255E6F" w:rsidR="0024162C" w:rsidRPr="00734D3B" w:rsidRDefault="005842B8">
          <w:r w:rsidRPr="00734D3B">
            <w:rPr>
              <w:rFonts w:cs="Calibri"/>
              <w:bCs/>
              <w:caps/>
              <w:szCs w:val="20"/>
            </w:rPr>
            <w:fldChar w:fldCharType="end"/>
          </w:r>
        </w:p>
      </w:sdtContent>
    </w:sdt>
    <w:p w14:paraId="3245794E" w14:textId="791445E9" w:rsidR="00264EEB" w:rsidRPr="00734D3B" w:rsidRDefault="00264EEB" w:rsidP="005758F8">
      <w:pPr>
        <w:pStyle w:val="Heading1"/>
        <w:numPr>
          <w:ilvl w:val="0"/>
          <w:numId w:val="0"/>
        </w:numPr>
        <w:ind w:left="360"/>
        <w:rPr>
          <w:rFonts w:cs="Arial"/>
          <w:szCs w:val="22"/>
        </w:rPr>
      </w:pPr>
      <w:r w:rsidRPr="00734D3B">
        <w:br w:type="page"/>
      </w:r>
      <w:bookmarkStart w:id="41" w:name="_Toc207702848"/>
      <w:bookmarkStart w:id="42" w:name="_Toc211465596"/>
      <w:bookmarkStart w:id="43" w:name="_Toc227936369"/>
      <w:r w:rsidRPr="00734D3B">
        <w:lastRenderedPageBreak/>
        <w:t>LISTA DE FIGURAS</w:t>
      </w:r>
      <w:bookmarkEnd w:id="41"/>
      <w:bookmarkEnd w:id="42"/>
      <w:bookmarkEnd w:id="43"/>
    </w:p>
    <w:p w14:paraId="587B1B64" w14:textId="023C05D8" w:rsidR="0058263D" w:rsidRPr="00F928D4" w:rsidRDefault="00264EEB">
      <w:pPr>
        <w:pStyle w:val="TableofFigures"/>
        <w:rPr>
          <w:rFonts w:asciiTheme="minorHAnsi" w:eastAsiaTheme="minorEastAsia" w:hAnsiTheme="minorHAnsi" w:cstheme="minorBidi"/>
          <w:noProof/>
          <w:kern w:val="2"/>
          <w:sz w:val="24"/>
          <w:lang w:val="en-US" w:eastAsia="en-US"/>
          <w14:ligatures w14:val="standardContextual"/>
        </w:rPr>
      </w:pPr>
      <w:r w:rsidRPr="00F928D4">
        <w:rPr>
          <w:rFonts w:cs="Arial"/>
          <w:szCs w:val="22"/>
        </w:rPr>
        <w:fldChar w:fldCharType="begin"/>
      </w:r>
      <w:r w:rsidRPr="00F928D4">
        <w:rPr>
          <w:rFonts w:cs="Arial"/>
          <w:szCs w:val="22"/>
        </w:rPr>
        <w:instrText xml:space="preserve"> TOC \h \z \c "Figura" </w:instrText>
      </w:r>
      <w:r w:rsidRPr="00F928D4">
        <w:rPr>
          <w:rFonts w:cs="Arial"/>
          <w:szCs w:val="22"/>
        </w:rPr>
        <w:fldChar w:fldCharType="separate"/>
      </w:r>
      <w:hyperlink w:anchor="_Toc227937855" w:history="1">
        <w:r w:rsidR="0058263D" w:rsidRPr="00F928D4">
          <w:rPr>
            <w:rStyle w:val="Hyperlink"/>
            <w:noProof/>
            <w:color w:val="auto"/>
          </w:rPr>
          <w:t xml:space="preserve">Figura 1  </w:t>
        </w:r>
        <w:r w:rsidR="0058263D" w:rsidRPr="00F928D4">
          <w:rPr>
            <w:rStyle w:val="Hyperlink"/>
            <w:i/>
            <w:iCs/>
            <w:noProof/>
            <w:color w:val="auto"/>
          </w:rPr>
          <w:t>Estructura Organizativa</w:t>
        </w:r>
        <w:r w:rsidR="0058263D" w:rsidRPr="00F928D4">
          <w:rPr>
            <w:noProof/>
            <w:webHidden/>
          </w:rPr>
          <w:tab/>
        </w:r>
        <w:r w:rsidR="0058263D" w:rsidRPr="00F928D4">
          <w:rPr>
            <w:noProof/>
            <w:webHidden/>
          </w:rPr>
          <w:fldChar w:fldCharType="begin"/>
        </w:r>
        <w:r w:rsidR="0058263D" w:rsidRPr="00F928D4">
          <w:rPr>
            <w:noProof/>
            <w:webHidden/>
          </w:rPr>
          <w:instrText xml:space="preserve"> PAGEREF _Toc227937855 \h </w:instrText>
        </w:r>
        <w:r w:rsidR="0058263D" w:rsidRPr="00F928D4">
          <w:rPr>
            <w:noProof/>
            <w:webHidden/>
          </w:rPr>
        </w:r>
        <w:r w:rsidR="0058263D" w:rsidRPr="00F928D4">
          <w:rPr>
            <w:noProof/>
            <w:webHidden/>
          </w:rPr>
          <w:fldChar w:fldCharType="separate"/>
        </w:r>
        <w:r w:rsidR="00064AE3">
          <w:rPr>
            <w:noProof/>
            <w:webHidden/>
          </w:rPr>
          <w:t>35</w:t>
        </w:r>
        <w:r w:rsidR="0058263D" w:rsidRPr="00F928D4">
          <w:rPr>
            <w:noProof/>
            <w:webHidden/>
          </w:rPr>
          <w:fldChar w:fldCharType="end"/>
        </w:r>
      </w:hyperlink>
    </w:p>
    <w:p w14:paraId="05D6AC5D" w14:textId="4D19208F"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56" w:history="1">
        <w:r w:rsidRPr="00F928D4">
          <w:rPr>
            <w:rStyle w:val="Hyperlink"/>
            <w:noProof/>
            <w:color w:val="auto"/>
          </w:rPr>
          <w:t xml:space="preserve">Figura 2 </w:t>
        </w:r>
        <w:r w:rsidRPr="00F928D4">
          <w:rPr>
            <w:rStyle w:val="Hyperlink"/>
            <w:i/>
            <w:iCs/>
            <w:noProof/>
            <w:color w:val="auto"/>
          </w:rPr>
          <w:t>Ciclo de vida del proyecto de instalaciones eléctricas en data centers.</w:t>
        </w:r>
        <w:r w:rsidRPr="00F928D4">
          <w:rPr>
            <w:noProof/>
            <w:webHidden/>
          </w:rPr>
          <w:tab/>
        </w:r>
        <w:r w:rsidRPr="00F928D4">
          <w:rPr>
            <w:noProof/>
            <w:webHidden/>
          </w:rPr>
          <w:fldChar w:fldCharType="begin"/>
        </w:r>
        <w:r w:rsidRPr="00F928D4">
          <w:rPr>
            <w:noProof/>
            <w:webHidden/>
          </w:rPr>
          <w:instrText xml:space="preserve"> PAGEREF _Toc227937856 \h </w:instrText>
        </w:r>
        <w:r w:rsidRPr="00F928D4">
          <w:rPr>
            <w:noProof/>
            <w:webHidden/>
          </w:rPr>
        </w:r>
        <w:r w:rsidRPr="00F928D4">
          <w:rPr>
            <w:noProof/>
            <w:webHidden/>
          </w:rPr>
          <w:fldChar w:fldCharType="separate"/>
        </w:r>
        <w:r w:rsidR="00064AE3">
          <w:rPr>
            <w:noProof/>
            <w:webHidden/>
          </w:rPr>
          <w:t>50</w:t>
        </w:r>
        <w:r w:rsidRPr="00F928D4">
          <w:rPr>
            <w:noProof/>
            <w:webHidden/>
          </w:rPr>
          <w:fldChar w:fldCharType="end"/>
        </w:r>
      </w:hyperlink>
    </w:p>
    <w:p w14:paraId="179F27E1" w14:textId="4265796C"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57" w:history="1">
        <w:r w:rsidRPr="00F928D4">
          <w:rPr>
            <w:rStyle w:val="Hyperlink"/>
            <w:noProof/>
            <w:color w:val="auto"/>
          </w:rPr>
          <w:t xml:space="preserve">Figura 3 </w:t>
        </w:r>
        <w:r w:rsidRPr="00F928D4">
          <w:rPr>
            <w:rStyle w:val="Hyperlink"/>
            <w:rFonts w:cs="Arial"/>
            <w:i/>
            <w:iCs/>
            <w:noProof/>
            <w:color w:val="auto"/>
          </w:rPr>
          <w:t>Procesos por grupo de procesos</w:t>
        </w:r>
        <w:r w:rsidRPr="00F928D4">
          <w:rPr>
            <w:noProof/>
            <w:webHidden/>
          </w:rPr>
          <w:tab/>
        </w:r>
        <w:r w:rsidRPr="00F928D4">
          <w:rPr>
            <w:noProof/>
            <w:webHidden/>
          </w:rPr>
          <w:fldChar w:fldCharType="begin"/>
        </w:r>
        <w:r w:rsidRPr="00F928D4">
          <w:rPr>
            <w:noProof/>
            <w:webHidden/>
          </w:rPr>
          <w:instrText xml:space="preserve"> PAGEREF _Toc227937857 \h </w:instrText>
        </w:r>
        <w:r w:rsidRPr="00F928D4">
          <w:rPr>
            <w:noProof/>
            <w:webHidden/>
          </w:rPr>
        </w:r>
        <w:r w:rsidRPr="00F928D4">
          <w:rPr>
            <w:noProof/>
            <w:webHidden/>
          </w:rPr>
          <w:fldChar w:fldCharType="separate"/>
        </w:r>
        <w:r w:rsidR="00064AE3">
          <w:rPr>
            <w:noProof/>
            <w:webHidden/>
          </w:rPr>
          <w:t>54</w:t>
        </w:r>
        <w:r w:rsidRPr="00F928D4">
          <w:rPr>
            <w:noProof/>
            <w:webHidden/>
          </w:rPr>
          <w:fldChar w:fldCharType="end"/>
        </w:r>
      </w:hyperlink>
    </w:p>
    <w:p w14:paraId="4FC9B023" w14:textId="79774FAF"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58" w:history="1">
        <w:r w:rsidRPr="00F928D4">
          <w:rPr>
            <w:rStyle w:val="Hyperlink"/>
            <w:noProof/>
            <w:color w:val="auto"/>
          </w:rPr>
          <w:t xml:space="preserve">Figura 4 </w:t>
        </w:r>
        <w:r w:rsidRPr="00F928D4">
          <w:rPr>
            <w:rStyle w:val="Hyperlink"/>
            <w:rFonts w:cs="Arial"/>
            <w:i/>
            <w:iCs/>
            <w:noProof/>
            <w:color w:val="auto"/>
          </w:rPr>
          <w:t>Comparación entre Estrategia Empresarial-Portafolio-Programa-Proyecto</w:t>
        </w:r>
        <w:r w:rsidRPr="00F928D4">
          <w:rPr>
            <w:noProof/>
            <w:webHidden/>
          </w:rPr>
          <w:tab/>
        </w:r>
        <w:r w:rsidRPr="00F928D4">
          <w:rPr>
            <w:noProof/>
            <w:webHidden/>
          </w:rPr>
          <w:fldChar w:fldCharType="begin"/>
        </w:r>
        <w:r w:rsidRPr="00F928D4">
          <w:rPr>
            <w:noProof/>
            <w:webHidden/>
          </w:rPr>
          <w:instrText xml:space="preserve"> PAGEREF _Toc227937858 \h </w:instrText>
        </w:r>
        <w:r w:rsidRPr="00F928D4">
          <w:rPr>
            <w:noProof/>
            <w:webHidden/>
          </w:rPr>
        </w:r>
        <w:r w:rsidRPr="00F928D4">
          <w:rPr>
            <w:noProof/>
            <w:webHidden/>
          </w:rPr>
          <w:fldChar w:fldCharType="separate"/>
        </w:r>
        <w:r w:rsidR="00064AE3">
          <w:rPr>
            <w:noProof/>
            <w:webHidden/>
          </w:rPr>
          <w:t>57</w:t>
        </w:r>
        <w:r w:rsidRPr="00F928D4">
          <w:rPr>
            <w:noProof/>
            <w:webHidden/>
          </w:rPr>
          <w:fldChar w:fldCharType="end"/>
        </w:r>
      </w:hyperlink>
    </w:p>
    <w:p w14:paraId="077720E9" w14:textId="0634CF6D"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59" w:history="1">
        <w:r w:rsidRPr="00F928D4">
          <w:rPr>
            <w:rStyle w:val="Hyperlink"/>
            <w:noProof/>
            <w:color w:val="auto"/>
          </w:rPr>
          <w:t xml:space="preserve">Figura 5  </w:t>
        </w:r>
        <w:r w:rsidRPr="00F928D4">
          <w:rPr>
            <w:rStyle w:val="Hyperlink"/>
            <w:i/>
            <w:iCs/>
            <w:noProof/>
            <w:color w:val="auto"/>
          </w:rPr>
          <w:t>Tipo de empresa</w:t>
        </w:r>
        <w:r w:rsidRPr="00F928D4">
          <w:rPr>
            <w:noProof/>
            <w:webHidden/>
          </w:rPr>
          <w:tab/>
        </w:r>
        <w:r w:rsidRPr="00F928D4">
          <w:rPr>
            <w:noProof/>
            <w:webHidden/>
          </w:rPr>
          <w:fldChar w:fldCharType="begin"/>
        </w:r>
        <w:r w:rsidRPr="00F928D4">
          <w:rPr>
            <w:noProof/>
            <w:webHidden/>
          </w:rPr>
          <w:instrText xml:space="preserve"> PAGEREF _Toc227937859 \h </w:instrText>
        </w:r>
        <w:r w:rsidRPr="00F928D4">
          <w:rPr>
            <w:noProof/>
            <w:webHidden/>
          </w:rPr>
        </w:r>
        <w:r w:rsidRPr="00F928D4">
          <w:rPr>
            <w:noProof/>
            <w:webHidden/>
          </w:rPr>
          <w:fldChar w:fldCharType="separate"/>
        </w:r>
        <w:r w:rsidR="00064AE3">
          <w:rPr>
            <w:noProof/>
            <w:webHidden/>
          </w:rPr>
          <w:t>98</w:t>
        </w:r>
        <w:r w:rsidRPr="00F928D4">
          <w:rPr>
            <w:noProof/>
            <w:webHidden/>
          </w:rPr>
          <w:fldChar w:fldCharType="end"/>
        </w:r>
      </w:hyperlink>
    </w:p>
    <w:p w14:paraId="0036373B" w14:textId="76D15D2B"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0" w:history="1">
        <w:r w:rsidRPr="00F928D4">
          <w:rPr>
            <w:rStyle w:val="Hyperlink"/>
            <w:noProof/>
            <w:color w:val="auto"/>
          </w:rPr>
          <w:t xml:space="preserve">Figura 6  </w:t>
        </w:r>
        <w:r w:rsidRPr="00F928D4">
          <w:rPr>
            <w:rStyle w:val="Hyperlink"/>
            <w:i/>
            <w:iCs/>
            <w:noProof/>
            <w:color w:val="auto"/>
          </w:rPr>
          <w:t>Rol del proyecto</w:t>
        </w:r>
        <w:r w:rsidRPr="00F928D4">
          <w:rPr>
            <w:noProof/>
            <w:webHidden/>
          </w:rPr>
          <w:tab/>
        </w:r>
        <w:r w:rsidRPr="00F928D4">
          <w:rPr>
            <w:noProof/>
            <w:webHidden/>
          </w:rPr>
          <w:fldChar w:fldCharType="begin"/>
        </w:r>
        <w:r w:rsidRPr="00F928D4">
          <w:rPr>
            <w:noProof/>
            <w:webHidden/>
          </w:rPr>
          <w:instrText xml:space="preserve"> PAGEREF _Toc227937860 \h </w:instrText>
        </w:r>
        <w:r w:rsidRPr="00F928D4">
          <w:rPr>
            <w:noProof/>
            <w:webHidden/>
          </w:rPr>
        </w:r>
        <w:r w:rsidRPr="00F928D4">
          <w:rPr>
            <w:noProof/>
            <w:webHidden/>
          </w:rPr>
          <w:fldChar w:fldCharType="separate"/>
        </w:r>
        <w:r w:rsidR="00064AE3">
          <w:rPr>
            <w:noProof/>
            <w:webHidden/>
          </w:rPr>
          <w:t>99</w:t>
        </w:r>
        <w:r w:rsidRPr="00F928D4">
          <w:rPr>
            <w:noProof/>
            <w:webHidden/>
          </w:rPr>
          <w:fldChar w:fldCharType="end"/>
        </w:r>
      </w:hyperlink>
    </w:p>
    <w:p w14:paraId="3AF188D5" w14:textId="3194A6C8"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1" w:history="1">
        <w:r w:rsidRPr="00F928D4">
          <w:rPr>
            <w:rStyle w:val="Hyperlink"/>
            <w:noProof/>
            <w:color w:val="auto"/>
          </w:rPr>
          <w:t xml:space="preserve">Figura 7  </w:t>
        </w:r>
        <w:r w:rsidRPr="00F928D4">
          <w:rPr>
            <w:rStyle w:val="Hyperlink"/>
            <w:i/>
            <w:iCs/>
            <w:noProof/>
            <w:color w:val="auto"/>
          </w:rPr>
          <w:t>Años de experiencia</w:t>
        </w:r>
        <w:r w:rsidRPr="00F928D4">
          <w:rPr>
            <w:noProof/>
            <w:webHidden/>
          </w:rPr>
          <w:tab/>
        </w:r>
        <w:r w:rsidRPr="00F928D4">
          <w:rPr>
            <w:noProof/>
            <w:webHidden/>
          </w:rPr>
          <w:fldChar w:fldCharType="begin"/>
        </w:r>
        <w:r w:rsidRPr="00F928D4">
          <w:rPr>
            <w:noProof/>
            <w:webHidden/>
          </w:rPr>
          <w:instrText xml:space="preserve"> PAGEREF _Toc227937861 \h </w:instrText>
        </w:r>
        <w:r w:rsidRPr="00F928D4">
          <w:rPr>
            <w:noProof/>
            <w:webHidden/>
          </w:rPr>
        </w:r>
        <w:r w:rsidRPr="00F928D4">
          <w:rPr>
            <w:noProof/>
            <w:webHidden/>
          </w:rPr>
          <w:fldChar w:fldCharType="separate"/>
        </w:r>
        <w:r w:rsidR="00064AE3">
          <w:rPr>
            <w:noProof/>
            <w:webHidden/>
          </w:rPr>
          <w:t>100</w:t>
        </w:r>
        <w:r w:rsidRPr="00F928D4">
          <w:rPr>
            <w:noProof/>
            <w:webHidden/>
          </w:rPr>
          <w:fldChar w:fldCharType="end"/>
        </w:r>
      </w:hyperlink>
    </w:p>
    <w:p w14:paraId="5F1B2846" w14:textId="010238F1"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2" w:history="1">
        <w:r w:rsidRPr="00F928D4">
          <w:rPr>
            <w:rStyle w:val="Hyperlink"/>
            <w:noProof/>
            <w:color w:val="auto"/>
          </w:rPr>
          <w:t xml:space="preserve">Figura 8  </w:t>
        </w:r>
        <w:r w:rsidRPr="00F928D4">
          <w:rPr>
            <w:rStyle w:val="Hyperlink"/>
            <w:i/>
            <w:iCs/>
            <w:noProof/>
            <w:color w:val="auto"/>
          </w:rPr>
          <w:t>Opinión si la empresa tiene políticas</w:t>
        </w:r>
        <w:r w:rsidRPr="00F928D4">
          <w:rPr>
            <w:noProof/>
            <w:webHidden/>
          </w:rPr>
          <w:tab/>
        </w:r>
        <w:r w:rsidRPr="00F928D4">
          <w:rPr>
            <w:noProof/>
            <w:webHidden/>
          </w:rPr>
          <w:fldChar w:fldCharType="begin"/>
        </w:r>
        <w:r w:rsidRPr="00F928D4">
          <w:rPr>
            <w:noProof/>
            <w:webHidden/>
          </w:rPr>
          <w:instrText xml:space="preserve"> PAGEREF _Toc227937862 \h </w:instrText>
        </w:r>
        <w:r w:rsidRPr="00F928D4">
          <w:rPr>
            <w:noProof/>
            <w:webHidden/>
          </w:rPr>
        </w:r>
        <w:r w:rsidRPr="00F928D4">
          <w:rPr>
            <w:noProof/>
            <w:webHidden/>
          </w:rPr>
          <w:fldChar w:fldCharType="separate"/>
        </w:r>
        <w:r w:rsidR="00064AE3">
          <w:rPr>
            <w:noProof/>
            <w:webHidden/>
          </w:rPr>
          <w:t>101</w:t>
        </w:r>
        <w:r w:rsidRPr="00F928D4">
          <w:rPr>
            <w:noProof/>
            <w:webHidden/>
          </w:rPr>
          <w:fldChar w:fldCharType="end"/>
        </w:r>
      </w:hyperlink>
    </w:p>
    <w:p w14:paraId="2FE4E5F0" w14:textId="78DEA6F5"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3" w:history="1">
        <w:r w:rsidRPr="00F928D4">
          <w:rPr>
            <w:rStyle w:val="Hyperlink"/>
            <w:noProof/>
            <w:color w:val="auto"/>
          </w:rPr>
          <w:t xml:space="preserve">Figura 9  </w:t>
        </w:r>
        <w:r w:rsidRPr="00F928D4">
          <w:rPr>
            <w:rStyle w:val="Hyperlink"/>
            <w:i/>
            <w:iCs/>
            <w:noProof/>
            <w:color w:val="auto"/>
          </w:rPr>
          <w:t>Opinión si en los proyectos se establecen metas claras</w:t>
        </w:r>
        <w:r w:rsidRPr="00F928D4">
          <w:rPr>
            <w:noProof/>
            <w:webHidden/>
          </w:rPr>
          <w:tab/>
        </w:r>
        <w:r w:rsidRPr="00F928D4">
          <w:rPr>
            <w:noProof/>
            <w:webHidden/>
          </w:rPr>
          <w:fldChar w:fldCharType="begin"/>
        </w:r>
        <w:r w:rsidRPr="00F928D4">
          <w:rPr>
            <w:noProof/>
            <w:webHidden/>
          </w:rPr>
          <w:instrText xml:space="preserve"> PAGEREF _Toc227937863 \h </w:instrText>
        </w:r>
        <w:r w:rsidRPr="00F928D4">
          <w:rPr>
            <w:noProof/>
            <w:webHidden/>
          </w:rPr>
        </w:r>
        <w:r w:rsidRPr="00F928D4">
          <w:rPr>
            <w:noProof/>
            <w:webHidden/>
          </w:rPr>
          <w:fldChar w:fldCharType="separate"/>
        </w:r>
        <w:r w:rsidR="00064AE3">
          <w:rPr>
            <w:noProof/>
            <w:webHidden/>
          </w:rPr>
          <w:t>102</w:t>
        </w:r>
        <w:r w:rsidRPr="00F928D4">
          <w:rPr>
            <w:noProof/>
            <w:webHidden/>
          </w:rPr>
          <w:fldChar w:fldCharType="end"/>
        </w:r>
      </w:hyperlink>
    </w:p>
    <w:p w14:paraId="7B56003A" w14:textId="47E37533"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4" w:history="1">
        <w:r w:rsidRPr="00F928D4">
          <w:rPr>
            <w:rStyle w:val="Hyperlink"/>
            <w:noProof/>
            <w:color w:val="auto"/>
          </w:rPr>
          <w:t xml:space="preserve">Figura 10  </w:t>
        </w:r>
        <w:r w:rsidRPr="00F928D4">
          <w:rPr>
            <w:rStyle w:val="Hyperlink"/>
            <w:i/>
            <w:iCs/>
            <w:noProof/>
            <w:color w:val="auto"/>
          </w:rPr>
          <w:t>Opinión si los residuos se separan por tipo</w:t>
        </w:r>
        <w:r w:rsidRPr="00F928D4">
          <w:rPr>
            <w:noProof/>
            <w:webHidden/>
          </w:rPr>
          <w:tab/>
        </w:r>
        <w:r w:rsidRPr="00F928D4">
          <w:rPr>
            <w:noProof/>
            <w:webHidden/>
          </w:rPr>
          <w:fldChar w:fldCharType="begin"/>
        </w:r>
        <w:r w:rsidRPr="00F928D4">
          <w:rPr>
            <w:noProof/>
            <w:webHidden/>
          </w:rPr>
          <w:instrText xml:space="preserve"> PAGEREF _Toc227937864 \h </w:instrText>
        </w:r>
        <w:r w:rsidRPr="00F928D4">
          <w:rPr>
            <w:noProof/>
            <w:webHidden/>
          </w:rPr>
        </w:r>
        <w:r w:rsidRPr="00F928D4">
          <w:rPr>
            <w:noProof/>
            <w:webHidden/>
          </w:rPr>
          <w:fldChar w:fldCharType="separate"/>
        </w:r>
        <w:r w:rsidR="00064AE3">
          <w:rPr>
            <w:noProof/>
            <w:webHidden/>
          </w:rPr>
          <w:t>103</w:t>
        </w:r>
        <w:r w:rsidRPr="00F928D4">
          <w:rPr>
            <w:noProof/>
            <w:webHidden/>
          </w:rPr>
          <w:fldChar w:fldCharType="end"/>
        </w:r>
      </w:hyperlink>
    </w:p>
    <w:p w14:paraId="2D539B52" w14:textId="3E250070"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5" w:history="1">
        <w:r w:rsidRPr="00F928D4">
          <w:rPr>
            <w:rStyle w:val="Hyperlink"/>
            <w:noProof/>
            <w:color w:val="auto"/>
          </w:rPr>
          <w:t xml:space="preserve">Figura 11  </w:t>
        </w:r>
        <w:r w:rsidRPr="00F928D4">
          <w:rPr>
            <w:rStyle w:val="Hyperlink"/>
            <w:i/>
            <w:iCs/>
            <w:noProof/>
            <w:color w:val="auto"/>
          </w:rPr>
          <w:t>Opinión si se habla de sostenibilidad en las reuniones</w:t>
        </w:r>
        <w:r w:rsidRPr="00F928D4">
          <w:rPr>
            <w:noProof/>
            <w:webHidden/>
          </w:rPr>
          <w:tab/>
        </w:r>
        <w:r w:rsidRPr="00F928D4">
          <w:rPr>
            <w:noProof/>
            <w:webHidden/>
          </w:rPr>
          <w:fldChar w:fldCharType="begin"/>
        </w:r>
        <w:r w:rsidRPr="00F928D4">
          <w:rPr>
            <w:noProof/>
            <w:webHidden/>
          </w:rPr>
          <w:instrText xml:space="preserve"> PAGEREF _Toc227937865 \h </w:instrText>
        </w:r>
        <w:r w:rsidRPr="00F928D4">
          <w:rPr>
            <w:noProof/>
            <w:webHidden/>
          </w:rPr>
        </w:r>
        <w:r w:rsidRPr="00F928D4">
          <w:rPr>
            <w:noProof/>
            <w:webHidden/>
          </w:rPr>
          <w:fldChar w:fldCharType="separate"/>
        </w:r>
        <w:r w:rsidR="00064AE3">
          <w:rPr>
            <w:noProof/>
            <w:webHidden/>
          </w:rPr>
          <w:t>104</w:t>
        </w:r>
        <w:r w:rsidRPr="00F928D4">
          <w:rPr>
            <w:noProof/>
            <w:webHidden/>
          </w:rPr>
          <w:fldChar w:fldCharType="end"/>
        </w:r>
      </w:hyperlink>
    </w:p>
    <w:p w14:paraId="7B7A6224" w14:textId="0FC6E37C"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6" w:history="1">
        <w:r w:rsidRPr="00F928D4">
          <w:rPr>
            <w:rStyle w:val="Hyperlink"/>
            <w:noProof/>
            <w:color w:val="auto"/>
          </w:rPr>
          <w:t xml:space="preserve">Figura 12  </w:t>
        </w:r>
        <w:r w:rsidRPr="00F928D4">
          <w:rPr>
            <w:rStyle w:val="Hyperlink"/>
            <w:i/>
            <w:iCs/>
            <w:noProof/>
            <w:color w:val="auto"/>
          </w:rPr>
          <w:t>Opinión si hay contenedores identificados</w:t>
        </w:r>
        <w:r w:rsidRPr="00F928D4">
          <w:rPr>
            <w:noProof/>
            <w:webHidden/>
          </w:rPr>
          <w:tab/>
        </w:r>
        <w:r w:rsidRPr="00F928D4">
          <w:rPr>
            <w:noProof/>
            <w:webHidden/>
          </w:rPr>
          <w:fldChar w:fldCharType="begin"/>
        </w:r>
        <w:r w:rsidRPr="00F928D4">
          <w:rPr>
            <w:noProof/>
            <w:webHidden/>
          </w:rPr>
          <w:instrText xml:space="preserve"> PAGEREF _Toc227937866 \h </w:instrText>
        </w:r>
        <w:r w:rsidRPr="00F928D4">
          <w:rPr>
            <w:noProof/>
            <w:webHidden/>
          </w:rPr>
        </w:r>
        <w:r w:rsidRPr="00F928D4">
          <w:rPr>
            <w:noProof/>
            <w:webHidden/>
          </w:rPr>
          <w:fldChar w:fldCharType="separate"/>
        </w:r>
        <w:r w:rsidR="00064AE3">
          <w:rPr>
            <w:noProof/>
            <w:webHidden/>
          </w:rPr>
          <w:t>105</w:t>
        </w:r>
        <w:r w:rsidRPr="00F928D4">
          <w:rPr>
            <w:noProof/>
            <w:webHidden/>
          </w:rPr>
          <w:fldChar w:fldCharType="end"/>
        </w:r>
      </w:hyperlink>
    </w:p>
    <w:p w14:paraId="2113F89D" w14:textId="788D5DEA"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7" w:history="1">
        <w:r w:rsidRPr="00F928D4">
          <w:rPr>
            <w:rStyle w:val="Hyperlink"/>
            <w:noProof/>
            <w:color w:val="auto"/>
          </w:rPr>
          <w:t xml:space="preserve">Figura 13  </w:t>
        </w:r>
        <w:r w:rsidRPr="00F928D4">
          <w:rPr>
            <w:rStyle w:val="Hyperlink"/>
            <w:i/>
            <w:iCs/>
            <w:noProof/>
            <w:color w:val="auto"/>
          </w:rPr>
          <w:t>Opinión si se lleva el registro de residuos</w:t>
        </w:r>
        <w:r w:rsidRPr="00F928D4">
          <w:rPr>
            <w:noProof/>
            <w:webHidden/>
          </w:rPr>
          <w:tab/>
        </w:r>
        <w:r w:rsidRPr="00F928D4">
          <w:rPr>
            <w:noProof/>
            <w:webHidden/>
          </w:rPr>
          <w:fldChar w:fldCharType="begin"/>
        </w:r>
        <w:r w:rsidRPr="00F928D4">
          <w:rPr>
            <w:noProof/>
            <w:webHidden/>
          </w:rPr>
          <w:instrText xml:space="preserve"> PAGEREF _Toc227937867 \h </w:instrText>
        </w:r>
        <w:r w:rsidRPr="00F928D4">
          <w:rPr>
            <w:noProof/>
            <w:webHidden/>
          </w:rPr>
        </w:r>
        <w:r w:rsidRPr="00F928D4">
          <w:rPr>
            <w:noProof/>
            <w:webHidden/>
          </w:rPr>
          <w:fldChar w:fldCharType="separate"/>
        </w:r>
        <w:r w:rsidR="00064AE3">
          <w:rPr>
            <w:noProof/>
            <w:webHidden/>
          </w:rPr>
          <w:t>106</w:t>
        </w:r>
        <w:r w:rsidRPr="00F928D4">
          <w:rPr>
            <w:noProof/>
            <w:webHidden/>
          </w:rPr>
          <w:fldChar w:fldCharType="end"/>
        </w:r>
      </w:hyperlink>
    </w:p>
    <w:p w14:paraId="16356A7E" w14:textId="2C94807B"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8" w:history="1">
        <w:r w:rsidRPr="00F928D4">
          <w:rPr>
            <w:rStyle w:val="Hyperlink"/>
            <w:noProof/>
            <w:color w:val="auto"/>
          </w:rPr>
          <w:t xml:space="preserve">Figura 14  </w:t>
        </w:r>
        <w:r w:rsidRPr="00F928D4">
          <w:rPr>
            <w:rStyle w:val="Hyperlink"/>
            <w:i/>
            <w:iCs/>
            <w:noProof/>
            <w:color w:val="auto"/>
          </w:rPr>
          <w:t>Opinión si los supervisores están capacitados para verificar el cumplimiento de la gestión de residuos</w:t>
        </w:r>
        <w:r w:rsidRPr="00F928D4">
          <w:rPr>
            <w:noProof/>
            <w:webHidden/>
          </w:rPr>
          <w:tab/>
        </w:r>
        <w:r w:rsidRPr="00F928D4">
          <w:rPr>
            <w:noProof/>
            <w:webHidden/>
          </w:rPr>
          <w:fldChar w:fldCharType="begin"/>
        </w:r>
        <w:r w:rsidRPr="00F928D4">
          <w:rPr>
            <w:noProof/>
            <w:webHidden/>
          </w:rPr>
          <w:instrText xml:space="preserve"> PAGEREF _Toc227937868 \h </w:instrText>
        </w:r>
        <w:r w:rsidRPr="00F928D4">
          <w:rPr>
            <w:noProof/>
            <w:webHidden/>
          </w:rPr>
        </w:r>
        <w:r w:rsidRPr="00F928D4">
          <w:rPr>
            <w:noProof/>
            <w:webHidden/>
          </w:rPr>
          <w:fldChar w:fldCharType="separate"/>
        </w:r>
        <w:r w:rsidR="00064AE3">
          <w:rPr>
            <w:noProof/>
            <w:webHidden/>
          </w:rPr>
          <w:t>107</w:t>
        </w:r>
        <w:r w:rsidRPr="00F928D4">
          <w:rPr>
            <w:noProof/>
            <w:webHidden/>
          </w:rPr>
          <w:fldChar w:fldCharType="end"/>
        </w:r>
      </w:hyperlink>
    </w:p>
    <w:p w14:paraId="1A4313E1" w14:textId="3B1DD225"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69" w:history="1">
        <w:r w:rsidRPr="00F928D4">
          <w:rPr>
            <w:rStyle w:val="Hyperlink"/>
            <w:noProof/>
            <w:color w:val="auto"/>
          </w:rPr>
          <w:t xml:space="preserve">Figura 15  </w:t>
        </w:r>
        <w:r w:rsidRPr="00F928D4">
          <w:rPr>
            <w:rStyle w:val="Hyperlink"/>
            <w:i/>
            <w:iCs/>
            <w:noProof/>
            <w:color w:val="auto"/>
          </w:rPr>
          <w:t>Opinión si la empresa conoce la normativa ambiental aplicable en Arizona para proyectos eléctricos.</w:t>
        </w:r>
        <w:r w:rsidRPr="00F928D4">
          <w:rPr>
            <w:noProof/>
            <w:webHidden/>
          </w:rPr>
          <w:tab/>
        </w:r>
        <w:r w:rsidRPr="00F928D4">
          <w:rPr>
            <w:noProof/>
            <w:webHidden/>
          </w:rPr>
          <w:fldChar w:fldCharType="begin"/>
        </w:r>
        <w:r w:rsidRPr="00F928D4">
          <w:rPr>
            <w:noProof/>
            <w:webHidden/>
          </w:rPr>
          <w:instrText xml:space="preserve"> PAGEREF _Toc227937869 \h </w:instrText>
        </w:r>
        <w:r w:rsidRPr="00F928D4">
          <w:rPr>
            <w:noProof/>
            <w:webHidden/>
          </w:rPr>
        </w:r>
        <w:r w:rsidRPr="00F928D4">
          <w:rPr>
            <w:noProof/>
            <w:webHidden/>
          </w:rPr>
          <w:fldChar w:fldCharType="separate"/>
        </w:r>
        <w:r w:rsidR="00064AE3">
          <w:rPr>
            <w:noProof/>
            <w:webHidden/>
          </w:rPr>
          <w:t>108</w:t>
        </w:r>
        <w:r w:rsidRPr="00F928D4">
          <w:rPr>
            <w:noProof/>
            <w:webHidden/>
          </w:rPr>
          <w:fldChar w:fldCharType="end"/>
        </w:r>
      </w:hyperlink>
    </w:p>
    <w:p w14:paraId="1A5E69BE" w14:textId="42373204"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0" w:history="1">
        <w:r w:rsidRPr="00F928D4">
          <w:rPr>
            <w:rStyle w:val="Hyperlink"/>
            <w:noProof/>
            <w:color w:val="auto"/>
          </w:rPr>
          <w:t xml:space="preserve">Figura 16  </w:t>
        </w:r>
        <w:r w:rsidRPr="00F928D4">
          <w:rPr>
            <w:rStyle w:val="Hyperlink"/>
            <w:i/>
            <w:iCs/>
            <w:noProof/>
            <w:color w:val="auto"/>
          </w:rPr>
          <w:t>Opinión si la empresa conoce la normativa ambiental aplicable en Arizona para proyectos eléctricos.</w:t>
        </w:r>
        <w:r w:rsidRPr="00F928D4">
          <w:rPr>
            <w:noProof/>
            <w:webHidden/>
          </w:rPr>
          <w:tab/>
        </w:r>
        <w:r w:rsidRPr="00F928D4">
          <w:rPr>
            <w:noProof/>
            <w:webHidden/>
          </w:rPr>
          <w:fldChar w:fldCharType="begin"/>
        </w:r>
        <w:r w:rsidRPr="00F928D4">
          <w:rPr>
            <w:noProof/>
            <w:webHidden/>
          </w:rPr>
          <w:instrText xml:space="preserve"> PAGEREF _Toc227937870 \h </w:instrText>
        </w:r>
        <w:r w:rsidRPr="00F928D4">
          <w:rPr>
            <w:noProof/>
            <w:webHidden/>
          </w:rPr>
        </w:r>
        <w:r w:rsidRPr="00F928D4">
          <w:rPr>
            <w:noProof/>
            <w:webHidden/>
          </w:rPr>
          <w:fldChar w:fldCharType="separate"/>
        </w:r>
        <w:r w:rsidR="00064AE3">
          <w:rPr>
            <w:noProof/>
            <w:webHidden/>
          </w:rPr>
          <w:t>109</w:t>
        </w:r>
        <w:r w:rsidRPr="00F928D4">
          <w:rPr>
            <w:noProof/>
            <w:webHidden/>
          </w:rPr>
          <w:fldChar w:fldCharType="end"/>
        </w:r>
      </w:hyperlink>
    </w:p>
    <w:p w14:paraId="330B710C" w14:textId="49C574AA"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1" w:history="1">
        <w:r w:rsidRPr="00F928D4">
          <w:rPr>
            <w:rStyle w:val="Hyperlink"/>
            <w:noProof/>
            <w:color w:val="auto"/>
          </w:rPr>
          <w:t xml:space="preserve">Figura 17  </w:t>
        </w:r>
        <w:r w:rsidRPr="00F928D4">
          <w:rPr>
            <w:rStyle w:val="Hyperlink"/>
            <w:i/>
            <w:iCs/>
            <w:noProof/>
            <w:color w:val="auto"/>
          </w:rPr>
          <w:t>Opinión si se han presentado sanciones o llamados de atención por mala gestión de residuo</w:t>
        </w:r>
        <w:r w:rsidRPr="00F928D4">
          <w:rPr>
            <w:noProof/>
            <w:webHidden/>
          </w:rPr>
          <w:tab/>
        </w:r>
        <w:r w:rsidRPr="00F928D4">
          <w:rPr>
            <w:noProof/>
            <w:webHidden/>
          </w:rPr>
          <w:fldChar w:fldCharType="begin"/>
        </w:r>
        <w:r w:rsidRPr="00F928D4">
          <w:rPr>
            <w:noProof/>
            <w:webHidden/>
          </w:rPr>
          <w:instrText xml:space="preserve"> PAGEREF _Toc227937871 \h </w:instrText>
        </w:r>
        <w:r w:rsidRPr="00F928D4">
          <w:rPr>
            <w:noProof/>
            <w:webHidden/>
          </w:rPr>
        </w:r>
        <w:r w:rsidRPr="00F928D4">
          <w:rPr>
            <w:noProof/>
            <w:webHidden/>
          </w:rPr>
          <w:fldChar w:fldCharType="separate"/>
        </w:r>
        <w:r w:rsidR="00064AE3">
          <w:rPr>
            <w:noProof/>
            <w:webHidden/>
          </w:rPr>
          <w:t>110</w:t>
        </w:r>
        <w:r w:rsidRPr="00F928D4">
          <w:rPr>
            <w:noProof/>
            <w:webHidden/>
          </w:rPr>
          <w:fldChar w:fldCharType="end"/>
        </w:r>
      </w:hyperlink>
    </w:p>
    <w:p w14:paraId="58FC96B9" w14:textId="34263C20"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2" w:history="1">
        <w:r w:rsidRPr="00F928D4">
          <w:rPr>
            <w:rStyle w:val="Hyperlink"/>
            <w:noProof/>
            <w:color w:val="auto"/>
          </w:rPr>
          <w:t xml:space="preserve">Figura 18  </w:t>
        </w:r>
        <w:r w:rsidRPr="00F928D4">
          <w:rPr>
            <w:rStyle w:val="Hyperlink"/>
            <w:i/>
            <w:iCs/>
            <w:noProof/>
            <w:color w:val="auto"/>
          </w:rPr>
          <w:t>Opinión si existe capacitación en sostenibilidad</w:t>
        </w:r>
        <w:r w:rsidRPr="00F928D4">
          <w:rPr>
            <w:noProof/>
            <w:webHidden/>
          </w:rPr>
          <w:tab/>
        </w:r>
        <w:r w:rsidRPr="00F928D4">
          <w:rPr>
            <w:noProof/>
            <w:webHidden/>
          </w:rPr>
          <w:fldChar w:fldCharType="begin"/>
        </w:r>
        <w:r w:rsidRPr="00F928D4">
          <w:rPr>
            <w:noProof/>
            <w:webHidden/>
          </w:rPr>
          <w:instrText xml:space="preserve"> PAGEREF _Toc227937872 \h </w:instrText>
        </w:r>
        <w:r w:rsidRPr="00F928D4">
          <w:rPr>
            <w:noProof/>
            <w:webHidden/>
          </w:rPr>
        </w:r>
        <w:r w:rsidRPr="00F928D4">
          <w:rPr>
            <w:noProof/>
            <w:webHidden/>
          </w:rPr>
          <w:fldChar w:fldCharType="separate"/>
        </w:r>
        <w:r w:rsidR="00064AE3">
          <w:rPr>
            <w:noProof/>
            <w:webHidden/>
          </w:rPr>
          <w:t>111</w:t>
        </w:r>
        <w:r w:rsidRPr="00F928D4">
          <w:rPr>
            <w:noProof/>
            <w:webHidden/>
          </w:rPr>
          <w:fldChar w:fldCharType="end"/>
        </w:r>
      </w:hyperlink>
    </w:p>
    <w:p w14:paraId="6D2F2E57" w14:textId="17FE4412"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3" w:history="1">
        <w:r w:rsidRPr="00F928D4">
          <w:rPr>
            <w:rStyle w:val="Hyperlink"/>
            <w:noProof/>
            <w:color w:val="auto"/>
          </w:rPr>
          <w:t xml:space="preserve">Figura 19  </w:t>
        </w:r>
        <w:r w:rsidRPr="00F928D4">
          <w:rPr>
            <w:rStyle w:val="Hyperlink"/>
            <w:i/>
            <w:iCs/>
            <w:noProof/>
            <w:color w:val="auto"/>
          </w:rPr>
          <w:t>Opinión si la gerencia promueve sostenibilidad</w:t>
        </w:r>
        <w:r w:rsidRPr="00F928D4">
          <w:rPr>
            <w:noProof/>
            <w:webHidden/>
          </w:rPr>
          <w:tab/>
        </w:r>
        <w:r w:rsidRPr="00F928D4">
          <w:rPr>
            <w:noProof/>
            <w:webHidden/>
          </w:rPr>
          <w:fldChar w:fldCharType="begin"/>
        </w:r>
        <w:r w:rsidRPr="00F928D4">
          <w:rPr>
            <w:noProof/>
            <w:webHidden/>
          </w:rPr>
          <w:instrText xml:space="preserve"> PAGEREF _Toc227937873 \h </w:instrText>
        </w:r>
        <w:r w:rsidRPr="00F928D4">
          <w:rPr>
            <w:noProof/>
            <w:webHidden/>
          </w:rPr>
        </w:r>
        <w:r w:rsidRPr="00F928D4">
          <w:rPr>
            <w:noProof/>
            <w:webHidden/>
          </w:rPr>
          <w:fldChar w:fldCharType="separate"/>
        </w:r>
        <w:r w:rsidR="00064AE3">
          <w:rPr>
            <w:noProof/>
            <w:webHidden/>
          </w:rPr>
          <w:t>112</w:t>
        </w:r>
        <w:r w:rsidRPr="00F928D4">
          <w:rPr>
            <w:noProof/>
            <w:webHidden/>
          </w:rPr>
          <w:fldChar w:fldCharType="end"/>
        </w:r>
      </w:hyperlink>
    </w:p>
    <w:p w14:paraId="4611B877" w14:textId="747D5B4C"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4" w:history="1">
        <w:r w:rsidRPr="00F928D4">
          <w:rPr>
            <w:rStyle w:val="Hyperlink"/>
            <w:noProof/>
            <w:color w:val="auto"/>
          </w:rPr>
          <w:t xml:space="preserve">Figura 20  </w:t>
        </w:r>
        <w:r w:rsidRPr="00F928D4">
          <w:rPr>
            <w:rStyle w:val="Hyperlink"/>
            <w:i/>
            <w:iCs/>
            <w:noProof/>
            <w:color w:val="auto"/>
          </w:rPr>
          <w:t>Opinión si la presión de tiempo dificulta la sostenibilidad</w:t>
        </w:r>
        <w:r w:rsidRPr="00F928D4">
          <w:rPr>
            <w:noProof/>
            <w:webHidden/>
          </w:rPr>
          <w:tab/>
        </w:r>
        <w:r w:rsidRPr="00F928D4">
          <w:rPr>
            <w:noProof/>
            <w:webHidden/>
          </w:rPr>
          <w:fldChar w:fldCharType="begin"/>
        </w:r>
        <w:r w:rsidRPr="00F928D4">
          <w:rPr>
            <w:noProof/>
            <w:webHidden/>
          </w:rPr>
          <w:instrText xml:space="preserve"> PAGEREF _Toc227937874 \h </w:instrText>
        </w:r>
        <w:r w:rsidRPr="00F928D4">
          <w:rPr>
            <w:noProof/>
            <w:webHidden/>
          </w:rPr>
        </w:r>
        <w:r w:rsidRPr="00F928D4">
          <w:rPr>
            <w:noProof/>
            <w:webHidden/>
          </w:rPr>
          <w:fldChar w:fldCharType="separate"/>
        </w:r>
        <w:r w:rsidR="00064AE3">
          <w:rPr>
            <w:noProof/>
            <w:webHidden/>
          </w:rPr>
          <w:t>113</w:t>
        </w:r>
        <w:r w:rsidRPr="00F928D4">
          <w:rPr>
            <w:noProof/>
            <w:webHidden/>
          </w:rPr>
          <w:fldChar w:fldCharType="end"/>
        </w:r>
      </w:hyperlink>
    </w:p>
    <w:p w14:paraId="30DE869F" w14:textId="35BE8795"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5" w:history="1">
        <w:r w:rsidRPr="00F928D4">
          <w:rPr>
            <w:rStyle w:val="Hyperlink"/>
            <w:noProof/>
            <w:color w:val="auto"/>
          </w:rPr>
          <w:t xml:space="preserve">Figura 21  </w:t>
        </w:r>
        <w:r w:rsidRPr="00F928D4">
          <w:rPr>
            <w:rStyle w:val="Hyperlink"/>
            <w:i/>
            <w:iCs/>
            <w:noProof/>
            <w:color w:val="auto"/>
          </w:rPr>
          <w:t>Opinión si la sostenibilidad incrementa costos</w:t>
        </w:r>
        <w:r w:rsidRPr="00F928D4">
          <w:rPr>
            <w:noProof/>
            <w:webHidden/>
          </w:rPr>
          <w:tab/>
        </w:r>
        <w:r w:rsidRPr="00F928D4">
          <w:rPr>
            <w:noProof/>
            <w:webHidden/>
          </w:rPr>
          <w:fldChar w:fldCharType="begin"/>
        </w:r>
        <w:r w:rsidRPr="00F928D4">
          <w:rPr>
            <w:noProof/>
            <w:webHidden/>
          </w:rPr>
          <w:instrText xml:space="preserve"> PAGEREF _Toc227937875 \h </w:instrText>
        </w:r>
        <w:r w:rsidRPr="00F928D4">
          <w:rPr>
            <w:noProof/>
            <w:webHidden/>
          </w:rPr>
        </w:r>
        <w:r w:rsidRPr="00F928D4">
          <w:rPr>
            <w:noProof/>
            <w:webHidden/>
          </w:rPr>
          <w:fldChar w:fldCharType="separate"/>
        </w:r>
        <w:r w:rsidR="00064AE3">
          <w:rPr>
            <w:noProof/>
            <w:webHidden/>
          </w:rPr>
          <w:t>114</w:t>
        </w:r>
        <w:r w:rsidRPr="00F928D4">
          <w:rPr>
            <w:noProof/>
            <w:webHidden/>
          </w:rPr>
          <w:fldChar w:fldCharType="end"/>
        </w:r>
      </w:hyperlink>
    </w:p>
    <w:p w14:paraId="63DF4FFC" w14:textId="4FF1090D"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6" w:history="1">
        <w:r w:rsidRPr="00F928D4">
          <w:rPr>
            <w:rStyle w:val="Hyperlink"/>
            <w:noProof/>
            <w:color w:val="auto"/>
          </w:rPr>
          <w:t xml:space="preserve">Figura 22  </w:t>
        </w:r>
        <w:r w:rsidRPr="00F928D4">
          <w:rPr>
            <w:rStyle w:val="Hyperlink"/>
            <w:i/>
            <w:iCs/>
            <w:noProof/>
            <w:color w:val="auto"/>
          </w:rPr>
          <w:t>Opinión si se tiene recursos para sostenibilidad</w:t>
        </w:r>
        <w:r w:rsidRPr="00F928D4">
          <w:rPr>
            <w:noProof/>
            <w:webHidden/>
          </w:rPr>
          <w:tab/>
        </w:r>
        <w:r w:rsidRPr="00F928D4">
          <w:rPr>
            <w:noProof/>
            <w:webHidden/>
          </w:rPr>
          <w:fldChar w:fldCharType="begin"/>
        </w:r>
        <w:r w:rsidRPr="00F928D4">
          <w:rPr>
            <w:noProof/>
            <w:webHidden/>
          </w:rPr>
          <w:instrText xml:space="preserve"> PAGEREF _Toc227937876 \h </w:instrText>
        </w:r>
        <w:r w:rsidRPr="00F928D4">
          <w:rPr>
            <w:noProof/>
            <w:webHidden/>
          </w:rPr>
        </w:r>
        <w:r w:rsidRPr="00F928D4">
          <w:rPr>
            <w:noProof/>
            <w:webHidden/>
          </w:rPr>
          <w:fldChar w:fldCharType="separate"/>
        </w:r>
        <w:r w:rsidR="00064AE3">
          <w:rPr>
            <w:noProof/>
            <w:webHidden/>
          </w:rPr>
          <w:t>115</w:t>
        </w:r>
        <w:r w:rsidRPr="00F928D4">
          <w:rPr>
            <w:noProof/>
            <w:webHidden/>
          </w:rPr>
          <w:fldChar w:fldCharType="end"/>
        </w:r>
      </w:hyperlink>
    </w:p>
    <w:p w14:paraId="090C68AB" w14:textId="01EF4865"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7" w:history="1">
        <w:r w:rsidRPr="00F928D4">
          <w:rPr>
            <w:rStyle w:val="Hyperlink"/>
            <w:noProof/>
            <w:color w:val="auto"/>
          </w:rPr>
          <w:t xml:space="preserve">Figura 23  </w:t>
        </w:r>
        <w:r w:rsidRPr="00F928D4">
          <w:rPr>
            <w:rStyle w:val="Hyperlink"/>
            <w:i/>
            <w:iCs/>
            <w:noProof/>
            <w:color w:val="auto"/>
          </w:rPr>
          <w:t>Opinión si los dueños apoyan la sostenibilidad</w:t>
        </w:r>
        <w:r w:rsidRPr="00F928D4">
          <w:rPr>
            <w:noProof/>
            <w:webHidden/>
          </w:rPr>
          <w:tab/>
        </w:r>
        <w:r w:rsidRPr="00F928D4">
          <w:rPr>
            <w:noProof/>
            <w:webHidden/>
          </w:rPr>
          <w:fldChar w:fldCharType="begin"/>
        </w:r>
        <w:r w:rsidRPr="00F928D4">
          <w:rPr>
            <w:noProof/>
            <w:webHidden/>
          </w:rPr>
          <w:instrText xml:space="preserve"> PAGEREF _Toc227937877 \h </w:instrText>
        </w:r>
        <w:r w:rsidRPr="00F928D4">
          <w:rPr>
            <w:noProof/>
            <w:webHidden/>
          </w:rPr>
        </w:r>
        <w:r w:rsidRPr="00F928D4">
          <w:rPr>
            <w:noProof/>
            <w:webHidden/>
          </w:rPr>
          <w:fldChar w:fldCharType="separate"/>
        </w:r>
        <w:r w:rsidR="00064AE3">
          <w:rPr>
            <w:noProof/>
            <w:webHidden/>
          </w:rPr>
          <w:t>116</w:t>
        </w:r>
        <w:r w:rsidRPr="00F928D4">
          <w:rPr>
            <w:noProof/>
            <w:webHidden/>
          </w:rPr>
          <w:fldChar w:fldCharType="end"/>
        </w:r>
      </w:hyperlink>
    </w:p>
    <w:p w14:paraId="3C180DBC" w14:textId="3683665A"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8" w:history="1">
        <w:r w:rsidRPr="00F928D4">
          <w:rPr>
            <w:rStyle w:val="Hyperlink"/>
            <w:noProof/>
            <w:color w:val="auto"/>
          </w:rPr>
          <w:t xml:space="preserve">Figura 24  </w:t>
        </w:r>
        <w:r w:rsidRPr="00F928D4">
          <w:rPr>
            <w:rStyle w:val="Hyperlink"/>
            <w:i/>
            <w:iCs/>
            <w:noProof/>
            <w:color w:val="auto"/>
          </w:rPr>
          <w:t>Opinión si los subcontratistas cumplen sostenibilidad.</w:t>
        </w:r>
        <w:r w:rsidRPr="00F928D4">
          <w:rPr>
            <w:noProof/>
            <w:webHidden/>
          </w:rPr>
          <w:tab/>
        </w:r>
        <w:r w:rsidRPr="00F928D4">
          <w:rPr>
            <w:noProof/>
            <w:webHidden/>
          </w:rPr>
          <w:fldChar w:fldCharType="begin"/>
        </w:r>
        <w:r w:rsidRPr="00F928D4">
          <w:rPr>
            <w:noProof/>
            <w:webHidden/>
          </w:rPr>
          <w:instrText xml:space="preserve"> PAGEREF _Toc227937878 \h </w:instrText>
        </w:r>
        <w:r w:rsidRPr="00F928D4">
          <w:rPr>
            <w:noProof/>
            <w:webHidden/>
          </w:rPr>
        </w:r>
        <w:r w:rsidRPr="00F928D4">
          <w:rPr>
            <w:noProof/>
            <w:webHidden/>
          </w:rPr>
          <w:fldChar w:fldCharType="separate"/>
        </w:r>
        <w:r w:rsidR="00064AE3">
          <w:rPr>
            <w:noProof/>
            <w:webHidden/>
          </w:rPr>
          <w:t>117</w:t>
        </w:r>
        <w:r w:rsidRPr="00F928D4">
          <w:rPr>
            <w:noProof/>
            <w:webHidden/>
          </w:rPr>
          <w:fldChar w:fldCharType="end"/>
        </w:r>
      </w:hyperlink>
    </w:p>
    <w:p w14:paraId="01D3C62F" w14:textId="0D1BF6FB"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79" w:history="1">
        <w:r w:rsidRPr="00F928D4">
          <w:rPr>
            <w:rStyle w:val="Hyperlink"/>
            <w:noProof/>
            <w:color w:val="auto"/>
          </w:rPr>
          <w:t xml:space="preserve">Figura 25  </w:t>
        </w:r>
        <w:r w:rsidRPr="00F928D4">
          <w:rPr>
            <w:rStyle w:val="Hyperlink"/>
            <w:i/>
            <w:iCs/>
            <w:noProof/>
            <w:color w:val="auto"/>
          </w:rPr>
          <w:t>Opinión si hay supervisión ambiental</w:t>
        </w:r>
        <w:r w:rsidRPr="00F928D4">
          <w:rPr>
            <w:noProof/>
            <w:webHidden/>
          </w:rPr>
          <w:tab/>
        </w:r>
        <w:r w:rsidRPr="00F928D4">
          <w:rPr>
            <w:noProof/>
            <w:webHidden/>
          </w:rPr>
          <w:fldChar w:fldCharType="begin"/>
        </w:r>
        <w:r w:rsidRPr="00F928D4">
          <w:rPr>
            <w:noProof/>
            <w:webHidden/>
          </w:rPr>
          <w:instrText xml:space="preserve"> PAGEREF _Toc227937879 \h </w:instrText>
        </w:r>
        <w:r w:rsidRPr="00F928D4">
          <w:rPr>
            <w:noProof/>
            <w:webHidden/>
          </w:rPr>
        </w:r>
        <w:r w:rsidRPr="00F928D4">
          <w:rPr>
            <w:noProof/>
            <w:webHidden/>
          </w:rPr>
          <w:fldChar w:fldCharType="separate"/>
        </w:r>
        <w:r w:rsidR="00064AE3">
          <w:rPr>
            <w:noProof/>
            <w:webHidden/>
          </w:rPr>
          <w:t>118</w:t>
        </w:r>
        <w:r w:rsidRPr="00F928D4">
          <w:rPr>
            <w:noProof/>
            <w:webHidden/>
          </w:rPr>
          <w:fldChar w:fldCharType="end"/>
        </w:r>
      </w:hyperlink>
    </w:p>
    <w:p w14:paraId="3466A73B" w14:textId="5782CE19"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80" w:history="1">
        <w:r w:rsidRPr="00F928D4">
          <w:rPr>
            <w:rStyle w:val="Hyperlink"/>
            <w:noProof/>
            <w:color w:val="auto"/>
          </w:rPr>
          <w:t xml:space="preserve">Figura 26  </w:t>
        </w:r>
        <w:r w:rsidRPr="00F928D4">
          <w:rPr>
            <w:rStyle w:val="Hyperlink"/>
            <w:i/>
            <w:iCs/>
            <w:noProof/>
            <w:color w:val="auto"/>
          </w:rPr>
          <w:t>Opinión si hay requisitos de sostenibilidad</w:t>
        </w:r>
        <w:r w:rsidRPr="00F928D4">
          <w:rPr>
            <w:noProof/>
            <w:webHidden/>
          </w:rPr>
          <w:tab/>
        </w:r>
        <w:r w:rsidRPr="00F928D4">
          <w:rPr>
            <w:noProof/>
            <w:webHidden/>
          </w:rPr>
          <w:fldChar w:fldCharType="begin"/>
        </w:r>
        <w:r w:rsidRPr="00F928D4">
          <w:rPr>
            <w:noProof/>
            <w:webHidden/>
          </w:rPr>
          <w:instrText xml:space="preserve"> PAGEREF _Toc227937880 \h </w:instrText>
        </w:r>
        <w:r w:rsidRPr="00F928D4">
          <w:rPr>
            <w:noProof/>
            <w:webHidden/>
          </w:rPr>
        </w:r>
        <w:r w:rsidRPr="00F928D4">
          <w:rPr>
            <w:noProof/>
            <w:webHidden/>
          </w:rPr>
          <w:fldChar w:fldCharType="separate"/>
        </w:r>
        <w:r w:rsidR="00064AE3">
          <w:rPr>
            <w:noProof/>
            <w:webHidden/>
          </w:rPr>
          <w:t>119</w:t>
        </w:r>
        <w:r w:rsidRPr="00F928D4">
          <w:rPr>
            <w:noProof/>
            <w:webHidden/>
          </w:rPr>
          <w:fldChar w:fldCharType="end"/>
        </w:r>
      </w:hyperlink>
    </w:p>
    <w:p w14:paraId="612A5814" w14:textId="762258E1"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81" w:history="1">
        <w:r w:rsidRPr="00F928D4">
          <w:rPr>
            <w:rStyle w:val="Hyperlink"/>
            <w:noProof/>
            <w:color w:val="auto"/>
          </w:rPr>
          <w:t xml:space="preserve">Figura 27  </w:t>
        </w:r>
        <w:r w:rsidRPr="00F928D4">
          <w:rPr>
            <w:rStyle w:val="Hyperlink"/>
            <w:i/>
            <w:iCs/>
            <w:noProof/>
            <w:color w:val="auto"/>
          </w:rPr>
          <w:t>Opinión si se da seguimiento a desempeño ambiental</w:t>
        </w:r>
        <w:r w:rsidRPr="00F928D4">
          <w:rPr>
            <w:noProof/>
            <w:webHidden/>
          </w:rPr>
          <w:tab/>
        </w:r>
        <w:r w:rsidRPr="00F928D4">
          <w:rPr>
            <w:noProof/>
            <w:webHidden/>
          </w:rPr>
          <w:fldChar w:fldCharType="begin"/>
        </w:r>
        <w:r w:rsidRPr="00F928D4">
          <w:rPr>
            <w:noProof/>
            <w:webHidden/>
          </w:rPr>
          <w:instrText xml:space="preserve"> PAGEREF _Toc227937881 \h </w:instrText>
        </w:r>
        <w:r w:rsidRPr="00F928D4">
          <w:rPr>
            <w:noProof/>
            <w:webHidden/>
          </w:rPr>
        </w:r>
        <w:r w:rsidRPr="00F928D4">
          <w:rPr>
            <w:noProof/>
            <w:webHidden/>
          </w:rPr>
          <w:fldChar w:fldCharType="separate"/>
        </w:r>
        <w:r w:rsidR="00064AE3">
          <w:rPr>
            <w:noProof/>
            <w:webHidden/>
          </w:rPr>
          <w:t>120</w:t>
        </w:r>
        <w:r w:rsidRPr="00F928D4">
          <w:rPr>
            <w:noProof/>
            <w:webHidden/>
          </w:rPr>
          <w:fldChar w:fldCharType="end"/>
        </w:r>
      </w:hyperlink>
    </w:p>
    <w:p w14:paraId="3081D959" w14:textId="78967065"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82" w:history="1">
        <w:r w:rsidRPr="00F928D4">
          <w:rPr>
            <w:rStyle w:val="Hyperlink"/>
            <w:noProof/>
            <w:color w:val="auto"/>
          </w:rPr>
          <w:t xml:space="preserve">Figura 28  </w:t>
        </w:r>
        <w:r w:rsidRPr="00F928D4">
          <w:rPr>
            <w:rStyle w:val="Hyperlink"/>
            <w:i/>
            <w:iCs/>
            <w:noProof/>
            <w:color w:val="auto"/>
          </w:rPr>
          <w:t>Opinión si una guía ayudaría a mejorar el manejo de residuos.</w:t>
        </w:r>
        <w:r w:rsidRPr="00F928D4">
          <w:rPr>
            <w:noProof/>
            <w:webHidden/>
          </w:rPr>
          <w:tab/>
        </w:r>
        <w:r w:rsidRPr="00F928D4">
          <w:rPr>
            <w:noProof/>
            <w:webHidden/>
          </w:rPr>
          <w:fldChar w:fldCharType="begin"/>
        </w:r>
        <w:r w:rsidRPr="00F928D4">
          <w:rPr>
            <w:noProof/>
            <w:webHidden/>
          </w:rPr>
          <w:instrText xml:space="preserve"> PAGEREF _Toc227937882 \h </w:instrText>
        </w:r>
        <w:r w:rsidRPr="00F928D4">
          <w:rPr>
            <w:noProof/>
            <w:webHidden/>
          </w:rPr>
        </w:r>
        <w:r w:rsidRPr="00F928D4">
          <w:rPr>
            <w:noProof/>
            <w:webHidden/>
          </w:rPr>
          <w:fldChar w:fldCharType="separate"/>
        </w:r>
        <w:r w:rsidR="00064AE3">
          <w:rPr>
            <w:noProof/>
            <w:webHidden/>
          </w:rPr>
          <w:t>121</w:t>
        </w:r>
        <w:r w:rsidRPr="00F928D4">
          <w:rPr>
            <w:noProof/>
            <w:webHidden/>
          </w:rPr>
          <w:fldChar w:fldCharType="end"/>
        </w:r>
      </w:hyperlink>
    </w:p>
    <w:p w14:paraId="007BFC42" w14:textId="3806312C"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83" w:history="1">
        <w:r w:rsidRPr="00F928D4">
          <w:rPr>
            <w:rStyle w:val="Hyperlink"/>
            <w:noProof/>
            <w:color w:val="auto"/>
          </w:rPr>
          <w:t xml:space="preserve">Figura 29  </w:t>
        </w:r>
        <w:r w:rsidRPr="00F928D4">
          <w:rPr>
            <w:rStyle w:val="Hyperlink"/>
            <w:i/>
            <w:iCs/>
            <w:noProof/>
            <w:color w:val="auto"/>
          </w:rPr>
          <w:t>Flujograma de pasos operativos del POE</w:t>
        </w:r>
        <w:r w:rsidRPr="00F928D4">
          <w:rPr>
            <w:noProof/>
            <w:webHidden/>
          </w:rPr>
          <w:tab/>
        </w:r>
        <w:r w:rsidRPr="00F928D4">
          <w:rPr>
            <w:noProof/>
            <w:webHidden/>
          </w:rPr>
          <w:fldChar w:fldCharType="begin"/>
        </w:r>
        <w:r w:rsidRPr="00F928D4">
          <w:rPr>
            <w:noProof/>
            <w:webHidden/>
          </w:rPr>
          <w:instrText xml:space="preserve"> PAGEREF _Toc227937883 \h </w:instrText>
        </w:r>
        <w:r w:rsidRPr="00F928D4">
          <w:rPr>
            <w:noProof/>
            <w:webHidden/>
          </w:rPr>
        </w:r>
        <w:r w:rsidRPr="00F928D4">
          <w:rPr>
            <w:noProof/>
            <w:webHidden/>
          </w:rPr>
          <w:fldChar w:fldCharType="separate"/>
        </w:r>
        <w:r w:rsidR="00064AE3">
          <w:rPr>
            <w:noProof/>
            <w:webHidden/>
          </w:rPr>
          <w:t>151</w:t>
        </w:r>
        <w:r w:rsidRPr="00F928D4">
          <w:rPr>
            <w:noProof/>
            <w:webHidden/>
          </w:rPr>
          <w:fldChar w:fldCharType="end"/>
        </w:r>
      </w:hyperlink>
    </w:p>
    <w:p w14:paraId="2F892A0C" w14:textId="58E6B976" w:rsidR="0058263D" w:rsidRPr="00F928D4" w:rsidRDefault="0058263D">
      <w:pPr>
        <w:pStyle w:val="TableofFigures"/>
        <w:rPr>
          <w:rFonts w:asciiTheme="minorHAnsi" w:eastAsiaTheme="minorEastAsia" w:hAnsiTheme="minorHAnsi" w:cstheme="minorBidi"/>
          <w:noProof/>
          <w:kern w:val="2"/>
          <w:sz w:val="24"/>
          <w:lang w:val="en-US" w:eastAsia="en-US"/>
          <w14:ligatures w14:val="standardContextual"/>
        </w:rPr>
      </w:pPr>
      <w:hyperlink w:anchor="_Toc227937884" w:history="1">
        <w:r w:rsidRPr="00F928D4">
          <w:rPr>
            <w:rStyle w:val="Hyperlink"/>
            <w:noProof/>
            <w:color w:val="auto"/>
          </w:rPr>
          <w:t xml:space="preserve">Figura 30  </w:t>
        </w:r>
        <w:r w:rsidRPr="00F928D4">
          <w:rPr>
            <w:rStyle w:val="Hyperlink"/>
            <w:i/>
            <w:iCs/>
            <w:noProof/>
            <w:color w:val="auto"/>
          </w:rPr>
          <w:t>Diagrama general de la guía metodológica.</w:t>
        </w:r>
        <w:r w:rsidRPr="00F928D4">
          <w:rPr>
            <w:noProof/>
            <w:webHidden/>
          </w:rPr>
          <w:tab/>
        </w:r>
        <w:r w:rsidRPr="00F928D4">
          <w:rPr>
            <w:noProof/>
            <w:webHidden/>
          </w:rPr>
          <w:fldChar w:fldCharType="begin"/>
        </w:r>
        <w:r w:rsidRPr="00F928D4">
          <w:rPr>
            <w:noProof/>
            <w:webHidden/>
          </w:rPr>
          <w:instrText xml:space="preserve"> PAGEREF _Toc227937884 \h </w:instrText>
        </w:r>
        <w:r w:rsidRPr="00F928D4">
          <w:rPr>
            <w:noProof/>
            <w:webHidden/>
          </w:rPr>
        </w:r>
        <w:r w:rsidRPr="00F928D4">
          <w:rPr>
            <w:noProof/>
            <w:webHidden/>
          </w:rPr>
          <w:fldChar w:fldCharType="separate"/>
        </w:r>
        <w:r w:rsidR="00064AE3">
          <w:rPr>
            <w:noProof/>
            <w:webHidden/>
          </w:rPr>
          <w:t>170</w:t>
        </w:r>
        <w:r w:rsidRPr="00F928D4">
          <w:rPr>
            <w:noProof/>
            <w:webHidden/>
          </w:rPr>
          <w:fldChar w:fldCharType="end"/>
        </w:r>
      </w:hyperlink>
    </w:p>
    <w:p w14:paraId="07BC5988" w14:textId="3C1EDF6F" w:rsidR="002D71D6" w:rsidRPr="00F928D4" w:rsidRDefault="00264EEB" w:rsidP="00AC4635">
      <w:pPr>
        <w:pStyle w:val="Heading1"/>
        <w:numPr>
          <w:ilvl w:val="0"/>
          <w:numId w:val="0"/>
        </w:numPr>
        <w:ind w:left="360"/>
        <w:rPr>
          <w:b w:val="0"/>
        </w:rPr>
      </w:pPr>
      <w:r w:rsidRPr="00F928D4">
        <w:rPr>
          <w:b w:val="0"/>
        </w:rPr>
        <w:fldChar w:fldCharType="end"/>
      </w:r>
      <w:bookmarkStart w:id="44" w:name="_Toc211465597"/>
    </w:p>
    <w:p w14:paraId="65E19EDC" w14:textId="77777777" w:rsidR="002D71D6" w:rsidRPr="00734D3B" w:rsidRDefault="002D71D6">
      <w:pPr>
        <w:spacing w:line="240" w:lineRule="auto"/>
        <w:ind w:firstLine="0"/>
        <w:rPr>
          <w:b/>
          <w:bCs/>
        </w:rPr>
      </w:pPr>
      <w:r w:rsidRPr="00734D3B">
        <w:br w:type="page"/>
      </w:r>
    </w:p>
    <w:p w14:paraId="4DCE4BE8" w14:textId="77777777" w:rsidR="00BE0964" w:rsidRPr="00BE0964" w:rsidRDefault="00264EEB" w:rsidP="00AC4635">
      <w:pPr>
        <w:pStyle w:val="Heading1"/>
        <w:numPr>
          <w:ilvl w:val="0"/>
          <w:numId w:val="0"/>
        </w:numPr>
        <w:ind w:left="360"/>
        <w:rPr>
          <w:b w:val="0"/>
          <w:bCs w:val="0"/>
          <w:noProof/>
        </w:rPr>
      </w:pPr>
      <w:bookmarkStart w:id="45" w:name="_Toc227936370"/>
      <w:r w:rsidRPr="00734D3B">
        <w:lastRenderedPageBreak/>
        <w:t>LISTA DE TABLAS</w:t>
      </w:r>
      <w:bookmarkEnd w:id="44"/>
      <w:bookmarkEnd w:id="45"/>
      <w:r w:rsidRPr="00BE0964">
        <w:rPr>
          <w:b w:val="0"/>
          <w:bCs w:val="0"/>
        </w:rPr>
        <w:fldChar w:fldCharType="begin"/>
      </w:r>
      <w:r w:rsidRPr="00BE0964">
        <w:rPr>
          <w:b w:val="0"/>
          <w:bCs w:val="0"/>
        </w:rPr>
        <w:instrText xml:space="preserve"> TOC \h \z \c "Tabla" </w:instrText>
      </w:r>
      <w:r w:rsidRPr="00BE0964">
        <w:rPr>
          <w:b w:val="0"/>
          <w:bCs w:val="0"/>
        </w:rPr>
        <w:fldChar w:fldCharType="separate"/>
      </w:r>
    </w:p>
    <w:p w14:paraId="7E42EFEC" w14:textId="2B649550"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1" w:history="1">
        <w:r w:rsidRPr="00200C19">
          <w:rPr>
            <w:rStyle w:val="Hyperlink"/>
            <w:bCs w:val="0"/>
            <w:noProof/>
            <w:color w:val="auto"/>
          </w:rPr>
          <w:t xml:space="preserve">Tabla 1  </w:t>
        </w:r>
        <w:r w:rsidRPr="00200C19">
          <w:rPr>
            <w:rStyle w:val="Hyperlink"/>
            <w:bCs w:val="0"/>
            <w:i/>
            <w:iCs/>
            <w:noProof/>
            <w:color w:val="auto"/>
          </w:rPr>
          <w:t>Dominios de desempeño del proyecto y su aplicación en la gestión sostenible de contratistas eléctricos.</w:t>
        </w:r>
        <w:r w:rsidRPr="00200C19">
          <w:rPr>
            <w:bCs w:val="0"/>
            <w:noProof/>
            <w:webHidden/>
          </w:rPr>
          <w:tab/>
        </w:r>
        <w:r w:rsidRPr="00200C19">
          <w:rPr>
            <w:bCs w:val="0"/>
            <w:noProof/>
            <w:webHidden/>
          </w:rPr>
          <w:fldChar w:fldCharType="begin"/>
        </w:r>
        <w:r w:rsidRPr="00200C19">
          <w:rPr>
            <w:bCs w:val="0"/>
            <w:noProof/>
            <w:webHidden/>
          </w:rPr>
          <w:instrText xml:space="preserve"> PAGEREF _Toc228342081 \h </w:instrText>
        </w:r>
        <w:r w:rsidRPr="00200C19">
          <w:rPr>
            <w:bCs w:val="0"/>
            <w:noProof/>
            <w:webHidden/>
          </w:rPr>
        </w:r>
        <w:r w:rsidRPr="00200C19">
          <w:rPr>
            <w:bCs w:val="0"/>
            <w:noProof/>
            <w:webHidden/>
          </w:rPr>
          <w:fldChar w:fldCharType="separate"/>
        </w:r>
        <w:r w:rsidR="00064AE3" w:rsidRPr="00200C19">
          <w:rPr>
            <w:bCs w:val="0"/>
            <w:noProof/>
            <w:webHidden/>
          </w:rPr>
          <w:t>46</w:t>
        </w:r>
        <w:r w:rsidRPr="00200C19">
          <w:rPr>
            <w:bCs w:val="0"/>
            <w:noProof/>
            <w:webHidden/>
          </w:rPr>
          <w:fldChar w:fldCharType="end"/>
        </w:r>
      </w:hyperlink>
    </w:p>
    <w:p w14:paraId="68FB3F78" w14:textId="1D1C4255"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2" w:history="1">
        <w:r w:rsidRPr="00200C19">
          <w:rPr>
            <w:rStyle w:val="Hyperlink"/>
            <w:bCs w:val="0"/>
            <w:noProof/>
            <w:color w:val="auto"/>
          </w:rPr>
          <w:t xml:space="preserve">Tabla 2  </w:t>
        </w:r>
        <w:r w:rsidRPr="00200C19">
          <w:rPr>
            <w:rStyle w:val="Hyperlink"/>
            <w:bCs w:val="0"/>
            <w:i/>
            <w:iCs/>
            <w:noProof/>
            <w:color w:val="auto"/>
          </w:rPr>
          <w:t>Fuentes de información</w:t>
        </w:r>
        <w:r w:rsidRPr="00200C19">
          <w:rPr>
            <w:bCs w:val="0"/>
            <w:noProof/>
            <w:webHidden/>
          </w:rPr>
          <w:tab/>
        </w:r>
        <w:r w:rsidRPr="00200C19">
          <w:rPr>
            <w:bCs w:val="0"/>
            <w:noProof/>
            <w:webHidden/>
          </w:rPr>
          <w:fldChar w:fldCharType="begin"/>
        </w:r>
        <w:r w:rsidRPr="00200C19">
          <w:rPr>
            <w:bCs w:val="0"/>
            <w:noProof/>
            <w:webHidden/>
          </w:rPr>
          <w:instrText xml:space="preserve"> PAGEREF _Toc228342082 \h </w:instrText>
        </w:r>
        <w:r w:rsidRPr="00200C19">
          <w:rPr>
            <w:bCs w:val="0"/>
            <w:noProof/>
            <w:webHidden/>
          </w:rPr>
        </w:r>
        <w:r w:rsidRPr="00200C19">
          <w:rPr>
            <w:bCs w:val="0"/>
            <w:noProof/>
            <w:webHidden/>
          </w:rPr>
          <w:fldChar w:fldCharType="separate"/>
        </w:r>
        <w:r w:rsidR="00064AE3" w:rsidRPr="00200C19">
          <w:rPr>
            <w:bCs w:val="0"/>
            <w:noProof/>
            <w:webHidden/>
          </w:rPr>
          <w:t>76</w:t>
        </w:r>
        <w:r w:rsidRPr="00200C19">
          <w:rPr>
            <w:bCs w:val="0"/>
            <w:noProof/>
            <w:webHidden/>
          </w:rPr>
          <w:fldChar w:fldCharType="end"/>
        </w:r>
      </w:hyperlink>
    </w:p>
    <w:p w14:paraId="09BEDFD9" w14:textId="318883B9"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3" w:history="1">
        <w:r w:rsidRPr="00200C19">
          <w:rPr>
            <w:rStyle w:val="Hyperlink"/>
            <w:bCs w:val="0"/>
            <w:noProof/>
            <w:color w:val="auto"/>
          </w:rPr>
          <w:t xml:space="preserve">Tabla 3  </w:t>
        </w:r>
        <w:r w:rsidRPr="00200C19">
          <w:rPr>
            <w:rStyle w:val="Hyperlink"/>
            <w:bCs w:val="0"/>
            <w:i/>
            <w:iCs/>
            <w:noProof/>
            <w:color w:val="auto"/>
          </w:rPr>
          <w:t>Métodos de investigación</w:t>
        </w:r>
        <w:r w:rsidRPr="00200C19">
          <w:rPr>
            <w:bCs w:val="0"/>
            <w:noProof/>
            <w:webHidden/>
          </w:rPr>
          <w:tab/>
        </w:r>
        <w:r w:rsidRPr="00200C19">
          <w:rPr>
            <w:bCs w:val="0"/>
            <w:noProof/>
            <w:webHidden/>
          </w:rPr>
          <w:fldChar w:fldCharType="begin"/>
        </w:r>
        <w:r w:rsidRPr="00200C19">
          <w:rPr>
            <w:bCs w:val="0"/>
            <w:noProof/>
            <w:webHidden/>
          </w:rPr>
          <w:instrText xml:space="preserve"> PAGEREF _Toc228342083 \h </w:instrText>
        </w:r>
        <w:r w:rsidRPr="00200C19">
          <w:rPr>
            <w:bCs w:val="0"/>
            <w:noProof/>
            <w:webHidden/>
          </w:rPr>
        </w:r>
        <w:r w:rsidRPr="00200C19">
          <w:rPr>
            <w:bCs w:val="0"/>
            <w:noProof/>
            <w:webHidden/>
          </w:rPr>
          <w:fldChar w:fldCharType="separate"/>
        </w:r>
        <w:r w:rsidR="00064AE3" w:rsidRPr="00200C19">
          <w:rPr>
            <w:bCs w:val="0"/>
            <w:noProof/>
            <w:webHidden/>
          </w:rPr>
          <w:t>80</w:t>
        </w:r>
        <w:r w:rsidRPr="00200C19">
          <w:rPr>
            <w:bCs w:val="0"/>
            <w:noProof/>
            <w:webHidden/>
          </w:rPr>
          <w:fldChar w:fldCharType="end"/>
        </w:r>
      </w:hyperlink>
    </w:p>
    <w:p w14:paraId="7A9E47F8" w14:textId="63E6752F"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4" w:history="1">
        <w:r w:rsidRPr="00200C19">
          <w:rPr>
            <w:rStyle w:val="Hyperlink"/>
            <w:bCs w:val="0"/>
            <w:noProof/>
            <w:color w:val="auto"/>
          </w:rPr>
          <w:t xml:space="preserve">Tabla 4  </w:t>
        </w:r>
        <w:r w:rsidRPr="00200C19">
          <w:rPr>
            <w:rStyle w:val="Hyperlink"/>
            <w:bCs w:val="0"/>
            <w:i/>
            <w:iCs/>
            <w:noProof/>
            <w:color w:val="auto"/>
          </w:rPr>
          <w:t>Herramientas de dirección de proyectos aplicadas en la gestión sostenible de contratistas eléctricos en data centers.</w:t>
        </w:r>
        <w:r w:rsidRPr="00200C19">
          <w:rPr>
            <w:bCs w:val="0"/>
            <w:noProof/>
            <w:webHidden/>
          </w:rPr>
          <w:tab/>
        </w:r>
        <w:r w:rsidRPr="00200C19">
          <w:rPr>
            <w:bCs w:val="0"/>
            <w:noProof/>
            <w:webHidden/>
          </w:rPr>
          <w:fldChar w:fldCharType="begin"/>
        </w:r>
        <w:r w:rsidRPr="00200C19">
          <w:rPr>
            <w:bCs w:val="0"/>
            <w:noProof/>
            <w:webHidden/>
          </w:rPr>
          <w:instrText xml:space="preserve"> PAGEREF _Toc228342084 \h </w:instrText>
        </w:r>
        <w:r w:rsidRPr="00200C19">
          <w:rPr>
            <w:bCs w:val="0"/>
            <w:noProof/>
            <w:webHidden/>
          </w:rPr>
        </w:r>
        <w:r w:rsidRPr="00200C19">
          <w:rPr>
            <w:bCs w:val="0"/>
            <w:noProof/>
            <w:webHidden/>
          </w:rPr>
          <w:fldChar w:fldCharType="separate"/>
        </w:r>
        <w:r w:rsidR="00064AE3" w:rsidRPr="00200C19">
          <w:rPr>
            <w:bCs w:val="0"/>
            <w:noProof/>
            <w:webHidden/>
          </w:rPr>
          <w:t>86</w:t>
        </w:r>
        <w:r w:rsidRPr="00200C19">
          <w:rPr>
            <w:bCs w:val="0"/>
            <w:noProof/>
            <w:webHidden/>
          </w:rPr>
          <w:fldChar w:fldCharType="end"/>
        </w:r>
      </w:hyperlink>
    </w:p>
    <w:p w14:paraId="253BE184" w14:textId="4560AA7F"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5" w:history="1">
        <w:r w:rsidRPr="00200C19">
          <w:rPr>
            <w:rStyle w:val="Hyperlink"/>
            <w:bCs w:val="0"/>
            <w:noProof/>
            <w:color w:val="auto"/>
          </w:rPr>
          <w:t xml:space="preserve">Tabla 5  </w:t>
        </w:r>
        <w:r w:rsidRPr="00200C19">
          <w:rPr>
            <w:rStyle w:val="Hyperlink"/>
            <w:bCs w:val="0"/>
            <w:i/>
            <w:iCs/>
            <w:noProof/>
            <w:color w:val="auto"/>
          </w:rPr>
          <w:t>Herramientas</w:t>
        </w:r>
        <w:r w:rsidRPr="00200C19">
          <w:rPr>
            <w:bCs w:val="0"/>
            <w:noProof/>
            <w:webHidden/>
          </w:rPr>
          <w:tab/>
        </w:r>
        <w:r w:rsidRPr="00200C19">
          <w:rPr>
            <w:bCs w:val="0"/>
            <w:noProof/>
            <w:webHidden/>
          </w:rPr>
          <w:fldChar w:fldCharType="begin"/>
        </w:r>
        <w:r w:rsidRPr="00200C19">
          <w:rPr>
            <w:bCs w:val="0"/>
            <w:noProof/>
            <w:webHidden/>
          </w:rPr>
          <w:instrText xml:space="preserve"> PAGEREF _Toc228342085 \h </w:instrText>
        </w:r>
        <w:r w:rsidRPr="00200C19">
          <w:rPr>
            <w:bCs w:val="0"/>
            <w:noProof/>
            <w:webHidden/>
          </w:rPr>
        </w:r>
        <w:r w:rsidRPr="00200C19">
          <w:rPr>
            <w:bCs w:val="0"/>
            <w:noProof/>
            <w:webHidden/>
          </w:rPr>
          <w:fldChar w:fldCharType="separate"/>
        </w:r>
        <w:r w:rsidR="00064AE3" w:rsidRPr="00200C19">
          <w:rPr>
            <w:bCs w:val="0"/>
            <w:noProof/>
            <w:webHidden/>
          </w:rPr>
          <w:t>89</w:t>
        </w:r>
        <w:r w:rsidRPr="00200C19">
          <w:rPr>
            <w:bCs w:val="0"/>
            <w:noProof/>
            <w:webHidden/>
          </w:rPr>
          <w:fldChar w:fldCharType="end"/>
        </w:r>
      </w:hyperlink>
    </w:p>
    <w:p w14:paraId="05475881" w14:textId="5FA84791"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6" w:history="1">
        <w:r w:rsidRPr="00200C19">
          <w:rPr>
            <w:rStyle w:val="Hyperlink"/>
            <w:bCs w:val="0"/>
            <w:noProof/>
            <w:color w:val="auto"/>
          </w:rPr>
          <w:t xml:space="preserve">Tabla 6  </w:t>
        </w:r>
        <w:r w:rsidRPr="00200C19">
          <w:rPr>
            <w:rStyle w:val="Hyperlink"/>
            <w:bCs w:val="0"/>
            <w:i/>
            <w:iCs/>
            <w:noProof/>
            <w:color w:val="auto"/>
          </w:rPr>
          <w:t>Supuestos y restricciones</w:t>
        </w:r>
        <w:r w:rsidRPr="00200C19">
          <w:rPr>
            <w:bCs w:val="0"/>
            <w:noProof/>
            <w:webHidden/>
          </w:rPr>
          <w:tab/>
        </w:r>
        <w:r w:rsidRPr="00200C19">
          <w:rPr>
            <w:bCs w:val="0"/>
            <w:noProof/>
            <w:webHidden/>
          </w:rPr>
          <w:fldChar w:fldCharType="begin"/>
        </w:r>
        <w:r w:rsidRPr="00200C19">
          <w:rPr>
            <w:bCs w:val="0"/>
            <w:noProof/>
            <w:webHidden/>
          </w:rPr>
          <w:instrText xml:space="preserve"> PAGEREF _Toc228342086 \h </w:instrText>
        </w:r>
        <w:r w:rsidRPr="00200C19">
          <w:rPr>
            <w:bCs w:val="0"/>
            <w:noProof/>
            <w:webHidden/>
          </w:rPr>
        </w:r>
        <w:r w:rsidRPr="00200C19">
          <w:rPr>
            <w:bCs w:val="0"/>
            <w:noProof/>
            <w:webHidden/>
          </w:rPr>
          <w:fldChar w:fldCharType="separate"/>
        </w:r>
        <w:r w:rsidR="00064AE3" w:rsidRPr="00200C19">
          <w:rPr>
            <w:bCs w:val="0"/>
            <w:noProof/>
            <w:webHidden/>
          </w:rPr>
          <w:t>93</w:t>
        </w:r>
        <w:r w:rsidRPr="00200C19">
          <w:rPr>
            <w:bCs w:val="0"/>
            <w:noProof/>
            <w:webHidden/>
          </w:rPr>
          <w:fldChar w:fldCharType="end"/>
        </w:r>
      </w:hyperlink>
    </w:p>
    <w:p w14:paraId="1D1AEE49" w14:textId="69DCB4FE"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7" w:history="1">
        <w:r w:rsidRPr="00200C19">
          <w:rPr>
            <w:rStyle w:val="Hyperlink"/>
            <w:bCs w:val="0"/>
            <w:noProof/>
            <w:color w:val="auto"/>
          </w:rPr>
          <w:t xml:space="preserve">Tabla 7  </w:t>
        </w:r>
        <w:r w:rsidRPr="00200C19">
          <w:rPr>
            <w:rStyle w:val="Hyperlink"/>
            <w:bCs w:val="0"/>
            <w:i/>
            <w:iCs/>
            <w:noProof/>
            <w:color w:val="auto"/>
          </w:rPr>
          <w:t>Entregables</w:t>
        </w:r>
        <w:r w:rsidRPr="00200C19">
          <w:rPr>
            <w:bCs w:val="0"/>
            <w:noProof/>
            <w:webHidden/>
          </w:rPr>
          <w:tab/>
        </w:r>
        <w:r w:rsidRPr="00200C19">
          <w:rPr>
            <w:bCs w:val="0"/>
            <w:noProof/>
            <w:webHidden/>
          </w:rPr>
          <w:fldChar w:fldCharType="begin"/>
        </w:r>
        <w:r w:rsidRPr="00200C19">
          <w:rPr>
            <w:bCs w:val="0"/>
            <w:noProof/>
            <w:webHidden/>
          </w:rPr>
          <w:instrText xml:space="preserve"> PAGEREF _Toc228342087 \h </w:instrText>
        </w:r>
        <w:r w:rsidRPr="00200C19">
          <w:rPr>
            <w:bCs w:val="0"/>
            <w:noProof/>
            <w:webHidden/>
          </w:rPr>
        </w:r>
        <w:r w:rsidRPr="00200C19">
          <w:rPr>
            <w:bCs w:val="0"/>
            <w:noProof/>
            <w:webHidden/>
          </w:rPr>
          <w:fldChar w:fldCharType="separate"/>
        </w:r>
        <w:r w:rsidR="00064AE3" w:rsidRPr="00200C19">
          <w:rPr>
            <w:bCs w:val="0"/>
            <w:noProof/>
            <w:webHidden/>
          </w:rPr>
          <w:t>95</w:t>
        </w:r>
        <w:r w:rsidRPr="00200C19">
          <w:rPr>
            <w:bCs w:val="0"/>
            <w:noProof/>
            <w:webHidden/>
          </w:rPr>
          <w:fldChar w:fldCharType="end"/>
        </w:r>
      </w:hyperlink>
    </w:p>
    <w:p w14:paraId="2D341A72" w14:textId="6A36B524"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8" w:history="1">
        <w:r w:rsidRPr="00200C19">
          <w:rPr>
            <w:rStyle w:val="Hyperlink"/>
            <w:bCs w:val="0"/>
            <w:noProof/>
            <w:color w:val="auto"/>
          </w:rPr>
          <w:t xml:space="preserve">Tabla 8  </w:t>
        </w:r>
        <w:r w:rsidRPr="00200C19">
          <w:rPr>
            <w:rStyle w:val="Hyperlink"/>
            <w:bCs w:val="0"/>
            <w:i/>
            <w:iCs/>
            <w:noProof/>
            <w:color w:val="auto"/>
          </w:rPr>
          <w:t>Resumen de resultados</w:t>
        </w:r>
        <w:r w:rsidRPr="00200C19">
          <w:rPr>
            <w:bCs w:val="0"/>
            <w:noProof/>
            <w:webHidden/>
          </w:rPr>
          <w:tab/>
        </w:r>
        <w:r w:rsidRPr="00200C19">
          <w:rPr>
            <w:bCs w:val="0"/>
            <w:noProof/>
            <w:webHidden/>
          </w:rPr>
          <w:fldChar w:fldCharType="begin"/>
        </w:r>
        <w:r w:rsidRPr="00200C19">
          <w:rPr>
            <w:bCs w:val="0"/>
            <w:noProof/>
            <w:webHidden/>
          </w:rPr>
          <w:instrText xml:space="preserve"> PAGEREF _Toc228342088 \h </w:instrText>
        </w:r>
        <w:r w:rsidRPr="00200C19">
          <w:rPr>
            <w:bCs w:val="0"/>
            <w:noProof/>
            <w:webHidden/>
          </w:rPr>
        </w:r>
        <w:r w:rsidRPr="00200C19">
          <w:rPr>
            <w:bCs w:val="0"/>
            <w:noProof/>
            <w:webHidden/>
          </w:rPr>
          <w:fldChar w:fldCharType="separate"/>
        </w:r>
        <w:r w:rsidR="00064AE3" w:rsidRPr="00200C19">
          <w:rPr>
            <w:bCs w:val="0"/>
            <w:noProof/>
            <w:webHidden/>
          </w:rPr>
          <w:t>122</w:t>
        </w:r>
        <w:r w:rsidRPr="00200C19">
          <w:rPr>
            <w:bCs w:val="0"/>
            <w:noProof/>
            <w:webHidden/>
          </w:rPr>
          <w:fldChar w:fldCharType="end"/>
        </w:r>
      </w:hyperlink>
    </w:p>
    <w:p w14:paraId="42E75C88" w14:textId="7AD8BDAF"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89" w:history="1">
        <w:r w:rsidRPr="00200C19">
          <w:rPr>
            <w:rStyle w:val="Hyperlink"/>
            <w:bCs w:val="0"/>
            <w:noProof/>
            <w:color w:val="auto"/>
          </w:rPr>
          <w:t xml:space="preserve">Tabla 9  </w:t>
        </w:r>
        <w:r w:rsidRPr="00200C19">
          <w:rPr>
            <w:rStyle w:val="Hyperlink"/>
            <w:bCs w:val="0"/>
            <w:i/>
            <w:iCs/>
            <w:noProof/>
            <w:color w:val="auto"/>
          </w:rPr>
          <w:t>Comparativo de marco normativo y buenas prácticas</w:t>
        </w:r>
        <w:r w:rsidRPr="00200C19">
          <w:rPr>
            <w:bCs w:val="0"/>
            <w:noProof/>
            <w:webHidden/>
          </w:rPr>
          <w:tab/>
        </w:r>
        <w:r w:rsidRPr="00200C19">
          <w:rPr>
            <w:bCs w:val="0"/>
            <w:noProof/>
            <w:webHidden/>
          </w:rPr>
          <w:fldChar w:fldCharType="begin"/>
        </w:r>
        <w:r w:rsidRPr="00200C19">
          <w:rPr>
            <w:bCs w:val="0"/>
            <w:noProof/>
            <w:webHidden/>
          </w:rPr>
          <w:instrText xml:space="preserve"> PAGEREF _Toc228342089 \h </w:instrText>
        </w:r>
        <w:r w:rsidRPr="00200C19">
          <w:rPr>
            <w:bCs w:val="0"/>
            <w:noProof/>
            <w:webHidden/>
          </w:rPr>
        </w:r>
        <w:r w:rsidRPr="00200C19">
          <w:rPr>
            <w:bCs w:val="0"/>
            <w:noProof/>
            <w:webHidden/>
          </w:rPr>
          <w:fldChar w:fldCharType="separate"/>
        </w:r>
        <w:r w:rsidR="00064AE3" w:rsidRPr="00200C19">
          <w:rPr>
            <w:bCs w:val="0"/>
            <w:noProof/>
            <w:webHidden/>
          </w:rPr>
          <w:t>124</w:t>
        </w:r>
        <w:r w:rsidRPr="00200C19">
          <w:rPr>
            <w:bCs w:val="0"/>
            <w:noProof/>
            <w:webHidden/>
          </w:rPr>
          <w:fldChar w:fldCharType="end"/>
        </w:r>
      </w:hyperlink>
    </w:p>
    <w:p w14:paraId="40D5B46F" w14:textId="45F499B2"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0" w:history="1">
        <w:r w:rsidRPr="00200C19">
          <w:rPr>
            <w:rStyle w:val="Hyperlink"/>
            <w:bCs w:val="0"/>
            <w:noProof/>
            <w:color w:val="auto"/>
          </w:rPr>
          <w:t xml:space="preserve">Tabla 10 </w:t>
        </w:r>
        <w:r w:rsidRPr="00200C19">
          <w:rPr>
            <w:rStyle w:val="Hyperlink"/>
            <w:bCs w:val="0"/>
            <w:i/>
            <w:iCs/>
            <w:noProof/>
            <w:color w:val="auto"/>
          </w:rPr>
          <w:t>Guía metodológica para la gestión ambiental, sostenibilidad y mejora continua en proyectos de data centers</w:t>
        </w:r>
        <w:r w:rsidRPr="00200C19">
          <w:rPr>
            <w:bCs w:val="0"/>
            <w:noProof/>
            <w:webHidden/>
          </w:rPr>
          <w:tab/>
        </w:r>
        <w:r w:rsidRPr="00200C19">
          <w:rPr>
            <w:bCs w:val="0"/>
            <w:noProof/>
            <w:webHidden/>
          </w:rPr>
          <w:fldChar w:fldCharType="begin"/>
        </w:r>
        <w:r w:rsidRPr="00200C19">
          <w:rPr>
            <w:bCs w:val="0"/>
            <w:noProof/>
            <w:webHidden/>
          </w:rPr>
          <w:instrText xml:space="preserve"> PAGEREF _Toc228342090 \h </w:instrText>
        </w:r>
        <w:r w:rsidRPr="00200C19">
          <w:rPr>
            <w:bCs w:val="0"/>
            <w:noProof/>
            <w:webHidden/>
          </w:rPr>
        </w:r>
        <w:r w:rsidRPr="00200C19">
          <w:rPr>
            <w:bCs w:val="0"/>
            <w:noProof/>
            <w:webHidden/>
          </w:rPr>
          <w:fldChar w:fldCharType="separate"/>
        </w:r>
        <w:r w:rsidR="00064AE3" w:rsidRPr="00200C19">
          <w:rPr>
            <w:bCs w:val="0"/>
            <w:noProof/>
            <w:webHidden/>
          </w:rPr>
          <w:t>132</w:t>
        </w:r>
        <w:r w:rsidRPr="00200C19">
          <w:rPr>
            <w:bCs w:val="0"/>
            <w:noProof/>
            <w:webHidden/>
          </w:rPr>
          <w:fldChar w:fldCharType="end"/>
        </w:r>
      </w:hyperlink>
    </w:p>
    <w:p w14:paraId="6177D6CC" w14:textId="01ED782F"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1" w:history="1">
        <w:r w:rsidRPr="00200C19">
          <w:rPr>
            <w:rStyle w:val="Hyperlink"/>
            <w:bCs w:val="0"/>
            <w:noProof/>
            <w:color w:val="auto"/>
          </w:rPr>
          <w:t>Tabla 11</w:t>
        </w:r>
        <w:r w:rsidRPr="00200C19">
          <w:rPr>
            <w:rStyle w:val="Hyperlink"/>
            <w:rFonts w:cs="Arial"/>
            <w:bCs w:val="0"/>
            <w:i/>
            <w:iCs/>
            <w:noProof/>
            <w:color w:val="auto"/>
            <w:lang w:val="es-419"/>
          </w:rPr>
          <w:t>Clasificación adoptada</w:t>
        </w:r>
        <w:r w:rsidRPr="00200C19">
          <w:rPr>
            <w:bCs w:val="0"/>
            <w:noProof/>
            <w:webHidden/>
          </w:rPr>
          <w:tab/>
        </w:r>
        <w:r w:rsidRPr="00200C19">
          <w:rPr>
            <w:bCs w:val="0"/>
            <w:noProof/>
            <w:webHidden/>
          </w:rPr>
          <w:fldChar w:fldCharType="begin"/>
        </w:r>
        <w:r w:rsidRPr="00200C19">
          <w:rPr>
            <w:bCs w:val="0"/>
            <w:noProof/>
            <w:webHidden/>
          </w:rPr>
          <w:instrText xml:space="preserve"> PAGEREF _Toc228342091 \h </w:instrText>
        </w:r>
        <w:r w:rsidRPr="00200C19">
          <w:rPr>
            <w:bCs w:val="0"/>
            <w:noProof/>
            <w:webHidden/>
          </w:rPr>
        </w:r>
        <w:r w:rsidRPr="00200C19">
          <w:rPr>
            <w:bCs w:val="0"/>
            <w:noProof/>
            <w:webHidden/>
          </w:rPr>
          <w:fldChar w:fldCharType="separate"/>
        </w:r>
        <w:r w:rsidR="00064AE3" w:rsidRPr="00200C19">
          <w:rPr>
            <w:bCs w:val="0"/>
            <w:noProof/>
            <w:webHidden/>
          </w:rPr>
          <w:t>138</w:t>
        </w:r>
        <w:r w:rsidRPr="00200C19">
          <w:rPr>
            <w:bCs w:val="0"/>
            <w:noProof/>
            <w:webHidden/>
          </w:rPr>
          <w:fldChar w:fldCharType="end"/>
        </w:r>
      </w:hyperlink>
    </w:p>
    <w:p w14:paraId="4D782D18" w14:textId="3A45AB27"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2" w:history="1">
        <w:r w:rsidRPr="00200C19">
          <w:rPr>
            <w:rStyle w:val="Hyperlink"/>
            <w:bCs w:val="0"/>
            <w:noProof/>
            <w:color w:val="auto"/>
          </w:rPr>
          <w:t xml:space="preserve">Tabla 12 </w:t>
        </w:r>
        <w:r w:rsidRPr="00200C19">
          <w:rPr>
            <w:rStyle w:val="Hyperlink"/>
            <w:bCs w:val="0"/>
            <w:i/>
            <w:iCs/>
            <w:noProof/>
            <w:color w:val="auto"/>
          </w:rPr>
          <w:t>Indicadores clave</w:t>
        </w:r>
        <w:r w:rsidRPr="00200C19">
          <w:rPr>
            <w:bCs w:val="0"/>
            <w:noProof/>
            <w:webHidden/>
          </w:rPr>
          <w:tab/>
        </w:r>
        <w:r w:rsidRPr="00200C19">
          <w:rPr>
            <w:bCs w:val="0"/>
            <w:noProof/>
            <w:webHidden/>
          </w:rPr>
          <w:fldChar w:fldCharType="begin"/>
        </w:r>
        <w:r w:rsidRPr="00200C19">
          <w:rPr>
            <w:bCs w:val="0"/>
            <w:noProof/>
            <w:webHidden/>
          </w:rPr>
          <w:instrText xml:space="preserve"> PAGEREF _Toc228342092 \h </w:instrText>
        </w:r>
        <w:r w:rsidRPr="00200C19">
          <w:rPr>
            <w:bCs w:val="0"/>
            <w:noProof/>
            <w:webHidden/>
          </w:rPr>
        </w:r>
        <w:r w:rsidRPr="00200C19">
          <w:rPr>
            <w:bCs w:val="0"/>
            <w:noProof/>
            <w:webHidden/>
          </w:rPr>
          <w:fldChar w:fldCharType="separate"/>
        </w:r>
        <w:r w:rsidR="00064AE3" w:rsidRPr="00200C19">
          <w:rPr>
            <w:bCs w:val="0"/>
            <w:noProof/>
            <w:webHidden/>
          </w:rPr>
          <w:t>142</w:t>
        </w:r>
        <w:r w:rsidRPr="00200C19">
          <w:rPr>
            <w:bCs w:val="0"/>
            <w:noProof/>
            <w:webHidden/>
          </w:rPr>
          <w:fldChar w:fldCharType="end"/>
        </w:r>
      </w:hyperlink>
    </w:p>
    <w:p w14:paraId="1666DB85" w14:textId="78BAF37C"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3" w:history="1">
        <w:r w:rsidRPr="00200C19">
          <w:rPr>
            <w:rStyle w:val="Hyperlink"/>
            <w:bCs w:val="0"/>
            <w:noProof/>
            <w:color w:val="auto"/>
          </w:rPr>
          <w:t xml:space="preserve">Tabla 13 </w:t>
        </w:r>
        <w:r w:rsidRPr="00200C19">
          <w:rPr>
            <w:rStyle w:val="Hyperlink"/>
            <w:rFonts w:cs="Arial"/>
            <w:bCs w:val="0"/>
            <w:i/>
            <w:iCs/>
            <w:noProof/>
            <w:color w:val="auto"/>
            <w:lang w:val="es-419"/>
          </w:rPr>
          <w:t>Guia para la clasificación en la fase de aplicación</w:t>
        </w:r>
        <w:r w:rsidRPr="00200C19">
          <w:rPr>
            <w:bCs w:val="0"/>
            <w:noProof/>
            <w:webHidden/>
          </w:rPr>
          <w:tab/>
        </w:r>
        <w:r w:rsidRPr="00200C19">
          <w:rPr>
            <w:bCs w:val="0"/>
            <w:noProof/>
            <w:webHidden/>
          </w:rPr>
          <w:fldChar w:fldCharType="begin"/>
        </w:r>
        <w:r w:rsidRPr="00200C19">
          <w:rPr>
            <w:bCs w:val="0"/>
            <w:noProof/>
            <w:webHidden/>
          </w:rPr>
          <w:instrText xml:space="preserve"> PAGEREF _Toc228342093 \h </w:instrText>
        </w:r>
        <w:r w:rsidRPr="00200C19">
          <w:rPr>
            <w:bCs w:val="0"/>
            <w:noProof/>
            <w:webHidden/>
          </w:rPr>
        </w:r>
        <w:r w:rsidRPr="00200C19">
          <w:rPr>
            <w:bCs w:val="0"/>
            <w:noProof/>
            <w:webHidden/>
          </w:rPr>
          <w:fldChar w:fldCharType="separate"/>
        </w:r>
        <w:r w:rsidR="00064AE3" w:rsidRPr="00200C19">
          <w:rPr>
            <w:bCs w:val="0"/>
            <w:noProof/>
            <w:webHidden/>
          </w:rPr>
          <w:t>145</w:t>
        </w:r>
        <w:r w:rsidRPr="00200C19">
          <w:rPr>
            <w:bCs w:val="0"/>
            <w:noProof/>
            <w:webHidden/>
          </w:rPr>
          <w:fldChar w:fldCharType="end"/>
        </w:r>
      </w:hyperlink>
    </w:p>
    <w:p w14:paraId="03004314" w14:textId="4486C1DB"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4" w:history="1">
        <w:r w:rsidRPr="00200C19">
          <w:rPr>
            <w:rStyle w:val="Hyperlink"/>
            <w:bCs w:val="0"/>
            <w:noProof/>
            <w:color w:val="auto"/>
          </w:rPr>
          <w:t>Tabla 14</w:t>
        </w:r>
        <w:r w:rsidRPr="00200C19">
          <w:rPr>
            <w:rStyle w:val="Hyperlink"/>
            <w:rFonts w:cs="Arial"/>
            <w:bCs w:val="0"/>
            <w:i/>
            <w:iCs/>
            <w:noProof/>
            <w:color w:val="auto"/>
            <w:lang w:val="es-419"/>
          </w:rPr>
          <w:t>Roles y responsabilidades</w:t>
        </w:r>
        <w:r w:rsidRPr="00200C19">
          <w:rPr>
            <w:bCs w:val="0"/>
            <w:noProof/>
            <w:webHidden/>
          </w:rPr>
          <w:tab/>
        </w:r>
        <w:r w:rsidRPr="00200C19">
          <w:rPr>
            <w:bCs w:val="0"/>
            <w:noProof/>
            <w:webHidden/>
          </w:rPr>
          <w:fldChar w:fldCharType="begin"/>
        </w:r>
        <w:r w:rsidRPr="00200C19">
          <w:rPr>
            <w:bCs w:val="0"/>
            <w:noProof/>
            <w:webHidden/>
          </w:rPr>
          <w:instrText xml:space="preserve"> PAGEREF _Toc228342094 \h </w:instrText>
        </w:r>
        <w:r w:rsidRPr="00200C19">
          <w:rPr>
            <w:bCs w:val="0"/>
            <w:noProof/>
            <w:webHidden/>
          </w:rPr>
        </w:r>
        <w:r w:rsidRPr="00200C19">
          <w:rPr>
            <w:bCs w:val="0"/>
            <w:noProof/>
            <w:webHidden/>
          </w:rPr>
          <w:fldChar w:fldCharType="separate"/>
        </w:r>
        <w:r w:rsidR="00064AE3" w:rsidRPr="00200C19">
          <w:rPr>
            <w:bCs w:val="0"/>
            <w:noProof/>
            <w:webHidden/>
          </w:rPr>
          <w:t>147</w:t>
        </w:r>
        <w:r w:rsidRPr="00200C19">
          <w:rPr>
            <w:bCs w:val="0"/>
            <w:noProof/>
            <w:webHidden/>
          </w:rPr>
          <w:fldChar w:fldCharType="end"/>
        </w:r>
      </w:hyperlink>
    </w:p>
    <w:p w14:paraId="3C1A0DDD" w14:textId="0CEF50C1"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5" w:history="1">
        <w:r w:rsidRPr="00200C19">
          <w:rPr>
            <w:rStyle w:val="Hyperlink"/>
            <w:bCs w:val="0"/>
            <w:noProof/>
            <w:color w:val="auto"/>
          </w:rPr>
          <w:t xml:space="preserve">Tabla 15 </w:t>
        </w:r>
        <w:r w:rsidRPr="00200C19">
          <w:rPr>
            <w:rStyle w:val="Hyperlink"/>
            <w:rFonts w:cs="Arial"/>
            <w:bCs w:val="0"/>
            <w:i/>
            <w:iCs/>
            <w:noProof/>
            <w:color w:val="auto"/>
            <w:lang w:val="es-419"/>
          </w:rPr>
          <w:t>Procedimiento</w:t>
        </w:r>
        <w:r w:rsidRPr="00200C19">
          <w:rPr>
            <w:bCs w:val="0"/>
            <w:noProof/>
            <w:webHidden/>
          </w:rPr>
          <w:tab/>
        </w:r>
        <w:r w:rsidRPr="00200C19">
          <w:rPr>
            <w:bCs w:val="0"/>
            <w:noProof/>
            <w:webHidden/>
          </w:rPr>
          <w:fldChar w:fldCharType="begin"/>
        </w:r>
        <w:r w:rsidRPr="00200C19">
          <w:rPr>
            <w:bCs w:val="0"/>
            <w:noProof/>
            <w:webHidden/>
          </w:rPr>
          <w:instrText xml:space="preserve"> PAGEREF _Toc228342095 \h </w:instrText>
        </w:r>
        <w:r w:rsidRPr="00200C19">
          <w:rPr>
            <w:bCs w:val="0"/>
            <w:noProof/>
            <w:webHidden/>
          </w:rPr>
        </w:r>
        <w:r w:rsidRPr="00200C19">
          <w:rPr>
            <w:bCs w:val="0"/>
            <w:noProof/>
            <w:webHidden/>
          </w:rPr>
          <w:fldChar w:fldCharType="separate"/>
        </w:r>
        <w:r w:rsidR="00064AE3" w:rsidRPr="00200C19">
          <w:rPr>
            <w:bCs w:val="0"/>
            <w:noProof/>
            <w:webHidden/>
          </w:rPr>
          <w:t>148</w:t>
        </w:r>
        <w:r w:rsidRPr="00200C19">
          <w:rPr>
            <w:bCs w:val="0"/>
            <w:noProof/>
            <w:webHidden/>
          </w:rPr>
          <w:fldChar w:fldCharType="end"/>
        </w:r>
      </w:hyperlink>
    </w:p>
    <w:p w14:paraId="4E92A896" w14:textId="2D256D48"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6" w:history="1">
        <w:r w:rsidRPr="00200C19">
          <w:rPr>
            <w:rStyle w:val="Hyperlink"/>
            <w:bCs w:val="0"/>
            <w:noProof/>
            <w:color w:val="auto"/>
          </w:rPr>
          <w:t xml:space="preserve">Tabla 16 </w:t>
        </w:r>
        <w:r w:rsidRPr="00200C19">
          <w:rPr>
            <w:rStyle w:val="Hyperlink"/>
            <w:rFonts w:cs="Arial"/>
            <w:bCs w:val="0"/>
            <w:i/>
            <w:iCs/>
            <w:noProof/>
            <w:color w:val="auto"/>
            <w:lang w:val="es-419"/>
          </w:rPr>
          <w:t>Indicadores</w:t>
        </w:r>
        <w:r w:rsidRPr="00200C19">
          <w:rPr>
            <w:bCs w:val="0"/>
            <w:noProof/>
            <w:webHidden/>
          </w:rPr>
          <w:tab/>
        </w:r>
        <w:r w:rsidRPr="00200C19">
          <w:rPr>
            <w:bCs w:val="0"/>
            <w:noProof/>
            <w:webHidden/>
          </w:rPr>
          <w:fldChar w:fldCharType="begin"/>
        </w:r>
        <w:r w:rsidRPr="00200C19">
          <w:rPr>
            <w:bCs w:val="0"/>
            <w:noProof/>
            <w:webHidden/>
          </w:rPr>
          <w:instrText xml:space="preserve"> PAGEREF _Toc228342096 \h </w:instrText>
        </w:r>
        <w:r w:rsidRPr="00200C19">
          <w:rPr>
            <w:bCs w:val="0"/>
            <w:noProof/>
            <w:webHidden/>
          </w:rPr>
        </w:r>
        <w:r w:rsidRPr="00200C19">
          <w:rPr>
            <w:bCs w:val="0"/>
            <w:noProof/>
            <w:webHidden/>
          </w:rPr>
          <w:fldChar w:fldCharType="separate"/>
        </w:r>
        <w:r w:rsidR="00064AE3" w:rsidRPr="00200C19">
          <w:rPr>
            <w:bCs w:val="0"/>
            <w:noProof/>
            <w:webHidden/>
          </w:rPr>
          <w:t>150</w:t>
        </w:r>
        <w:r w:rsidRPr="00200C19">
          <w:rPr>
            <w:bCs w:val="0"/>
            <w:noProof/>
            <w:webHidden/>
          </w:rPr>
          <w:fldChar w:fldCharType="end"/>
        </w:r>
      </w:hyperlink>
    </w:p>
    <w:p w14:paraId="6B5A500A" w14:textId="578FA595"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7" w:history="1">
        <w:r w:rsidRPr="00200C19">
          <w:rPr>
            <w:rStyle w:val="Hyperlink"/>
            <w:bCs w:val="0"/>
            <w:noProof/>
            <w:color w:val="auto"/>
            <w:lang w:val="en-US"/>
          </w:rPr>
          <w:t xml:space="preserve">Tabla 17. </w:t>
        </w:r>
        <w:r w:rsidRPr="00200C19">
          <w:rPr>
            <w:rStyle w:val="Hyperlink"/>
            <w:bCs w:val="0"/>
            <w:i/>
            <w:iCs/>
            <w:noProof/>
            <w:color w:val="auto"/>
            <w:lang w:val="en-US"/>
          </w:rPr>
          <w:t>RACI Matrix – Sustainable Electrical Project Management</w:t>
        </w:r>
        <w:r w:rsidRPr="00200C19">
          <w:rPr>
            <w:bCs w:val="0"/>
            <w:noProof/>
            <w:webHidden/>
          </w:rPr>
          <w:tab/>
        </w:r>
        <w:r w:rsidRPr="00200C19">
          <w:rPr>
            <w:bCs w:val="0"/>
            <w:noProof/>
            <w:webHidden/>
          </w:rPr>
          <w:fldChar w:fldCharType="begin"/>
        </w:r>
        <w:r w:rsidRPr="00200C19">
          <w:rPr>
            <w:bCs w:val="0"/>
            <w:noProof/>
            <w:webHidden/>
          </w:rPr>
          <w:instrText xml:space="preserve"> PAGEREF _Toc228342097 \h </w:instrText>
        </w:r>
        <w:r w:rsidRPr="00200C19">
          <w:rPr>
            <w:bCs w:val="0"/>
            <w:noProof/>
            <w:webHidden/>
          </w:rPr>
        </w:r>
        <w:r w:rsidRPr="00200C19">
          <w:rPr>
            <w:bCs w:val="0"/>
            <w:noProof/>
            <w:webHidden/>
          </w:rPr>
          <w:fldChar w:fldCharType="separate"/>
        </w:r>
        <w:r w:rsidR="00064AE3" w:rsidRPr="00200C19">
          <w:rPr>
            <w:bCs w:val="0"/>
            <w:noProof/>
            <w:webHidden/>
          </w:rPr>
          <w:t>155</w:t>
        </w:r>
        <w:r w:rsidRPr="00200C19">
          <w:rPr>
            <w:bCs w:val="0"/>
            <w:noProof/>
            <w:webHidden/>
          </w:rPr>
          <w:fldChar w:fldCharType="end"/>
        </w:r>
      </w:hyperlink>
    </w:p>
    <w:p w14:paraId="02BD8FC4" w14:textId="16C54754"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8" w:history="1">
        <w:r w:rsidRPr="00200C19">
          <w:rPr>
            <w:rStyle w:val="Hyperlink"/>
            <w:bCs w:val="0"/>
            <w:noProof/>
            <w:color w:val="auto"/>
          </w:rPr>
          <w:t xml:space="preserve">Tabla 18  </w:t>
        </w:r>
        <w:r w:rsidRPr="00200C19">
          <w:rPr>
            <w:rStyle w:val="Hyperlink"/>
            <w:bCs w:val="0"/>
            <w:i/>
            <w:iCs/>
            <w:noProof/>
            <w:color w:val="auto"/>
          </w:rPr>
          <w:t>Indicadores propuestos</w:t>
        </w:r>
        <w:r w:rsidRPr="00200C19">
          <w:rPr>
            <w:bCs w:val="0"/>
            <w:noProof/>
            <w:webHidden/>
          </w:rPr>
          <w:tab/>
        </w:r>
        <w:r w:rsidRPr="00200C19">
          <w:rPr>
            <w:bCs w:val="0"/>
            <w:noProof/>
            <w:webHidden/>
          </w:rPr>
          <w:fldChar w:fldCharType="begin"/>
        </w:r>
        <w:r w:rsidRPr="00200C19">
          <w:rPr>
            <w:bCs w:val="0"/>
            <w:noProof/>
            <w:webHidden/>
          </w:rPr>
          <w:instrText xml:space="preserve"> PAGEREF _Toc228342098 \h </w:instrText>
        </w:r>
        <w:r w:rsidRPr="00200C19">
          <w:rPr>
            <w:bCs w:val="0"/>
            <w:noProof/>
            <w:webHidden/>
          </w:rPr>
        </w:r>
        <w:r w:rsidRPr="00200C19">
          <w:rPr>
            <w:bCs w:val="0"/>
            <w:noProof/>
            <w:webHidden/>
          </w:rPr>
          <w:fldChar w:fldCharType="separate"/>
        </w:r>
        <w:r w:rsidR="00064AE3" w:rsidRPr="00200C19">
          <w:rPr>
            <w:bCs w:val="0"/>
            <w:noProof/>
            <w:webHidden/>
          </w:rPr>
          <w:t>159</w:t>
        </w:r>
        <w:r w:rsidRPr="00200C19">
          <w:rPr>
            <w:bCs w:val="0"/>
            <w:noProof/>
            <w:webHidden/>
          </w:rPr>
          <w:fldChar w:fldCharType="end"/>
        </w:r>
      </w:hyperlink>
    </w:p>
    <w:p w14:paraId="3D40F6B2" w14:textId="37061DBA"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099" w:history="1">
        <w:r w:rsidRPr="00200C19">
          <w:rPr>
            <w:rStyle w:val="Hyperlink"/>
            <w:bCs w:val="0"/>
            <w:noProof/>
            <w:color w:val="auto"/>
          </w:rPr>
          <w:t xml:space="preserve">Tabla 19  </w:t>
        </w:r>
        <w:r w:rsidRPr="00200C19">
          <w:rPr>
            <w:rStyle w:val="Hyperlink"/>
            <w:bCs w:val="0"/>
            <w:i/>
            <w:iCs/>
            <w:noProof/>
            <w:color w:val="auto"/>
          </w:rPr>
          <w:t>Niveles de desempeño ambiental</w:t>
        </w:r>
        <w:r w:rsidRPr="00200C19">
          <w:rPr>
            <w:bCs w:val="0"/>
            <w:noProof/>
            <w:webHidden/>
          </w:rPr>
          <w:tab/>
        </w:r>
        <w:r w:rsidRPr="00200C19">
          <w:rPr>
            <w:bCs w:val="0"/>
            <w:noProof/>
            <w:webHidden/>
          </w:rPr>
          <w:fldChar w:fldCharType="begin"/>
        </w:r>
        <w:r w:rsidRPr="00200C19">
          <w:rPr>
            <w:bCs w:val="0"/>
            <w:noProof/>
            <w:webHidden/>
          </w:rPr>
          <w:instrText xml:space="preserve"> PAGEREF _Toc228342099 \h </w:instrText>
        </w:r>
        <w:r w:rsidRPr="00200C19">
          <w:rPr>
            <w:bCs w:val="0"/>
            <w:noProof/>
            <w:webHidden/>
          </w:rPr>
        </w:r>
        <w:r w:rsidRPr="00200C19">
          <w:rPr>
            <w:bCs w:val="0"/>
            <w:noProof/>
            <w:webHidden/>
          </w:rPr>
          <w:fldChar w:fldCharType="separate"/>
        </w:r>
        <w:r w:rsidR="00064AE3" w:rsidRPr="00200C19">
          <w:rPr>
            <w:bCs w:val="0"/>
            <w:noProof/>
            <w:webHidden/>
          </w:rPr>
          <w:t>161</w:t>
        </w:r>
        <w:r w:rsidRPr="00200C19">
          <w:rPr>
            <w:bCs w:val="0"/>
            <w:noProof/>
            <w:webHidden/>
          </w:rPr>
          <w:fldChar w:fldCharType="end"/>
        </w:r>
      </w:hyperlink>
    </w:p>
    <w:p w14:paraId="0044CFC1" w14:textId="5C29839F" w:rsidR="00BE0964" w:rsidRPr="00200C19" w:rsidRDefault="00BE0964">
      <w:pPr>
        <w:pStyle w:val="TableofFigures"/>
        <w:rPr>
          <w:rFonts w:asciiTheme="minorHAnsi" w:eastAsiaTheme="minorEastAsia" w:hAnsiTheme="minorHAnsi" w:cstheme="minorBidi"/>
          <w:bCs w:val="0"/>
          <w:noProof/>
          <w:kern w:val="2"/>
          <w:sz w:val="24"/>
          <w:lang w:val="en-US" w:eastAsia="en-US"/>
          <w14:ligatures w14:val="standardContextual"/>
        </w:rPr>
      </w:pPr>
      <w:hyperlink w:anchor="_Toc228342100" w:history="1">
        <w:r w:rsidRPr="00200C19">
          <w:rPr>
            <w:rStyle w:val="Hyperlink"/>
            <w:bCs w:val="0"/>
            <w:noProof/>
            <w:color w:val="auto"/>
          </w:rPr>
          <w:t xml:space="preserve">Tabla 20  </w:t>
        </w:r>
        <w:r w:rsidRPr="00200C19">
          <w:rPr>
            <w:rStyle w:val="Hyperlink"/>
            <w:bCs w:val="0"/>
            <w:i/>
            <w:iCs/>
            <w:noProof/>
            <w:color w:val="auto"/>
          </w:rPr>
          <w:t>Fases de la guía metodológica</w:t>
        </w:r>
        <w:r w:rsidRPr="00200C19">
          <w:rPr>
            <w:bCs w:val="0"/>
            <w:noProof/>
            <w:webHidden/>
          </w:rPr>
          <w:tab/>
        </w:r>
        <w:r w:rsidRPr="00200C19">
          <w:rPr>
            <w:bCs w:val="0"/>
            <w:noProof/>
            <w:webHidden/>
          </w:rPr>
          <w:fldChar w:fldCharType="begin"/>
        </w:r>
        <w:r w:rsidRPr="00200C19">
          <w:rPr>
            <w:bCs w:val="0"/>
            <w:noProof/>
            <w:webHidden/>
          </w:rPr>
          <w:instrText xml:space="preserve"> PAGEREF _Toc228342100 \h </w:instrText>
        </w:r>
        <w:r w:rsidRPr="00200C19">
          <w:rPr>
            <w:bCs w:val="0"/>
            <w:noProof/>
            <w:webHidden/>
          </w:rPr>
        </w:r>
        <w:r w:rsidRPr="00200C19">
          <w:rPr>
            <w:bCs w:val="0"/>
            <w:noProof/>
            <w:webHidden/>
          </w:rPr>
          <w:fldChar w:fldCharType="separate"/>
        </w:r>
        <w:r w:rsidR="00064AE3" w:rsidRPr="00200C19">
          <w:rPr>
            <w:bCs w:val="0"/>
            <w:noProof/>
            <w:webHidden/>
          </w:rPr>
          <w:t>172</w:t>
        </w:r>
        <w:r w:rsidRPr="00200C19">
          <w:rPr>
            <w:bCs w:val="0"/>
            <w:noProof/>
            <w:webHidden/>
          </w:rPr>
          <w:fldChar w:fldCharType="end"/>
        </w:r>
      </w:hyperlink>
    </w:p>
    <w:p w14:paraId="6DACE26F" w14:textId="77777777" w:rsidR="00264EEB" w:rsidRPr="00BE0964" w:rsidRDefault="00264EEB" w:rsidP="00A046AF">
      <w:r w:rsidRPr="00BE0964">
        <w:fldChar w:fldCharType="end"/>
      </w:r>
    </w:p>
    <w:p w14:paraId="1C779D5C" w14:textId="77777777" w:rsidR="00264EEB" w:rsidRPr="00734D3B" w:rsidRDefault="00264EEB" w:rsidP="00AC4635">
      <w:pPr>
        <w:pStyle w:val="Heading1"/>
        <w:numPr>
          <w:ilvl w:val="0"/>
          <w:numId w:val="0"/>
        </w:numPr>
        <w:ind w:left="360" w:hanging="360"/>
      </w:pPr>
      <w:r w:rsidRPr="00734D3B">
        <w:br w:type="column"/>
      </w:r>
      <w:bookmarkStart w:id="46" w:name="_Toc207702850"/>
      <w:bookmarkStart w:id="47" w:name="_Toc211465598"/>
      <w:bookmarkStart w:id="48" w:name="_Toc227936371"/>
      <w:r w:rsidRPr="00734D3B">
        <w:lastRenderedPageBreak/>
        <w:t>ÍNDICE DE ACRÓNIMOS Y ABREVIACIONES</w:t>
      </w:r>
      <w:bookmarkEnd w:id="46"/>
      <w:bookmarkEnd w:id="47"/>
      <w:bookmarkEnd w:id="48"/>
    </w:p>
    <w:p w14:paraId="453DE09D" w14:textId="77777777" w:rsidR="00264EEB" w:rsidRPr="00734D3B" w:rsidRDefault="00264EEB" w:rsidP="00D7259E">
      <w:pPr>
        <w:spacing w:line="360" w:lineRule="auto"/>
        <w:rPr>
          <w:rFonts w:cs="Arial"/>
          <w:szCs w:val="22"/>
        </w:rPr>
      </w:pPr>
    </w:p>
    <w:p w14:paraId="0EEF1077" w14:textId="3484AB08" w:rsidR="007356E5" w:rsidRPr="00734D3B" w:rsidRDefault="007356E5" w:rsidP="007356E5">
      <w:pPr>
        <w:spacing w:line="360" w:lineRule="auto"/>
        <w:ind w:firstLine="0"/>
        <w:rPr>
          <w:rFonts w:cs="Arial"/>
          <w:bCs/>
          <w:szCs w:val="22"/>
        </w:rPr>
      </w:pPr>
      <w:r w:rsidRPr="00734D3B">
        <w:rPr>
          <w:rFonts w:cs="Arial"/>
          <w:bCs/>
          <w:szCs w:val="22"/>
        </w:rPr>
        <w:t xml:space="preserve">ABC </w:t>
      </w:r>
      <w:r w:rsidR="001F12D4" w:rsidRPr="00734D3B">
        <w:rPr>
          <w:rFonts w:cs="Arial"/>
          <w:bCs/>
          <w:szCs w:val="22"/>
        </w:rPr>
        <w:t>-</w:t>
      </w:r>
      <w:r w:rsidRPr="00734D3B">
        <w:rPr>
          <w:rFonts w:cs="Arial"/>
          <w:bCs/>
          <w:szCs w:val="22"/>
        </w:rPr>
        <w:t xml:space="preserve"> </w:t>
      </w:r>
      <w:proofErr w:type="spellStart"/>
      <w:r w:rsidRPr="00734D3B">
        <w:rPr>
          <w:rFonts w:cs="Arial"/>
          <w:bCs/>
          <w:szCs w:val="22"/>
        </w:rPr>
        <w:t>Associated</w:t>
      </w:r>
      <w:proofErr w:type="spellEnd"/>
      <w:r w:rsidRPr="00734D3B">
        <w:rPr>
          <w:rFonts w:cs="Arial"/>
          <w:bCs/>
          <w:szCs w:val="22"/>
        </w:rPr>
        <w:t xml:space="preserve"> </w:t>
      </w:r>
      <w:proofErr w:type="spellStart"/>
      <w:r w:rsidRPr="00734D3B">
        <w:rPr>
          <w:rFonts w:cs="Arial"/>
          <w:bCs/>
          <w:szCs w:val="22"/>
        </w:rPr>
        <w:t>Builders</w:t>
      </w:r>
      <w:proofErr w:type="spellEnd"/>
      <w:r w:rsidRPr="00734D3B">
        <w:rPr>
          <w:rFonts w:cs="Arial"/>
          <w:bCs/>
          <w:szCs w:val="22"/>
        </w:rPr>
        <w:t xml:space="preserve"> and </w:t>
      </w:r>
      <w:proofErr w:type="spellStart"/>
      <w:r w:rsidRPr="00734D3B">
        <w:rPr>
          <w:rFonts w:cs="Arial"/>
          <w:bCs/>
          <w:szCs w:val="22"/>
        </w:rPr>
        <w:t>Contractors</w:t>
      </w:r>
      <w:proofErr w:type="spellEnd"/>
      <w:r w:rsidRPr="00734D3B">
        <w:rPr>
          <w:rFonts w:cs="Arial"/>
          <w:bCs/>
          <w:szCs w:val="22"/>
        </w:rPr>
        <w:t xml:space="preserve"> (Asociación de Constructores y Contratistas)</w:t>
      </w:r>
    </w:p>
    <w:p w14:paraId="045767C5" w14:textId="454C97D0" w:rsidR="007356E5" w:rsidRPr="00734D3B" w:rsidRDefault="007356E5" w:rsidP="007356E5">
      <w:pPr>
        <w:spacing w:line="360" w:lineRule="auto"/>
        <w:ind w:firstLine="0"/>
        <w:rPr>
          <w:rFonts w:cs="Arial"/>
          <w:bCs/>
          <w:szCs w:val="22"/>
        </w:rPr>
      </w:pPr>
      <w:r w:rsidRPr="00734D3B">
        <w:rPr>
          <w:rFonts w:cs="Arial"/>
          <w:bCs/>
          <w:szCs w:val="22"/>
        </w:rPr>
        <w:t xml:space="preserve">ADEQ </w:t>
      </w:r>
      <w:r w:rsidR="00A50540" w:rsidRPr="00734D3B">
        <w:rPr>
          <w:rFonts w:cs="Arial"/>
          <w:bCs/>
          <w:szCs w:val="22"/>
        </w:rPr>
        <w:t>-</w:t>
      </w:r>
      <w:r w:rsidRPr="00734D3B">
        <w:rPr>
          <w:rFonts w:cs="Arial"/>
          <w:bCs/>
          <w:szCs w:val="22"/>
        </w:rPr>
        <w:t xml:space="preserve"> Arizona </w:t>
      </w:r>
      <w:proofErr w:type="spellStart"/>
      <w:r w:rsidRPr="00734D3B">
        <w:rPr>
          <w:rFonts w:cs="Arial"/>
          <w:bCs/>
          <w:szCs w:val="22"/>
        </w:rPr>
        <w:t>Department</w:t>
      </w:r>
      <w:proofErr w:type="spellEnd"/>
      <w:r w:rsidRPr="00734D3B">
        <w:rPr>
          <w:rFonts w:cs="Arial"/>
          <w:bCs/>
          <w:szCs w:val="22"/>
        </w:rPr>
        <w:t xml:space="preserve"> </w:t>
      </w:r>
      <w:proofErr w:type="spellStart"/>
      <w:r w:rsidRPr="00734D3B">
        <w:rPr>
          <w:rFonts w:cs="Arial"/>
          <w:bCs/>
          <w:szCs w:val="22"/>
        </w:rPr>
        <w:t>of</w:t>
      </w:r>
      <w:proofErr w:type="spellEnd"/>
      <w:r w:rsidRPr="00734D3B">
        <w:rPr>
          <w:rFonts w:cs="Arial"/>
          <w:bCs/>
          <w:szCs w:val="22"/>
        </w:rPr>
        <w:t xml:space="preserve"> </w:t>
      </w:r>
      <w:proofErr w:type="spellStart"/>
      <w:r w:rsidRPr="00734D3B">
        <w:rPr>
          <w:rFonts w:cs="Arial"/>
          <w:bCs/>
          <w:szCs w:val="22"/>
        </w:rPr>
        <w:t>Environmental</w:t>
      </w:r>
      <w:proofErr w:type="spellEnd"/>
      <w:r w:rsidRPr="00734D3B">
        <w:rPr>
          <w:rFonts w:cs="Arial"/>
          <w:bCs/>
          <w:szCs w:val="22"/>
        </w:rPr>
        <w:t xml:space="preserve"> Quality (Departamento de Calidad Ambiental de Arizona)</w:t>
      </w:r>
    </w:p>
    <w:p w14:paraId="2834AF6F" w14:textId="229208C7" w:rsidR="007356E5" w:rsidRPr="00734D3B" w:rsidRDefault="007356E5" w:rsidP="007356E5">
      <w:pPr>
        <w:spacing w:line="360" w:lineRule="auto"/>
        <w:ind w:firstLine="0"/>
        <w:rPr>
          <w:rFonts w:cs="Arial"/>
          <w:bCs/>
          <w:szCs w:val="22"/>
          <w:lang w:val="en-US"/>
        </w:rPr>
      </w:pPr>
      <w:r w:rsidRPr="00734D3B">
        <w:rPr>
          <w:rFonts w:cs="Arial"/>
          <w:bCs/>
          <w:szCs w:val="22"/>
          <w:lang w:val="en-US"/>
        </w:rPr>
        <w:t xml:space="preserve">AHJ </w:t>
      </w:r>
      <w:r w:rsidR="00A50540" w:rsidRPr="00734D3B">
        <w:rPr>
          <w:rFonts w:cs="Arial"/>
          <w:bCs/>
          <w:szCs w:val="22"/>
          <w:lang w:val="en-US"/>
        </w:rPr>
        <w:t>-</w:t>
      </w:r>
      <w:r w:rsidRPr="00734D3B">
        <w:rPr>
          <w:rFonts w:cs="Arial"/>
          <w:bCs/>
          <w:szCs w:val="22"/>
          <w:lang w:val="en-US"/>
        </w:rPr>
        <w:t xml:space="preserve"> Authority Having Jurisdiction (</w:t>
      </w:r>
      <w:proofErr w:type="spellStart"/>
      <w:r w:rsidRPr="00734D3B">
        <w:rPr>
          <w:rFonts w:cs="Arial"/>
          <w:bCs/>
          <w:szCs w:val="22"/>
          <w:lang w:val="en-US"/>
        </w:rPr>
        <w:t>Autoridad</w:t>
      </w:r>
      <w:proofErr w:type="spellEnd"/>
      <w:r w:rsidRPr="00734D3B">
        <w:rPr>
          <w:rFonts w:cs="Arial"/>
          <w:bCs/>
          <w:szCs w:val="22"/>
          <w:lang w:val="en-US"/>
        </w:rPr>
        <w:t xml:space="preserve"> </w:t>
      </w:r>
      <w:proofErr w:type="spellStart"/>
      <w:r w:rsidRPr="00734D3B">
        <w:rPr>
          <w:rFonts w:cs="Arial"/>
          <w:bCs/>
          <w:szCs w:val="22"/>
          <w:lang w:val="en-US"/>
        </w:rPr>
        <w:t>Competente</w:t>
      </w:r>
      <w:proofErr w:type="spellEnd"/>
      <w:r w:rsidRPr="00734D3B">
        <w:rPr>
          <w:rFonts w:cs="Arial"/>
          <w:bCs/>
          <w:szCs w:val="22"/>
          <w:lang w:val="en-US"/>
        </w:rPr>
        <w:t>)</w:t>
      </w:r>
    </w:p>
    <w:p w14:paraId="083AF804" w14:textId="3A79FBBC" w:rsidR="007356E5" w:rsidRPr="00734D3B" w:rsidRDefault="007356E5" w:rsidP="007356E5">
      <w:pPr>
        <w:spacing w:line="360" w:lineRule="auto"/>
        <w:ind w:firstLine="0"/>
        <w:rPr>
          <w:rFonts w:cs="Arial"/>
          <w:bCs/>
          <w:szCs w:val="22"/>
        </w:rPr>
      </w:pPr>
      <w:r w:rsidRPr="00734D3B">
        <w:rPr>
          <w:rFonts w:cs="Arial"/>
          <w:bCs/>
          <w:szCs w:val="22"/>
        </w:rPr>
        <w:t xml:space="preserve">BIM </w:t>
      </w:r>
      <w:r w:rsidR="00A50540" w:rsidRPr="00734D3B">
        <w:rPr>
          <w:rFonts w:cs="Arial"/>
          <w:bCs/>
          <w:szCs w:val="22"/>
        </w:rPr>
        <w:t>-</w:t>
      </w:r>
      <w:r w:rsidRPr="00734D3B">
        <w:rPr>
          <w:rFonts w:cs="Arial"/>
          <w:bCs/>
          <w:szCs w:val="22"/>
        </w:rPr>
        <w:t xml:space="preserve"> Building </w:t>
      </w:r>
      <w:proofErr w:type="spellStart"/>
      <w:r w:rsidRPr="00734D3B">
        <w:rPr>
          <w:rFonts w:cs="Arial"/>
          <w:bCs/>
          <w:szCs w:val="22"/>
        </w:rPr>
        <w:t>Information</w:t>
      </w:r>
      <w:proofErr w:type="spellEnd"/>
      <w:r w:rsidRPr="00734D3B">
        <w:rPr>
          <w:rFonts w:cs="Arial"/>
          <w:bCs/>
          <w:szCs w:val="22"/>
        </w:rPr>
        <w:t xml:space="preserve"> </w:t>
      </w:r>
      <w:proofErr w:type="spellStart"/>
      <w:r w:rsidRPr="00734D3B">
        <w:rPr>
          <w:rFonts w:cs="Arial"/>
          <w:bCs/>
          <w:szCs w:val="22"/>
        </w:rPr>
        <w:t>Modeling</w:t>
      </w:r>
      <w:proofErr w:type="spellEnd"/>
      <w:r w:rsidRPr="00734D3B">
        <w:rPr>
          <w:rFonts w:cs="Arial"/>
          <w:bCs/>
          <w:szCs w:val="22"/>
        </w:rPr>
        <w:t xml:space="preserve"> (Modelado de Información de Construcción)</w:t>
      </w:r>
    </w:p>
    <w:p w14:paraId="594957E4" w14:textId="495A7AC5" w:rsidR="007356E5" w:rsidRPr="00734D3B" w:rsidRDefault="007356E5" w:rsidP="007356E5">
      <w:pPr>
        <w:spacing w:line="360" w:lineRule="auto"/>
        <w:ind w:firstLine="0"/>
        <w:rPr>
          <w:rFonts w:cs="Arial"/>
          <w:bCs/>
          <w:szCs w:val="22"/>
        </w:rPr>
      </w:pPr>
      <w:r w:rsidRPr="00734D3B">
        <w:rPr>
          <w:rFonts w:cs="Arial"/>
          <w:bCs/>
          <w:szCs w:val="22"/>
        </w:rPr>
        <w:t xml:space="preserve">BMS </w:t>
      </w:r>
      <w:r w:rsidR="00A50540" w:rsidRPr="00734D3B">
        <w:rPr>
          <w:rFonts w:cs="Arial"/>
          <w:bCs/>
          <w:szCs w:val="22"/>
        </w:rPr>
        <w:t>-</w:t>
      </w:r>
      <w:r w:rsidRPr="00734D3B">
        <w:rPr>
          <w:rFonts w:cs="Arial"/>
          <w:bCs/>
          <w:szCs w:val="22"/>
        </w:rPr>
        <w:t xml:space="preserve"> Building Management </w:t>
      </w:r>
      <w:proofErr w:type="spellStart"/>
      <w:r w:rsidRPr="00734D3B">
        <w:rPr>
          <w:rFonts w:cs="Arial"/>
          <w:bCs/>
          <w:szCs w:val="22"/>
        </w:rPr>
        <w:t>System</w:t>
      </w:r>
      <w:proofErr w:type="spellEnd"/>
      <w:r w:rsidRPr="00734D3B">
        <w:rPr>
          <w:rFonts w:cs="Arial"/>
          <w:bCs/>
          <w:szCs w:val="22"/>
        </w:rPr>
        <w:t xml:space="preserve"> (Sistema de Gestión del Edificio)</w:t>
      </w:r>
    </w:p>
    <w:p w14:paraId="6DBDA6A2" w14:textId="2FD31C24" w:rsidR="007356E5" w:rsidRPr="00734D3B" w:rsidRDefault="007356E5" w:rsidP="007356E5">
      <w:pPr>
        <w:spacing w:line="360" w:lineRule="auto"/>
        <w:ind w:firstLine="0"/>
        <w:rPr>
          <w:rFonts w:cs="Arial"/>
          <w:bCs/>
          <w:szCs w:val="22"/>
        </w:rPr>
      </w:pPr>
      <w:proofErr w:type="spellStart"/>
      <w:r w:rsidRPr="00734D3B">
        <w:rPr>
          <w:rFonts w:cs="Arial"/>
          <w:bCs/>
          <w:szCs w:val="22"/>
        </w:rPr>
        <w:t>CALGreen</w:t>
      </w:r>
      <w:proofErr w:type="spellEnd"/>
      <w:r w:rsidRPr="00734D3B">
        <w:rPr>
          <w:rFonts w:cs="Arial"/>
          <w:bCs/>
          <w:szCs w:val="22"/>
        </w:rPr>
        <w:t xml:space="preserve"> </w:t>
      </w:r>
      <w:r w:rsidR="00A50540" w:rsidRPr="00734D3B">
        <w:rPr>
          <w:rFonts w:cs="Arial"/>
          <w:bCs/>
          <w:szCs w:val="22"/>
        </w:rPr>
        <w:t>-</w:t>
      </w:r>
      <w:r w:rsidRPr="00734D3B">
        <w:rPr>
          <w:rFonts w:cs="Arial"/>
          <w:bCs/>
          <w:szCs w:val="22"/>
        </w:rPr>
        <w:t xml:space="preserve"> California Green Building </w:t>
      </w:r>
      <w:proofErr w:type="spellStart"/>
      <w:r w:rsidRPr="00734D3B">
        <w:rPr>
          <w:rFonts w:cs="Arial"/>
          <w:bCs/>
          <w:szCs w:val="22"/>
        </w:rPr>
        <w:t>Standards</w:t>
      </w:r>
      <w:proofErr w:type="spellEnd"/>
      <w:r w:rsidRPr="00734D3B">
        <w:rPr>
          <w:rFonts w:cs="Arial"/>
          <w:bCs/>
          <w:szCs w:val="22"/>
        </w:rPr>
        <w:t xml:space="preserve"> Code (Código de Normas Verdes de Construcción de California)</w:t>
      </w:r>
    </w:p>
    <w:p w14:paraId="1FAE88C5" w14:textId="7140D8C0" w:rsidR="007356E5" w:rsidRPr="00734D3B" w:rsidRDefault="007356E5" w:rsidP="007356E5">
      <w:pPr>
        <w:spacing w:line="360" w:lineRule="auto"/>
        <w:ind w:firstLine="0"/>
        <w:rPr>
          <w:rFonts w:cs="Arial"/>
          <w:bCs/>
          <w:szCs w:val="22"/>
        </w:rPr>
      </w:pPr>
      <w:proofErr w:type="spellStart"/>
      <w:r w:rsidRPr="00734D3B">
        <w:rPr>
          <w:rFonts w:cs="Arial"/>
          <w:bCs/>
          <w:szCs w:val="22"/>
        </w:rPr>
        <w:t>Cx</w:t>
      </w:r>
      <w:proofErr w:type="spellEnd"/>
      <w:r w:rsidRPr="00734D3B">
        <w:rPr>
          <w:rFonts w:cs="Arial"/>
          <w:bCs/>
          <w:szCs w:val="22"/>
        </w:rPr>
        <w:t xml:space="preserve"> </w:t>
      </w:r>
      <w:r w:rsidR="00A50540" w:rsidRPr="00734D3B">
        <w:rPr>
          <w:rFonts w:cs="Arial"/>
          <w:bCs/>
          <w:szCs w:val="22"/>
        </w:rPr>
        <w:t>-</w:t>
      </w:r>
      <w:r w:rsidRPr="00734D3B">
        <w:rPr>
          <w:rFonts w:cs="Arial"/>
          <w:bCs/>
          <w:szCs w:val="22"/>
        </w:rPr>
        <w:t xml:space="preserve"> </w:t>
      </w:r>
      <w:proofErr w:type="spellStart"/>
      <w:r w:rsidRPr="00734D3B">
        <w:rPr>
          <w:rFonts w:cs="Arial"/>
          <w:bCs/>
          <w:szCs w:val="22"/>
        </w:rPr>
        <w:t>Commissioning</w:t>
      </w:r>
      <w:proofErr w:type="spellEnd"/>
      <w:r w:rsidRPr="00734D3B">
        <w:rPr>
          <w:rFonts w:cs="Arial"/>
          <w:bCs/>
          <w:szCs w:val="22"/>
        </w:rPr>
        <w:t xml:space="preserve"> (Puesta en Marcha)</w:t>
      </w:r>
    </w:p>
    <w:p w14:paraId="05C1A10C" w14:textId="1C65B4C6" w:rsidR="007356E5" w:rsidRPr="00734D3B" w:rsidRDefault="007356E5" w:rsidP="007356E5">
      <w:pPr>
        <w:spacing w:line="360" w:lineRule="auto"/>
        <w:ind w:firstLine="0"/>
        <w:rPr>
          <w:rFonts w:cs="Arial"/>
          <w:bCs/>
          <w:szCs w:val="22"/>
        </w:rPr>
      </w:pPr>
      <w:r w:rsidRPr="00734D3B">
        <w:rPr>
          <w:rFonts w:cs="Arial"/>
          <w:bCs/>
          <w:szCs w:val="22"/>
        </w:rPr>
        <w:t xml:space="preserve">DC </w:t>
      </w:r>
      <w:r w:rsidR="00A50540" w:rsidRPr="00734D3B">
        <w:rPr>
          <w:rFonts w:cs="Arial"/>
          <w:bCs/>
          <w:szCs w:val="22"/>
        </w:rPr>
        <w:t>-</w:t>
      </w:r>
      <w:r w:rsidRPr="00734D3B">
        <w:rPr>
          <w:rFonts w:cs="Arial"/>
          <w:bCs/>
          <w:szCs w:val="22"/>
        </w:rPr>
        <w:t xml:space="preserve"> Data Center (Centro de Datos)</w:t>
      </w:r>
    </w:p>
    <w:p w14:paraId="704BF4AA" w14:textId="747B3A5E" w:rsidR="007356E5" w:rsidRPr="00734D3B" w:rsidRDefault="007356E5" w:rsidP="007356E5">
      <w:pPr>
        <w:spacing w:line="360" w:lineRule="auto"/>
        <w:ind w:firstLine="0"/>
        <w:rPr>
          <w:rFonts w:cs="Arial"/>
          <w:bCs/>
          <w:szCs w:val="22"/>
        </w:rPr>
      </w:pPr>
      <w:r w:rsidRPr="00734D3B">
        <w:rPr>
          <w:rFonts w:cs="Arial"/>
          <w:bCs/>
          <w:szCs w:val="22"/>
        </w:rPr>
        <w:t xml:space="preserve">EPA </w:t>
      </w:r>
      <w:r w:rsidR="00A50540" w:rsidRPr="00734D3B">
        <w:rPr>
          <w:rFonts w:cs="Arial"/>
          <w:bCs/>
          <w:szCs w:val="22"/>
        </w:rPr>
        <w:t>-</w:t>
      </w:r>
      <w:r w:rsidRPr="00734D3B">
        <w:rPr>
          <w:rFonts w:cs="Arial"/>
          <w:bCs/>
          <w:szCs w:val="22"/>
        </w:rPr>
        <w:t xml:space="preserve"> </w:t>
      </w:r>
      <w:proofErr w:type="spellStart"/>
      <w:r w:rsidRPr="00734D3B">
        <w:rPr>
          <w:rFonts w:cs="Arial"/>
          <w:bCs/>
          <w:szCs w:val="22"/>
        </w:rPr>
        <w:t>Environmental</w:t>
      </w:r>
      <w:proofErr w:type="spellEnd"/>
      <w:r w:rsidRPr="00734D3B">
        <w:rPr>
          <w:rFonts w:cs="Arial"/>
          <w:bCs/>
          <w:szCs w:val="22"/>
        </w:rPr>
        <w:t xml:space="preserve"> </w:t>
      </w:r>
      <w:proofErr w:type="spellStart"/>
      <w:r w:rsidRPr="00734D3B">
        <w:rPr>
          <w:rFonts w:cs="Arial"/>
          <w:bCs/>
          <w:szCs w:val="22"/>
        </w:rPr>
        <w:t>Protection</w:t>
      </w:r>
      <w:proofErr w:type="spellEnd"/>
      <w:r w:rsidRPr="00734D3B">
        <w:rPr>
          <w:rFonts w:cs="Arial"/>
          <w:bCs/>
          <w:szCs w:val="22"/>
        </w:rPr>
        <w:t xml:space="preserve"> Agency (Agencia de Protección Ambiental de los Estados Unidos)</w:t>
      </w:r>
    </w:p>
    <w:p w14:paraId="2CF61D83" w14:textId="2DE1B534" w:rsidR="007356E5" w:rsidRPr="00734D3B" w:rsidRDefault="007356E5" w:rsidP="007356E5">
      <w:pPr>
        <w:spacing w:line="360" w:lineRule="auto"/>
        <w:ind w:firstLine="0"/>
        <w:rPr>
          <w:rFonts w:cs="Arial"/>
          <w:bCs/>
          <w:szCs w:val="22"/>
        </w:rPr>
      </w:pPr>
      <w:r w:rsidRPr="00734D3B">
        <w:rPr>
          <w:rFonts w:cs="Arial"/>
          <w:bCs/>
          <w:szCs w:val="22"/>
        </w:rPr>
        <w:t xml:space="preserve">GC </w:t>
      </w:r>
      <w:r w:rsidR="00A50540" w:rsidRPr="00734D3B">
        <w:rPr>
          <w:rFonts w:cs="Arial"/>
          <w:bCs/>
          <w:szCs w:val="22"/>
        </w:rPr>
        <w:t>-</w:t>
      </w:r>
      <w:r w:rsidRPr="00734D3B">
        <w:rPr>
          <w:rFonts w:cs="Arial"/>
          <w:bCs/>
          <w:szCs w:val="22"/>
        </w:rPr>
        <w:t xml:space="preserve"> General Contractor (Contratista General)</w:t>
      </w:r>
    </w:p>
    <w:p w14:paraId="6A8BED35" w14:textId="485193E6" w:rsidR="003C29D4" w:rsidRPr="00734D3B" w:rsidRDefault="003C29D4" w:rsidP="007356E5">
      <w:pPr>
        <w:spacing w:line="360" w:lineRule="auto"/>
        <w:ind w:firstLine="0"/>
        <w:rPr>
          <w:rFonts w:cs="Arial"/>
          <w:bCs/>
          <w:szCs w:val="22"/>
        </w:rPr>
      </w:pPr>
      <w:r w:rsidRPr="00734D3B">
        <w:rPr>
          <w:rFonts w:cs="Arial"/>
          <w:bCs/>
          <w:szCs w:val="22"/>
        </w:rPr>
        <w:t xml:space="preserve">EC- </w:t>
      </w:r>
      <w:proofErr w:type="spellStart"/>
      <w:r w:rsidRPr="00734D3B">
        <w:rPr>
          <w:rFonts w:cs="Arial"/>
          <w:bCs/>
          <w:szCs w:val="22"/>
        </w:rPr>
        <w:t>Ele</w:t>
      </w:r>
      <w:r w:rsidR="00096CA0" w:rsidRPr="00734D3B">
        <w:rPr>
          <w:rFonts w:cs="Arial"/>
          <w:bCs/>
          <w:szCs w:val="22"/>
        </w:rPr>
        <w:t>ctrical</w:t>
      </w:r>
      <w:proofErr w:type="spellEnd"/>
      <w:r w:rsidR="00096CA0" w:rsidRPr="00734D3B">
        <w:rPr>
          <w:rFonts w:cs="Arial"/>
          <w:bCs/>
          <w:szCs w:val="22"/>
        </w:rPr>
        <w:t xml:space="preserve"> Contractor </w:t>
      </w:r>
      <w:proofErr w:type="gramStart"/>
      <w:r w:rsidR="00096CA0" w:rsidRPr="00734D3B">
        <w:rPr>
          <w:rFonts w:cs="Arial"/>
          <w:bCs/>
          <w:szCs w:val="22"/>
        </w:rPr>
        <w:t>( Contratista</w:t>
      </w:r>
      <w:proofErr w:type="gramEnd"/>
      <w:r w:rsidR="00096CA0" w:rsidRPr="00734D3B">
        <w:rPr>
          <w:rFonts w:cs="Arial"/>
          <w:bCs/>
          <w:szCs w:val="22"/>
        </w:rPr>
        <w:t xml:space="preserve"> Eléctrico) </w:t>
      </w:r>
    </w:p>
    <w:p w14:paraId="78D6F8E3" w14:textId="35F8272F" w:rsidR="007356E5" w:rsidRPr="00734D3B" w:rsidRDefault="007356E5" w:rsidP="007356E5">
      <w:pPr>
        <w:spacing w:line="360" w:lineRule="auto"/>
        <w:ind w:firstLine="0"/>
        <w:rPr>
          <w:rFonts w:cs="Arial"/>
          <w:bCs/>
          <w:szCs w:val="22"/>
        </w:rPr>
      </w:pPr>
      <w:r w:rsidRPr="00734D3B">
        <w:rPr>
          <w:rFonts w:cs="Arial"/>
          <w:bCs/>
          <w:szCs w:val="22"/>
        </w:rPr>
        <w:t xml:space="preserve">GPEC </w:t>
      </w:r>
      <w:r w:rsidR="00A50540" w:rsidRPr="00734D3B">
        <w:rPr>
          <w:rFonts w:cs="Arial"/>
          <w:bCs/>
          <w:szCs w:val="22"/>
        </w:rPr>
        <w:t>-</w:t>
      </w:r>
      <w:r w:rsidRPr="00734D3B">
        <w:rPr>
          <w:rFonts w:cs="Arial"/>
          <w:bCs/>
          <w:szCs w:val="22"/>
        </w:rPr>
        <w:t xml:space="preserve"> </w:t>
      </w:r>
      <w:proofErr w:type="spellStart"/>
      <w:r w:rsidRPr="00734D3B">
        <w:rPr>
          <w:rFonts w:cs="Arial"/>
          <w:bCs/>
          <w:szCs w:val="22"/>
        </w:rPr>
        <w:t>Greater</w:t>
      </w:r>
      <w:proofErr w:type="spellEnd"/>
      <w:r w:rsidRPr="00734D3B">
        <w:rPr>
          <w:rFonts w:cs="Arial"/>
          <w:bCs/>
          <w:szCs w:val="22"/>
        </w:rPr>
        <w:t xml:space="preserve"> Phoenix </w:t>
      </w:r>
      <w:proofErr w:type="spellStart"/>
      <w:r w:rsidRPr="00734D3B">
        <w:rPr>
          <w:rFonts w:cs="Arial"/>
          <w:bCs/>
          <w:szCs w:val="22"/>
        </w:rPr>
        <w:t>Economic</w:t>
      </w:r>
      <w:proofErr w:type="spellEnd"/>
      <w:r w:rsidRPr="00734D3B">
        <w:rPr>
          <w:rFonts w:cs="Arial"/>
          <w:bCs/>
          <w:szCs w:val="22"/>
        </w:rPr>
        <w:t xml:space="preserve"> Council (Consejo Económico del Gran Phoenix)</w:t>
      </w:r>
    </w:p>
    <w:p w14:paraId="6A17158C" w14:textId="11C6C27C" w:rsidR="007356E5" w:rsidRPr="00734D3B" w:rsidRDefault="007356E5" w:rsidP="007356E5">
      <w:pPr>
        <w:spacing w:line="360" w:lineRule="auto"/>
        <w:ind w:firstLine="0"/>
        <w:rPr>
          <w:rFonts w:cs="Arial"/>
          <w:bCs/>
          <w:szCs w:val="22"/>
        </w:rPr>
      </w:pPr>
      <w:r w:rsidRPr="00734D3B">
        <w:rPr>
          <w:rFonts w:cs="Arial"/>
          <w:bCs/>
          <w:szCs w:val="22"/>
        </w:rPr>
        <w:t xml:space="preserve">LEED </w:t>
      </w:r>
      <w:r w:rsidR="00A50540" w:rsidRPr="00734D3B">
        <w:rPr>
          <w:rFonts w:cs="Arial"/>
          <w:bCs/>
          <w:szCs w:val="22"/>
        </w:rPr>
        <w:t>-</w:t>
      </w:r>
      <w:r w:rsidRPr="00734D3B">
        <w:rPr>
          <w:rFonts w:cs="Arial"/>
          <w:bCs/>
          <w:szCs w:val="22"/>
        </w:rPr>
        <w:t xml:space="preserve"> </w:t>
      </w:r>
      <w:proofErr w:type="spellStart"/>
      <w:r w:rsidRPr="00734D3B">
        <w:rPr>
          <w:rFonts w:cs="Arial"/>
          <w:bCs/>
          <w:szCs w:val="22"/>
        </w:rPr>
        <w:t>Leadership</w:t>
      </w:r>
      <w:proofErr w:type="spellEnd"/>
      <w:r w:rsidRPr="00734D3B">
        <w:rPr>
          <w:rFonts w:cs="Arial"/>
          <w:bCs/>
          <w:szCs w:val="22"/>
        </w:rPr>
        <w:t xml:space="preserve"> in Energy and </w:t>
      </w:r>
      <w:proofErr w:type="spellStart"/>
      <w:r w:rsidRPr="00734D3B">
        <w:rPr>
          <w:rFonts w:cs="Arial"/>
          <w:bCs/>
          <w:szCs w:val="22"/>
        </w:rPr>
        <w:t>Environmental</w:t>
      </w:r>
      <w:proofErr w:type="spellEnd"/>
      <w:r w:rsidRPr="00734D3B">
        <w:rPr>
          <w:rFonts w:cs="Arial"/>
          <w:bCs/>
          <w:szCs w:val="22"/>
        </w:rPr>
        <w:t xml:space="preserve"> </w:t>
      </w:r>
      <w:proofErr w:type="spellStart"/>
      <w:r w:rsidRPr="00734D3B">
        <w:rPr>
          <w:rFonts w:cs="Arial"/>
          <w:bCs/>
          <w:szCs w:val="22"/>
        </w:rPr>
        <w:t>Design</w:t>
      </w:r>
      <w:proofErr w:type="spellEnd"/>
      <w:r w:rsidRPr="00734D3B">
        <w:rPr>
          <w:rFonts w:cs="Arial"/>
          <w:bCs/>
          <w:szCs w:val="22"/>
        </w:rPr>
        <w:t xml:space="preserve"> (Liderazgo en Energía y Diseño Ambiental)</w:t>
      </w:r>
    </w:p>
    <w:p w14:paraId="12A28A15" w14:textId="0E0B571A" w:rsidR="007356E5" w:rsidRPr="00734D3B" w:rsidRDefault="007356E5" w:rsidP="007356E5">
      <w:pPr>
        <w:spacing w:line="360" w:lineRule="auto"/>
        <w:ind w:firstLine="0"/>
        <w:rPr>
          <w:rFonts w:cs="Arial"/>
          <w:bCs/>
          <w:szCs w:val="22"/>
        </w:rPr>
      </w:pPr>
      <w:r w:rsidRPr="00734D3B">
        <w:rPr>
          <w:rFonts w:cs="Arial"/>
          <w:bCs/>
          <w:szCs w:val="22"/>
        </w:rPr>
        <w:t xml:space="preserve">MC </w:t>
      </w:r>
      <w:r w:rsidR="00A50540" w:rsidRPr="00734D3B">
        <w:rPr>
          <w:rFonts w:cs="Arial"/>
          <w:bCs/>
          <w:szCs w:val="22"/>
        </w:rPr>
        <w:t>-</w:t>
      </w:r>
      <w:r w:rsidRPr="00734D3B">
        <w:rPr>
          <w:rFonts w:cs="Arial"/>
          <w:bCs/>
          <w:szCs w:val="22"/>
        </w:rPr>
        <w:t xml:space="preserve"> Metal </w:t>
      </w:r>
      <w:proofErr w:type="spellStart"/>
      <w:r w:rsidRPr="00734D3B">
        <w:rPr>
          <w:rFonts w:cs="Arial"/>
          <w:bCs/>
          <w:szCs w:val="22"/>
        </w:rPr>
        <w:t>Clad</w:t>
      </w:r>
      <w:proofErr w:type="spellEnd"/>
      <w:r w:rsidRPr="00734D3B">
        <w:rPr>
          <w:rFonts w:cs="Arial"/>
          <w:bCs/>
          <w:szCs w:val="22"/>
        </w:rPr>
        <w:t xml:space="preserve"> Cable (Cable con Envolvente Metálica)</w:t>
      </w:r>
    </w:p>
    <w:p w14:paraId="00980287" w14:textId="344EA8E7" w:rsidR="007356E5" w:rsidRPr="00734D3B" w:rsidRDefault="007356E5" w:rsidP="007356E5">
      <w:pPr>
        <w:spacing w:line="360" w:lineRule="auto"/>
        <w:ind w:firstLine="0"/>
        <w:rPr>
          <w:rFonts w:cs="Arial"/>
          <w:bCs/>
          <w:szCs w:val="22"/>
        </w:rPr>
      </w:pPr>
      <w:r w:rsidRPr="00734D3B">
        <w:rPr>
          <w:rFonts w:cs="Arial"/>
          <w:bCs/>
          <w:szCs w:val="22"/>
        </w:rPr>
        <w:t xml:space="preserve">NECA </w:t>
      </w:r>
      <w:r w:rsidR="00A50540" w:rsidRPr="00734D3B">
        <w:rPr>
          <w:rFonts w:cs="Arial"/>
          <w:bCs/>
          <w:szCs w:val="22"/>
        </w:rPr>
        <w:t>-</w:t>
      </w:r>
      <w:r w:rsidRPr="00734D3B">
        <w:rPr>
          <w:rFonts w:cs="Arial"/>
          <w:bCs/>
          <w:szCs w:val="22"/>
        </w:rPr>
        <w:t xml:space="preserve"> </w:t>
      </w:r>
      <w:proofErr w:type="spellStart"/>
      <w:r w:rsidRPr="00734D3B">
        <w:rPr>
          <w:rFonts w:cs="Arial"/>
          <w:bCs/>
          <w:szCs w:val="22"/>
        </w:rPr>
        <w:t>National</w:t>
      </w:r>
      <w:proofErr w:type="spellEnd"/>
      <w:r w:rsidRPr="00734D3B">
        <w:rPr>
          <w:rFonts w:cs="Arial"/>
          <w:bCs/>
          <w:szCs w:val="22"/>
        </w:rPr>
        <w:t xml:space="preserve"> </w:t>
      </w:r>
      <w:proofErr w:type="spellStart"/>
      <w:r w:rsidRPr="00734D3B">
        <w:rPr>
          <w:rFonts w:cs="Arial"/>
          <w:bCs/>
          <w:szCs w:val="22"/>
        </w:rPr>
        <w:t>Electrical</w:t>
      </w:r>
      <w:proofErr w:type="spellEnd"/>
      <w:r w:rsidRPr="00734D3B">
        <w:rPr>
          <w:rFonts w:cs="Arial"/>
          <w:bCs/>
          <w:szCs w:val="22"/>
        </w:rPr>
        <w:t xml:space="preserve"> </w:t>
      </w:r>
      <w:proofErr w:type="spellStart"/>
      <w:r w:rsidRPr="00734D3B">
        <w:rPr>
          <w:rFonts w:cs="Arial"/>
          <w:bCs/>
          <w:szCs w:val="22"/>
        </w:rPr>
        <w:t>Contractors</w:t>
      </w:r>
      <w:proofErr w:type="spellEnd"/>
      <w:r w:rsidRPr="00734D3B">
        <w:rPr>
          <w:rFonts w:cs="Arial"/>
          <w:bCs/>
          <w:szCs w:val="22"/>
        </w:rPr>
        <w:t xml:space="preserve"> </w:t>
      </w:r>
      <w:proofErr w:type="spellStart"/>
      <w:r w:rsidRPr="00734D3B">
        <w:rPr>
          <w:rFonts w:cs="Arial"/>
          <w:bCs/>
          <w:szCs w:val="22"/>
        </w:rPr>
        <w:t>Association</w:t>
      </w:r>
      <w:proofErr w:type="spellEnd"/>
      <w:r w:rsidRPr="00734D3B">
        <w:rPr>
          <w:rFonts w:cs="Arial"/>
          <w:bCs/>
          <w:szCs w:val="22"/>
        </w:rPr>
        <w:t xml:space="preserve"> (Asociación Nacional de Contratistas Eléctricos)</w:t>
      </w:r>
    </w:p>
    <w:p w14:paraId="62A59FAD" w14:textId="7F1ED236" w:rsidR="007356E5" w:rsidRPr="00734D3B" w:rsidRDefault="007356E5" w:rsidP="007356E5">
      <w:pPr>
        <w:spacing w:line="360" w:lineRule="auto"/>
        <w:ind w:firstLine="0"/>
        <w:rPr>
          <w:rFonts w:cs="Arial"/>
          <w:bCs/>
          <w:szCs w:val="22"/>
        </w:rPr>
      </w:pPr>
      <w:r w:rsidRPr="00734D3B">
        <w:rPr>
          <w:rFonts w:cs="Arial"/>
          <w:bCs/>
          <w:szCs w:val="22"/>
        </w:rPr>
        <w:t xml:space="preserve">NFPA </w:t>
      </w:r>
      <w:r w:rsidR="00A50540" w:rsidRPr="00734D3B">
        <w:rPr>
          <w:rFonts w:cs="Arial"/>
          <w:bCs/>
          <w:szCs w:val="22"/>
        </w:rPr>
        <w:t>-</w:t>
      </w:r>
      <w:r w:rsidRPr="00734D3B">
        <w:rPr>
          <w:rFonts w:cs="Arial"/>
          <w:bCs/>
          <w:szCs w:val="22"/>
        </w:rPr>
        <w:t xml:space="preserve"> </w:t>
      </w:r>
      <w:proofErr w:type="spellStart"/>
      <w:r w:rsidRPr="00734D3B">
        <w:rPr>
          <w:rFonts w:cs="Arial"/>
          <w:bCs/>
          <w:szCs w:val="22"/>
        </w:rPr>
        <w:t>National</w:t>
      </w:r>
      <w:proofErr w:type="spellEnd"/>
      <w:r w:rsidRPr="00734D3B">
        <w:rPr>
          <w:rFonts w:cs="Arial"/>
          <w:bCs/>
          <w:szCs w:val="22"/>
        </w:rPr>
        <w:t xml:space="preserve"> </w:t>
      </w:r>
      <w:proofErr w:type="spellStart"/>
      <w:r w:rsidRPr="00734D3B">
        <w:rPr>
          <w:rFonts w:cs="Arial"/>
          <w:bCs/>
          <w:szCs w:val="22"/>
        </w:rPr>
        <w:t>Fire</w:t>
      </w:r>
      <w:proofErr w:type="spellEnd"/>
      <w:r w:rsidRPr="00734D3B">
        <w:rPr>
          <w:rFonts w:cs="Arial"/>
          <w:bCs/>
          <w:szCs w:val="22"/>
        </w:rPr>
        <w:t xml:space="preserve"> </w:t>
      </w:r>
      <w:proofErr w:type="spellStart"/>
      <w:r w:rsidRPr="00734D3B">
        <w:rPr>
          <w:rFonts w:cs="Arial"/>
          <w:bCs/>
          <w:szCs w:val="22"/>
        </w:rPr>
        <w:t>Protection</w:t>
      </w:r>
      <w:proofErr w:type="spellEnd"/>
      <w:r w:rsidRPr="00734D3B">
        <w:rPr>
          <w:rFonts w:cs="Arial"/>
          <w:bCs/>
          <w:szCs w:val="22"/>
        </w:rPr>
        <w:t xml:space="preserve"> </w:t>
      </w:r>
      <w:proofErr w:type="spellStart"/>
      <w:r w:rsidRPr="00734D3B">
        <w:rPr>
          <w:rFonts w:cs="Arial"/>
          <w:bCs/>
          <w:szCs w:val="22"/>
        </w:rPr>
        <w:t>Association</w:t>
      </w:r>
      <w:proofErr w:type="spellEnd"/>
      <w:r w:rsidRPr="00734D3B">
        <w:rPr>
          <w:rFonts w:cs="Arial"/>
          <w:bCs/>
          <w:szCs w:val="22"/>
        </w:rPr>
        <w:t xml:space="preserve"> (Asociación Nacional de Protección contra Incendios)</w:t>
      </w:r>
    </w:p>
    <w:p w14:paraId="06EB9741" w14:textId="501AF6DE" w:rsidR="007356E5" w:rsidRPr="00734D3B" w:rsidRDefault="007356E5" w:rsidP="007356E5">
      <w:pPr>
        <w:spacing w:line="360" w:lineRule="auto"/>
        <w:ind w:firstLine="0"/>
        <w:rPr>
          <w:rFonts w:cs="Arial"/>
          <w:bCs/>
          <w:szCs w:val="22"/>
        </w:rPr>
      </w:pPr>
      <w:r w:rsidRPr="00734D3B">
        <w:rPr>
          <w:rFonts w:cs="Arial"/>
          <w:bCs/>
          <w:szCs w:val="22"/>
        </w:rPr>
        <w:t xml:space="preserve">ODS </w:t>
      </w:r>
      <w:r w:rsidR="00A50540" w:rsidRPr="00734D3B">
        <w:rPr>
          <w:rFonts w:cs="Arial"/>
          <w:bCs/>
          <w:szCs w:val="22"/>
        </w:rPr>
        <w:t>-</w:t>
      </w:r>
      <w:r w:rsidRPr="00734D3B">
        <w:rPr>
          <w:rFonts w:cs="Arial"/>
          <w:bCs/>
          <w:szCs w:val="22"/>
        </w:rPr>
        <w:t xml:space="preserve"> Objetivos de Desarrollo Sostenible</w:t>
      </w:r>
    </w:p>
    <w:p w14:paraId="17164AAB" w14:textId="2B45ABC3" w:rsidR="007356E5" w:rsidRPr="00734D3B" w:rsidRDefault="007356E5" w:rsidP="007356E5">
      <w:pPr>
        <w:spacing w:line="360" w:lineRule="auto"/>
        <w:ind w:firstLine="0"/>
        <w:rPr>
          <w:rFonts w:cs="Arial"/>
          <w:bCs/>
          <w:szCs w:val="22"/>
        </w:rPr>
      </w:pPr>
      <w:r w:rsidRPr="00734D3B">
        <w:rPr>
          <w:rFonts w:cs="Arial"/>
          <w:bCs/>
          <w:szCs w:val="22"/>
        </w:rPr>
        <w:t xml:space="preserve">OSHA </w:t>
      </w:r>
      <w:r w:rsidR="00A50540" w:rsidRPr="00734D3B">
        <w:rPr>
          <w:rFonts w:cs="Arial"/>
          <w:bCs/>
          <w:szCs w:val="22"/>
        </w:rPr>
        <w:t>-</w:t>
      </w:r>
      <w:r w:rsidRPr="00734D3B">
        <w:rPr>
          <w:rFonts w:cs="Arial"/>
          <w:bCs/>
          <w:szCs w:val="22"/>
        </w:rPr>
        <w:t xml:space="preserve"> </w:t>
      </w:r>
      <w:proofErr w:type="spellStart"/>
      <w:r w:rsidRPr="00734D3B">
        <w:rPr>
          <w:rFonts w:cs="Arial"/>
          <w:bCs/>
          <w:szCs w:val="22"/>
        </w:rPr>
        <w:t>Occupational</w:t>
      </w:r>
      <w:proofErr w:type="spellEnd"/>
      <w:r w:rsidRPr="00734D3B">
        <w:rPr>
          <w:rFonts w:cs="Arial"/>
          <w:bCs/>
          <w:szCs w:val="22"/>
        </w:rPr>
        <w:t xml:space="preserve"> Safety and Health </w:t>
      </w:r>
      <w:proofErr w:type="spellStart"/>
      <w:r w:rsidRPr="00734D3B">
        <w:rPr>
          <w:rFonts w:cs="Arial"/>
          <w:bCs/>
          <w:szCs w:val="22"/>
        </w:rPr>
        <w:t>Administration</w:t>
      </w:r>
      <w:proofErr w:type="spellEnd"/>
      <w:r w:rsidRPr="00734D3B">
        <w:rPr>
          <w:rFonts w:cs="Arial"/>
          <w:bCs/>
          <w:szCs w:val="22"/>
        </w:rPr>
        <w:t xml:space="preserve"> (Administración de Seguridad y Salud Ocupacional)</w:t>
      </w:r>
    </w:p>
    <w:p w14:paraId="4D3B427C" w14:textId="359D96ED" w:rsidR="007356E5" w:rsidRPr="00734D3B" w:rsidRDefault="007356E5" w:rsidP="007356E5">
      <w:pPr>
        <w:spacing w:line="360" w:lineRule="auto"/>
        <w:ind w:firstLine="0"/>
        <w:rPr>
          <w:rFonts w:cs="Arial"/>
          <w:bCs/>
          <w:szCs w:val="22"/>
        </w:rPr>
      </w:pPr>
      <w:r w:rsidRPr="00734D3B">
        <w:rPr>
          <w:rFonts w:cs="Arial"/>
          <w:bCs/>
          <w:szCs w:val="22"/>
        </w:rPr>
        <w:t xml:space="preserve">P5 </w:t>
      </w:r>
      <w:r w:rsidR="00A50540" w:rsidRPr="00734D3B">
        <w:rPr>
          <w:rFonts w:cs="Arial"/>
          <w:bCs/>
          <w:szCs w:val="22"/>
        </w:rPr>
        <w:t>-</w:t>
      </w:r>
      <w:r w:rsidRPr="00734D3B">
        <w:rPr>
          <w:rFonts w:cs="Arial"/>
          <w:bCs/>
          <w:szCs w:val="22"/>
        </w:rPr>
        <w:t xml:space="preserve"> People, Planet, Prosperity, Process, </w:t>
      </w:r>
      <w:proofErr w:type="spellStart"/>
      <w:r w:rsidRPr="00734D3B">
        <w:rPr>
          <w:rFonts w:cs="Arial"/>
          <w:bCs/>
          <w:szCs w:val="22"/>
        </w:rPr>
        <w:t>Product</w:t>
      </w:r>
      <w:proofErr w:type="spellEnd"/>
      <w:r w:rsidRPr="00734D3B">
        <w:rPr>
          <w:rFonts w:cs="Arial"/>
          <w:bCs/>
          <w:szCs w:val="22"/>
        </w:rPr>
        <w:t xml:space="preserve"> (Personas, Planeta, Prosperidad, Proceso, Producto)</w:t>
      </w:r>
    </w:p>
    <w:p w14:paraId="75726A02" w14:textId="050EEC18" w:rsidR="007356E5" w:rsidRPr="00734D3B" w:rsidRDefault="007356E5" w:rsidP="007356E5">
      <w:pPr>
        <w:spacing w:line="360" w:lineRule="auto"/>
        <w:ind w:firstLine="0"/>
        <w:rPr>
          <w:rFonts w:cs="Arial"/>
          <w:bCs/>
          <w:szCs w:val="22"/>
        </w:rPr>
      </w:pPr>
      <w:r w:rsidRPr="00734D3B">
        <w:rPr>
          <w:rFonts w:cs="Arial"/>
          <w:bCs/>
          <w:szCs w:val="22"/>
        </w:rPr>
        <w:t xml:space="preserve">PFG </w:t>
      </w:r>
      <w:r w:rsidR="00A50540" w:rsidRPr="00734D3B">
        <w:rPr>
          <w:rFonts w:cs="Arial"/>
          <w:bCs/>
          <w:szCs w:val="22"/>
        </w:rPr>
        <w:t>-</w:t>
      </w:r>
      <w:r w:rsidRPr="00734D3B">
        <w:rPr>
          <w:rFonts w:cs="Arial"/>
          <w:bCs/>
          <w:szCs w:val="22"/>
        </w:rPr>
        <w:t xml:space="preserve"> Proyecto Final de Graduación</w:t>
      </w:r>
    </w:p>
    <w:p w14:paraId="4159BC32" w14:textId="6D77699C" w:rsidR="007356E5" w:rsidRPr="00734D3B" w:rsidRDefault="007356E5" w:rsidP="007356E5">
      <w:pPr>
        <w:spacing w:line="360" w:lineRule="auto"/>
        <w:ind w:firstLine="0"/>
        <w:rPr>
          <w:rFonts w:cs="Arial"/>
          <w:bCs/>
          <w:szCs w:val="22"/>
        </w:rPr>
      </w:pPr>
      <w:r w:rsidRPr="00734D3B">
        <w:rPr>
          <w:rFonts w:cs="Arial"/>
          <w:bCs/>
          <w:szCs w:val="22"/>
        </w:rPr>
        <w:t xml:space="preserve">PMBOK </w:t>
      </w:r>
      <w:r w:rsidR="00A50540" w:rsidRPr="00734D3B">
        <w:rPr>
          <w:rFonts w:cs="Arial"/>
          <w:bCs/>
          <w:szCs w:val="22"/>
        </w:rPr>
        <w:t>-</w:t>
      </w:r>
      <w:r w:rsidRPr="00734D3B">
        <w:rPr>
          <w:rFonts w:cs="Arial"/>
          <w:bCs/>
          <w:szCs w:val="22"/>
        </w:rPr>
        <w:t xml:space="preserve"> Project Management Body </w:t>
      </w:r>
      <w:proofErr w:type="spellStart"/>
      <w:r w:rsidRPr="00734D3B">
        <w:rPr>
          <w:rFonts w:cs="Arial"/>
          <w:bCs/>
          <w:szCs w:val="22"/>
        </w:rPr>
        <w:t>of</w:t>
      </w:r>
      <w:proofErr w:type="spellEnd"/>
      <w:r w:rsidRPr="00734D3B">
        <w:rPr>
          <w:rFonts w:cs="Arial"/>
          <w:bCs/>
          <w:szCs w:val="22"/>
        </w:rPr>
        <w:t xml:space="preserve"> Knowledge (Guía de los Fundamentos para la Dirección de Proyectos)</w:t>
      </w:r>
    </w:p>
    <w:p w14:paraId="2A95B28A" w14:textId="4B28EAF5" w:rsidR="007356E5" w:rsidRPr="00734D3B" w:rsidRDefault="007356E5" w:rsidP="007356E5">
      <w:pPr>
        <w:spacing w:line="360" w:lineRule="auto"/>
        <w:ind w:firstLine="0"/>
        <w:rPr>
          <w:rFonts w:cs="Arial"/>
          <w:bCs/>
          <w:szCs w:val="22"/>
        </w:rPr>
      </w:pPr>
      <w:r w:rsidRPr="00734D3B">
        <w:rPr>
          <w:rFonts w:cs="Arial"/>
          <w:bCs/>
          <w:szCs w:val="22"/>
        </w:rPr>
        <w:lastRenderedPageBreak/>
        <w:t xml:space="preserve">PMI </w:t>
      </w:r>
      <w:r w:rsidR="00A50540" w:rsidRPr="00734D3B">
        <w:rPr>
          <w:rFonts w:cs="Arial"/>
          <w:bCs/>
          <w:szCs w:val="22"/>
        </w:rPr>
        <w:t>-</w:t>
      </w:r>
      <w:r w:rsidRPr="00734D3B">
        <w:rPr>
          <w:rFonts w:cs="Arial"/>
          <w:bCs/>
          <w:szCs w:val="22"/>
        </w:rPr>
        <w:t xml:space="preserve"> Project Management Institute (Instituto de Gestión de Proyectos)</w:t>
      </w:r>
    </w:p>
    <w:p w14:paraId="4BEF32F2" w14:textId="23CF6CE5" w:rsidR="007356E5" w:rsidRPr="00734D3B" w:rsidRDefault="007356E5" w:rsidP="007356E5">
      <w:pPr>
        <w:spacing w:line="360" w:lineRule="auto"/>
        <w:ind w:firstLine="0"/>
        <w:rPr>
          <w:rFonts w:cs="Arial"/>
          <w:bCs/>
          <w:szCs w:val="22"/>
        </w:rPr>
      </w:pPr>
      <w:r w:rsidRPr="00734D3B">
        <w:rPr>
          <w:rFonts w:cs="Arial"/>
          <w:bCs/>
          <w:szCs w:val="22"/>
        </w:rPr>
        <w:t xml:space="preserve">QTS </w:t>
      </w:r>
      <w:r w:rsidR="00A50540" w:rsidRPr="00734D3B">
        <w:rPr>
          <w:rFonts w:cs="Arial"/>
          <w:bCs/>
          <w:szCs w:val="22"/>
        </w:rPr>
        <w:t>-</w:t>
      </w:r>
      <w:r w:rsidRPr="00734D3B">
        <w:rPr>
          <w:rFonts w:cs="Arial"/>
          <w:bCs/>
          <w:szCs w:val="22"/>
        </w:rPr>
        <w:t xml:space="preserve"> Quality </w:t>
      </w:r>
      <w:proofErr w:type="spellStart"/>
      <w:r w:rsidRPr="00734D3B">
        <w:rPr>
          <w:rFonts w:cs="Arial"/>
          <w:bCs/>
          <w:szCs w:val="22"/>
        </w:rPr>
        <w:t>Technology</w:t>
      </w:r>
      <w:proofErr w:type="spellEnd"/>
      <w:r w:rsidRPr="00734D3B">
        <w:rPr>
          <w:rFonts w:cs="Arial"/>
          <w:bCs/>
          <w:szCs w:val="22"/>
        </w:rPr>
        <w:t xml:space="preserve"> </w:t>
      </w:r>
      <w:proofErr w:type="spellStart"/>
      <w:r w:rsidRPr="00734D3B">
        <w:rPr>
          <w:rFonts w:cs="Arial"/>
          <w:bCs/>
          <w:szCs w:val="22"/>
        </w:rPr>
        <w:t>Services</w:t>
      </w:r>
      <w:proofErr w:type="spellEnd"/>
      <w:r w:rsidRPr="00734D3B">
        <w:rPr>
          <w:rFonts w:cs="Arial"/>
          <w:bCs/>
          <w:szCs w:val="22"/>
        </w:rPr>
        <w:t xml:space="preserve"> (Servicios de Tecnología de Calidad)</w:t>
      </w:r>
    </w:p>
    <w:p w14:paraId="32824D73" w14:textId="4DAC4C4A" w:rsidR="007356E5" w:rsidRPr="00734D3B" w:rsidRDefault="007356E5" w:rsidP="007356E5">
      <w:pPr>
        <w:spacing w:line="360" w:lineRule="auto"/>
        <w:ind w:firstLine="0"/>
        <w:rPr>
          <w:rFonts w:cs="Arial"/>
          <w:bCs/>
          <w:szCs w:val="22"/>
        </w:rPr>
      </w:pPr>
      <w:r w:rsidRPr="00734D3B">
        <w:rPr>
          <w:rFonts w:cs="Arial"/>
          <w:bCs/>
          <w:szCs w:val="22"/>
        </w:rPr>
        <w:t xml:space="preserve">SCADA </w:t>
      </w:r>
      <w:r w:rsidR="00A50540" w:rsidRPr="00734D3B">
        <w:rPr>
          <w:rFonts w:cs="Arial"/>
          <w:bCs/>
          <w:szCs w:val="22"/>
        </w:rPr>
        <w:t>-</w:t>
      </w:r>
      <w:r w:rsidRPr="00734D3B">
        <w:rPr>
          <w:rFonts w:cs="Arial"/>
          <w:bCs/>
          <w:szCs w:val="22"/>
        </w:rPr>
        <w:t xml:space="preserve"> </w:t>
      </w:r>
      <w:proofErr w:type="spellStart"/>
      <w:r w:rsidRPr="00734D3B">
        <w:rPr>
          <w:rFonts w:cs="Arial"/>
          <w:bCs/>
          <w:szCs w:val="22"/>
        </w:rPr>
        <w:t>Supervisory</w:t>
      </w:r>
      <w:proofErr w:type="spellEnd"/>
      <w:r w:rsidRPr="00734D3B">
        <w:rPr>
          <w:rFonts w:cs="Arial"/>
          <w:bCs/>
          <w:szCs w:val="22"/>
        </w:rPr>
        <w:t xml:space="preserve"> Control and Data </w:t>
      </w:r>
      <w:proofErr w:type="spellStart"/>
      <w:r w:rsidRPr="00734D3B">
        <w:rPr>
          <w:rFonts w:cs="Arial"/>
          <w:bCs/>
          <w:szCs w:val="22"/>
        </w:rPr>
        <w:t>Acquisition</w:t>
      </w:r>
      <w:proofErr w:type="spellEnd"/>
      <w:r w:rsidRPr="00734D3B">
        <w:rPr>
          <w:rFonts w:cs="Arial"/>
          <w:bCs/>
          <w:szCs w:val="22"/>
        </w:rPr>
        <w:t xml:space="preserve"> (Control de Supervisión y Adquisición de Datos)</w:t>
      </w:r>
    </w:p>
    <w:p w14:paraId="4BE1FEF5" w14:textId="63ECF1BE" w:rsidR="007356E5" w:rsidRPr="00734D3B" w:rsidRDefault="007356E5" w:rsidP="007356E5">
      <w:pPr>
        <w:spacing w:line="360" w:lineRule="auto"/>
        <w:ind w:firstLine="0"/>
        <w:rPr>
          <w:rFonts w:cs="Arial"/>
          <w:bCs/>
          <w:szCs w:val="22"/>
        </w:rPr>
      </w:pPr>
      <w:r w:rsidRPr="00734D3B">
        <w:rPr>
          <w:rFonts w:cs="Arial"/>
          <w:bCs/>
          <w:szCs w:val="22"/>
        </w:rPr>
        <w:t xml:space="preserve">UPS </w:t>
      </w:r>
      <w:r w:rsidR="00A50540" w:rsidRPr="00734D3B">
        <w:rPr>
          <w:rFonts w:cs="Arial"/>
          <w:bCs/>
          <w:szCs w:val="22"/>
        </w:rPr>
        <w:t>-</w:t>
      </w:r>
      <w:r w:rsidRPr="00734D3B">
        <w:rPr>
          <w:rFonts w:cs="Arial"/>
          <w:bCs/>
          <w:szCs w:val="22"/>
        </w:rPr>
        <w:t xml:space="preserve"> </w:t>
      </w:r>
      <w:proofErr w:type="spellStart"/>
      <w:r w:rsidRPr="00734D3B">
        <w:rPr>
          <w:rFonts w:cs="Arial"/>
          <w:bCs/>
          <w:szCs w:val="22"/>
        </w:rPr>
        <w:t>Uninterruptible</w:t>
      </w:r>
      <w:proofErr w:type="spellEnd"/>
      <w:r w:rsidRPr="00734D3B">
        <w:rPr>
          <w:rFonts w:cs="Arial"/>
          <w:bCs/>
          <w:szCs w:val="22"/>
        </w:rPr>
        <w:t xml:space="preserve"> Power </w:t>
      </w:r>
      <w:proofErr w:type="spellStart"/>
      <w:r w:rsidRPr="00734D3B">
        <w:rPr>
          <w:rFonts w:cs="Arial"/>
          <w:bCs/>
          <w:szCs w:val="22"/>
        </w:rPr>
        <w:t>Supply</w:t>
      </w:r>
      <w:proofErr w:type="spellEnd"/>
      <w:r w:rsidRPr="00734D3B">
        <w:rPr>
          <w:rFonts w:cs="Arial"/>
          <w:bCs/>
          <w:szCs w:val="22"/>
        </w:rPr>
        <w:t xml:space="preserve"> (Sistema de Alimentación Ininterrumpida)</w:t>
      </w:r>
    </w:p>
    <w:p w14:paraId="71DEC046" w14:textId="4D64322E" w:rsidR="00264EEB" w:rsidRPr="00734D3B" w:rsidRDefault="007356E5" w:rsidP="007356E5">
      <w:pPr>
        <w:spacing w:line="360" w:lineRule="auto"/>
        <w:ind w:firstLine="0"/>
        <w:rPr>
          <w:rFonts w:cs="Arial"/>
          <w:bCs/>
          <w:szCs w:val="22"/>
        </w:rPr>
      </w:pPr>
      <w:r w:rsidRPr="00734D3B">
        <w:rPr>
          <w:rFonts w:cs="Arial"/>
          <w:bCs/>
          <w:szCs w:val="22"/>
        </w:rPr>
        <w:t xml:space="preserve">USGBC </w:t>
      </w:r>
      <w:r w:rsidR="00A50540" w:rsidRPr="00734D3B">
        <w:rPr>
          <w:rFonts w:cs="Arial"/>
          <w:bCs/>
          <w:szCs w:val="22"/>
        </w:rPr>
        <w:t>-</w:t>
      </w:r>
      <w:r w:rsidRPr="00734D3B">
        <w:rPr>
          <w:rFonts w:cs="Arial"/>
          <w:bCs/>
          <w:szCs w:val="22"/>
        </w:rPr>
        <w:t xml:space="preserve"> U.S. Green Building Council (Consejo de la Construcción Verde de los Estados Unidos)</w:t>
      </w:r>
    </w:p>
    <w:p w14:paraId="09832416" w14:textId="77777777" w:rsidR="00264EEB" w:rsidRPr="00734D3B" w:rsidRDefault="00264EEB" w:rsidP="007C4A68">
      <w:pPr>
        <w:spacing w:line="360" w:lineRule="auto"/>
        <w:ind w:firstLine="0"/>
        <w:rPr>
          <w:rFonts w:cs="Arial"/>
          <w:b/>
          <w:szCs w:val="22"/>
        </w:rPr>
      </w:pPr>
    </w:p>
    <w:p w14:paraId="070C0DC7" w14:textId="77777777" w:rsidR="00264EEB" w:rsidRPr="00734D3B" w:rsidRDefault="00264EEB" w:rsidP="007C4A68">
      <w:pPr>
        <w:spacing w:line="360" w:lineRule="auto"/>
        <w:ind w:firstLine="0"/>
        <w:rPr>
          <w:rFonts w:cs="Arial"/>
          <w:b/>
          <w:szCs w:val="22"/>
        </w:rPr>
      </w:pPr>
    </w:p>
    <w:p w14:paraId="6124F9CD" w14:textId="77777777" w:rsidR="00777E46" w:rsidRPr="00734D3B" w:rsidRDefault="00777E46" w:rsidP="007C4A68">
      <w:pPr>
        <w:spacing w:line="360" w:lineRule="auto"/>
        <w:ind w:firstLine="0"/>
        <w:rPr>
          <w:rFonts w:cs="Arial"/>
          <w:b/>
          <w:szCs w:val="22"/>
        </w:rPr>
      </w:pPr>
    </w:p>
    <w:p w14:paraId="4BD6E9D4" w14:textId="77777777" w:rsidR="00777E46" w:rsidRPr="00734D3B" w:rsidRDefault="00777E46" w:rsidP="007C4A68">
      <w:pPr>
        <w:spacing w:line="360" w:lineRule="auto"/>
        <w:ind w:firstLine="0"/>
        <w:rPr>
          <w:rFonts w:cs="Arial"/>
          <w:b/>
          <w:szCs w:val="22"/>
        </w:rPr>
      </w:pPr>
    </w:p>
    <w:p w14:paraId="74793E17" w14:textId="77777777" w:rsidR="00264EEB" w:rsidRPr="00734D3B" w:rsidRDefault="00264EEB" w:rsidP="007C4A68">
      <w:pPr>
        <w:spacing w:line="360" w:lineRule="auto"/>
        <w:ind w:firstLine="0"/>
        <w:rPr>
          <w:rFonts w:cs="Arial"/>
          <w:b/>
          <w:szCs w:val="22"/>
        </w:rPr>
      </w:pPr>
    </w:p>
    <w:p w14:paraId="6A4FFE66" w14:textId="77777777" w:rsidR="00264EEB" w:rsidRPr="00734D3B" w:rsidRDefault="00264EEB" w:rsidP="00D7259E">
      <w:pPr>
        <w:spacing w:line="360" w:lineRule="auto"/>
        <w:rPr>
          <w:rFonts w:cs="Arial"/>
          <w:b/>
          <w:szCs w:val="22"/>
        </w:rPr>
      </w:pPr>
    </w:p>
    <w:p w14:paraId="19DF8D9C" w14:textId="77777777" w:rsidR="00264EEB" w:rsidRPr="00734D3B" w:rsidRDefault="00264EEB" w:rsidP="00D7259E">
      <w:pPr>
        <w:spacing w:line="360" w:lineRule="auto"/>
        <w:rPr>
          <w:rFonts w:cs="Arial"/>
          <w:b/>
          <w:szCs w:val="22"/>
        </w:rPr>
      </w:pPr>
    </w:p>
    <w:p w14:paraId="30486B7F" w14:textId="77777777" w:rsidR="00264EEB" w:rsidRPr="00734D3B" w:rsidRDefault="00264EEB" w:rsidP="00D7259E">
      <w:pPr>
        <w:spacing w:line="360" w:lineRule="auto"/>
        <w:rPr>
          <w:rFonts w:cs="Arial"/>
          <w:b/>
          <w:szCs w:val="22"/>
        </w:rPr>
      </w:pPr>
    </w:p>
    <w:p w14:paraId="6550A819" w14:textId="77777777" w:rsidR="00264EEB" w:rsidRPr="00734D3B" w:rsidRDefault="00264EEB" w:rsidP="00D7259E">
      <w:pPr>
        <w:spacing w:line="360" w:lineRule="auto"/>
        <w:rPr>
          <w:rFonts w:cs="Arial"/>
          <w:b/>
          <w:szCs w:val="22"/>
        </w:rPr>
      </w:pPr>
    </w:p>
    <w:p w14:paraId="624DB36D" w14:textId="77777777" w:rsidR="00264EEB" w:rsidRPr="00734D3B" w:rsidRDefault="00264EEB" w:rsidP="00D7259E">
      <w:pPr>
        <w:spacing w:line="360" w:lineRule="auto"/>
        <w:rPr>
          <w:rFonts w:cs="Arial"/>
          <w:b/>
          <w:szCs w:val="22"/>
        </w:rPr>
      </w:pPr>
    </w:p>
    <w:p w14:paraId="59E94F76" w14:textId="77777777" w:rsidR="00264EEB" w:rsidRPr="00734D3B" w:rsidRDefault="00264EEB" w:rsidP="00D7259E">
      <w:pPr>
        <w:spacing w:line="360" w:lineRule="auto"/>
        <w:rPr>
          <w:rFonts w:cs="Arial"/>
          <w:b/>
          <w:szCs w:val="22"/>
        </w:rPr>
      </w:pPr>
    </w:p>
    <w:p w14:paraId="669A4D2A" w14:textId="77777777" w:rsidR="00264EEB" w:rsidRPr="00734D3B" w:rsidRDefault="00264EEB" w:rsidP="00D7259E">
      <w:pPr>
        <w:spacing w:line="360" w:lineRule="auto"/>
        <w:rPr>
          <w:rFonts w:cs="Arial"/>
          <w:b/>
          <w:szCs w:val="22"/>
        </w:rPr>
      </w:pPr>
    </w:p>
    <w:p w14:paraId="488F224B" w14:textId="77777777" w:rsidR="00264EEB" w:rsidRPr="00734D3B" w:rsidRDefault="00264EEB" w:rsidP="00D7259E">
      <w:pPr>
        <w:spacing w:line="360" w:lineRule="auto"/>
        <w:rPr>
          <w:rFonts w:cs="Arial"/>
          <w:b/>
          <w:szCs w:val="22"/>
        </w:rPr>
      </w:pPr>
    </w:p>
    <w:p w14:paraId="36236F83" w14:textId="77777777" w:rsidR="00264EEB" w:rsidRPr="00734D3B" w:rsidRDefault="00264EEB" w:rsidP="00D7259E">
      <w:pPr>
        <w:spacing w:line="360" w:lineRule="auto"/>
        <w:rPr>
          <w:rFonts w:cs="Arial"/>
          <w:b/>
          <w:szCs w:val="22"/>
        </w:rPr>
      </w:pPr>
    </w:p>
    <w:p w14:paraId="0879CD62" w14:textId="77777777" w:rsidR="00264EEB" w:rsidRPr="00734D3B" w:rsidRDefault="00264EEB" w:rsidP="00D7259E">
      <w:pPr>
        <w:spacing w:line="360" w:lineRule="auto"/>
        <w:rPr>
          <w:rFonts w:cs="Arial"/>
          <w:b/>
          <w:szCs w:val="22"/>
        </w:rPr>
      </w:pPr>
    </w:p>
    <w:p w14:paraId="43C8E572" w14:textId="77777777" w:rsidR="00264EEB" w:rsidRPr="00734D3B" w:rsidRDefault="00264EEB" w:rsidP="00D7259E">
      <w:pPr>
        <w:spacing w:line="360" w:lineRule="auto"/>
        <w:rPr>
          <w:rFonts w:cs="Arial"/>
          <w:b/>
          <w:szCs w:val="22"/>
        </w:rPr>
      </w:pPr>
    </w:p>
    <w:p w14:paraId="4C363687" w14:textId="77777777" w:rsidR="00DE5ECB" w:rsidRPr="00734D3B" w:rsidRDefault="00DE5ECB" w:rsidP="00D7259E">
      <w:pPr>
        <w:spacing w:line="360" w:lineRule="auto"/>
        <w:rPr>
          <w:rFonts w:cs="Arial"/>
          <w:b/>
          <w:szCs w:val="22"/>
        </w:rPr>
      </w:pPr>
    </w:p>
    <w:p w14:paraId="0531DE6F" w14:textId="77777777" w:rsidR="00DE5ECB" w:rsidRPr="00734D3B" w:rsidRDefault="00DE5ECB" w:rsidP="00D7259E">
      <w:pPr>
        <w:spacing w:line="360" w:lineRule="auto"/>
        <w:rPr>
          <w:rFonts w:cs="Arial"/>
          <w:b/>
          <w:szCs w:val="22"/>
        </w:rPr>
      </w:pPr>
    </w:p>
    <w:p w14:paraId="55AA02B7" w14:textId="77777777" w:rsidR="00DE5ECB" w:rsidRPr="00734D3B" w:rsidRDefault="00DE5ECB" w:rsidP="00D7259E">
      <w:pPr>
        <w:spacing w:line="360" w:lineRule="auto"/>
        <w:rPr>
          <w:rFonts w:cs="Arial"/>
          <w:b/>
          <w:szCs w:val="22"/>
        </w:rPr>
      </w:pPr>
    </w:p>
    <w:p w14:paraId="36B81F9A" w14:textId="77777777" w:rsidR="00DE5ECB" w:rsidRPr="00734D3B" w:rsidRDefault="00DE5ECB" w:rsidP="00D7259E">
      <w:pPr>
        <w:spacing w:line="360" w:lineRule="auto"/>
        <w:rPr>
          <w:rFonts w:cs="Arial"/>
          <w:b/>
          <w:szCs w:val="22"/>
        </w:rPr>
      </w:pPr>
    </w:p>
    <w:p w14:paraId="4F920674" w14:textId="77777777" w:rsidR="00DE5ECB" w:rsidRPr="00734D3B" w:rsidRDefault="00DE5ECB" w:rsidP="00D7259E">
      <w:pPr>
        <w:spacing w:line="360" w:lineRule="auto"/>
        <w:rPr>
          <w:rFonts w:cs="Arial"/>
          <w:b/>
          <w:szCs w:val="22"/>
        </w:rPr>
      </w:pPr>
    </w:p>
    <w:p w14:paraId="360FBC52" w14:textId="77777777" w:rsidR="00DE5ECB" w:rsidRPr="00734D3B" w:rsidRDefault="00DE5ECB" w:rsidP="00D7259E">
      <w:pPr>
        <w:spacing w:line="360" w:lineRule="auto"/>
        <w:rPr>
          <w:rFonts w:cs="Arial"/>
          <w:b/>
          <w:szCs w:val="22"/>
        </w:rPr>
      </w:pPr>
    </w:p>
    <w:p w14:paraId="7F636A67" w14:textId="77777777" w:rsidR="00DE5ECB" w:rsidRPr="00734D3B" w:rsidRDefault="00DE5ECB" w:rsidP="00D7259E">
      <w:pPr>
        <w:spacing w:line="360" w:lineRule="auto"/>
        <w:rPr>
          <w:rFonts w:cs="Arial"/>
          <w:b/>
          <w:szCs w:val="22"/>
        </w:rPr>
      </w:pPr>
    </w:p>
    <w:p w14:paraId="2CD5F76D" w14:textId="77777777" w:rsidR="00DE5ECB" w:rsidRPr="00734D3B" w:rsidRDefault="00DE5ECB" w:rsidP="00D7259E">
      <w:pPr>
        <w:spacing w:line="360" w:lineRule="auto"/>
        <w:rPr>
          <w:rFonts w:cs="Arial"/>
          <w:b/>
          <w:szCs w:val="22"/>
        </w:rPr>
      </w:pPr>
    </w:p>
    <w:p w14:paraId="39BEADE4" w14:textId="77777777" w:rsidR="00DE5ECB" w:rsidRPr="00734D3B" w:rsidRDefault="00DE5ECB" w:rsidP="00D7259E">
      <w:pPr>
        <w:spacing w:line="360" w:lineRule="auto"/>
        <w:rPr>
          <w:rFonts w:cs="Arial"/>
          <w:b/>
          <w:szCs w:val="22"/>
        </w:rPr>
      </w:pPr>
    </w:p>
    <w:p w14:paraId="757FD82C" w14:textId="77777777" w:rsidR="00264EEB" w:rsidRPr="00734D3B" w:rsidRDefault="00264EEB" w:rsidP="00D7259E">
      <w:pPr>
        <w:spacing w:line="360" w:lineRule="auto"/>
        <w:ind w:firstLine="0"/>
        <w:rPr>
          <w:rFonts w:cs="Arial"/>
          <w:b/>
          <w:szCs w:val="22"/>
        </w:rPr>
      </w:pPr>
    </w:p>
    <w:p w14:paraId="449515CE" w14:textId="77777777" w:rsidR="00264EEB" w:rsidRPr="00734D3B" w:rsidRDefault="00264EEB" w:rsidP="00AC4635">
      <w:pPr>
        <w:pStyle w:val="Heading1"/>
        <w:numPr>
          <w:ilvl w:val="0"/>
          <w:numId w:val="0"/>
        </w:numPr>
        <w:ind w:left="360" w:hanging="360"/>
      </w:pPr>
      <w:bookmarkStart w:id="49" w:name="_Toc211465599"/>
      <w:bookmarkStart w:id="50" w:name="_Toc227936372"/>
      <w:r w:rsidRPr="00734D3B">
        <w:lastRenderedPageBreak/>
        <w:t>RESUMEN EJECUTIVO</w:t>
      </w:r>
      <w:bookmarkEnd w:id="49"/>
      <w:bookmarkEnd w:id="50"/>
    </w:p>
    <w:p w14:paraId="3AA92B1C" w14:textId="1165D380" w:rsidR="00EB0110" w:rsidRPr="00734D3B" w:rsidRDefault="00EB0110" w:rsidP="00DA1635">
      <w:pPr>
        <w:spacing w:line="240" w:lineRule="auto"/>
        <w:ind w:firstLine="0"/>
        <w:rPr>
          <w:rFonts w:cs="Arial"/>
          <w:szCs w:val="22"/>
        </w:rPr>
      </w:pPr>
      <w:r w:rsidRPr="00734D3B">
        <w:rPr>
          <w:rFonts w:cs="Arial"/>
          <w:szCs w:val="22"/>
        </w:rPr>
        <w:t xml:space="preserve">El rápido crecimiento de los centros de datos en Estados Unidos, sobre todo en Arizona, ha aumentado la </w:t>
      </w:r>
      <w:r w:rsidR="000F414F" w:rsidRPr="00734D3B">
        <w:rPr>
          <w:rFonts w:cs="Arial"/>
          <w:szCs w:val="22"/>
        </w:rPr>
        <w:t>demanda</w:t>
      </w:r>
      <w:r w:rsidRPr="00734D3B">
        <w:rPr>
          <w:rFonts w:cs="Arial"/>
          <w:szCs w:val="22"/>
        </w:rPr>
        <w:t xml:space="preserve"> de </w:t>
      </w:r>
      <w:r w:rsidR="000F414F" w:rsidRPr="00734D3B">
        <w:rPr>
          <w:rFonts w:cs="Arial"/>
          <w:szCs w:val="22"/>
        </w:rPr>
        <w:t>cumplir con más</w:t>
      </w:r>
      <w:r w:rsidRPr="00734D3B">
        <w:rPr>
          <w:rFonts w:cs="Arial"/>
          <w:szCs w:val="22"/>
        </w:rPr>
        <w:t xml:space="preserve"> obras eléctricas</w:t>
      </w:r>
      <w:r w:rsidR="000F414F" w:rsidRPr="00734D3B">
        <w:rPr>
          <w:rFonts w:cs="Arial"/>
          <w:szCs w:val="22"/>
        </w:rPr>
        <w:t xml:space="preserve"> y </w:t>
      </w:r>
      <w:r w:rsidR="00B40492" w:rsidRPr="00734D3B">
        <w:rPr>
          <w:rFonts w:cs="Arial"/>
          <w:szCs w:val="22"/>
        </w:rPr>
        <w:t xml:space="preserve">en </w:t>
      </w:r>
      <w:r w:rsidR="000F414F" w:rsidRPr="00734D3B">
        <w:rPr>
          <w:rFonts w:cs="Arial"/>
          <w:szCs w:val="22"/>
        </w:rPr>
        <w:t xml:space="preserve">tiempos </w:t>
      </w:r>
      <w:r w:rsidR="00865AB8" w:rsidRPr="00734D3B">
        <w:rPr>
          <w:rFonts w:cs="Arial"/>
          <w:szCs w:val="22"/>
        </w:rPr>
        <w:t>cada vez más reducidos</w:t>
      </w:r>
      <w:r w:rsidRPr="00734D3B">
        <w:rPr>
          <w:rFonts w:cs="Arial"/>
          <w:szCs w:val="22"/>
        </w:rPr>
        <w:t>. Aunque estos proyectos usan buena tecnología y cumplen con normas de seguridad, todavía faltan reglas claras sobre cómo cuidar el ambiente, especialmente en el manejo de los desechos eléctricos y materiales de construcción. Esto ha hecho que los contratistas eléctricos no tengan una guía para trabajar de forma más sostenible y cuidar mejor el entorno.</w:t>
      </w:r>
    </w:p>
    <w:p w14:paraId="7848608B" w14:textId="497B8A90" w:rsidR="0019312E" w:rsidRPr="00734D3B" w:rsidRDefault="0019312E" w:rsidP="00DA1635">
      <w:pPr>
        <w:spacing w:line="240" w:lineRule="auto"/>
        <w:ind w:firstLine="0"/>
        <w:rPr>
          <w:rFonts w:cs="Arial"/>
          <w:szCs w:val="22"/>
        </w:rPr>
      </w:pPr>
      <w:r w:rsidRPr="00734D3B">
        <w:rPr>
          <w:rFonts w:cs="Arial"/>
          <w:szCs w:val="22"/>
        </w:rPr>
        <w:t xml:space="preserve">El problema principal es que no existe una guía que </w:t>
      </w:r>
      <w:r w:rsidR="00B11CA2" w:rsidRPr="00734D3B">
        <w:rPr>
          <w:rFonts w:cs="Arial"/>
          <w:szCs w:val="22"/>
        </w:rPr>
        <w:t>facilite</w:t>
      </w:r>
      <w:r w:rsidRPr="00734D3B">
        <w:rPr>
          <w:rFonts w:cs="Arial"/>
          <w:szCs w:val="22"/>
        </w:rPr>
        <w:t xml:space="preserve"> a los contratistas a aplicar prácticas sostenibles desde el inicio hasta el final de los proyectos. Por eso, muchas veces los residuos no se manejan bien, los costos aumentan y el impacto ambiental </w:t>
      </w:r>
      <w:r w:rsidR="00627A73" w:rsidRPr="00734D3B">
        <w:rPr>
          <w:rFonts w:cs="Arial"/>
          <w:szCs w:val="22"/>
        </w:rPr>
        <w:t>va en aumento</w:t>
      </w:r>
      <w:r w:rsidRPr="00734D3B">
        <w:rPr>
          <w:rFonts w:cs="Arial"/>
          <w:szCs w:val="22"/>
        </w:rPr>
        <w:t>. Para resolver esto, se vio la necesidad de crear una guía con pasos sencillos que ayude a aplicar buenas prácticas para cuidar el ambiente, mejorar l</w:t>
      </w:r>
      <w:r w:rsidR="00B11CA2" w:rsidRPr="00734D3B">
        <w:rPr>
          <w:rFonts w:cs="Arial"/>
          <w:szCs w:val="22"/>
        </w:rPr>
        <w:t>a parte</w:t>
      </w:r>
      <w:r w:rsidRPr="00734D3B">
        <w:rPr>
          <w:rFonts w:cs="Arial"/>
          <w:szCs w:val="22"/>
        </w:rPr>
        <w:t xml:space="preserve"> social y hacer un mejor uso de los recursos económicos.</w:t>
      </w:r>
    </w:p>
    <w:p w14:paraId="5FA7A745" w14:textId="5619E8DF" w:rsidR="00B11CA2" w:rsidRPr="00734D3B" w:rsidRDefault="001C78FF" w:rsidP="00DA1635">
      <w:pPr>
        <w:spacing w:line="240" w:lineRule="auto"/>
        <w:ind w:firstLine="0"/>
        <w:rPr>
          <w:rFonts w:cs="Arial"/>
          <w:szCs w:val="22"/>
        </w:rPr>
      </w:pPr>
      <w:r w:rsidRPr="00734D3B">
        <w:rPr>
          <w:rFonts w:cs="Arial"/>
          <w:szCs w:val="22"/>
        </w:rPr>
        <w:t xml:space="preserve">La elaboración de esta guía se justifica </w:t>
      </w:r>
      <w:r w:rsidR="00523680" w:rsidRPr="00734D3B">
        <w:rPr>
          <w:rFonts w:cs="Arial"/>
          <w:szCs w:val="22"/>
        </w:rPr>
        <w:t>al</w:t>
      </w:r>
      <w:r w:rsidRPr="00734D3B">
        <w:rPr>
          <w:rFonts w:cs="Arial"/>
          <w:szCs w:val="22"/>
        </w:rPr>
        <w:t xml:space="preserve"> ayudar a mejorar el desempeño sostenible de las empresas contratistas, optimizar sus procesos y fortalecer su imagen frente a clientes y autoridades</w:t>
      </w:r>
      <w:r w:rsidR="008E304D" w:rsidRPr="00734D3B">
        <w:rPr>
          <w:rFonts w:cs="Arial"/>
          <w:szCs w:val="22"/>
        </w:rPr>
        <w:t>. Además, contribuyó al cumplimiento de los Objetivos de Desarrollo Sostenible (ODS) y de normas internacionales como LEED v4 y el modelo P5 de GPM Global, promoviendo una forma de construcción más responsable y que ayudara al planeta.</w:t>
      </w:r>
    </w:p>
    <w:p w14:paraId="4E643CC2" w14:textId="77777777" w:rsidR="00DA1635" w:rsidRPr="00734D3B" w:rsidRDefault="00DA1635" w:rsidP="00DA1635">
      <w:pPr>
        <w:spacing w:line="240" w:lineRule="auto"/>
        <w:ind w:firstLine="0"/>
        <w:rPr>
          <w:rFonts w:cs="Arial"/>
          <w:szCs w:val="22"/>
        </w:rPr>
      </w:pPr>
      <w:r w:rsidRPr="00734D3B">
        <w:rPr>
          <w:rFonts w:cs="Arial"/>
          <w:szCs w:val="22"/>
        </w:rPr>
        <w:t>El objetivo general de este proyecto fue diseñar una guía metodológica de gestión sostenible dirigida a contratistas eléctricos que ejecutan proyectos de data centers en Arizona, Estados Unidos, con el fin de optimizar el manejo de residuos y reducir los impactos ambientales asociados a la construcción de estas infraestructuras, alineándose con las buenas prácticas internacionales en gestión de proyectos sostenibles.</w:t>
      </w:r>
    </w:p>
    <w:p w14:paraId="767BC400" w14:textId="77777777" w:rsidR="00DA1635" w:rsidRPr="00734D3B" w:rsidRDefault="00DA1635" w:rsidP="00DA1635">
      <w:pPr>
        <w:spacing w:line="240" w:lineRule="auto"/>
        <w:ind w:firstLine="0"/>
        <w:rPr>
          <w:rFonts w:cs="Arial"/>
          <w:szCs w:val="22"/>
        </w:rPr>
      </w:pPr>
      <w:r w:rsidRPr="00734D3B">
        <w:rPr>
          <w:rFonts w:cs="Arial"/>
          <w:szCs w:val="22"/>
        </w:rPr>
        <w:t>Los objetivos específicos que guiaron el desarrollo de esta investigación fueron los siguientes:</w:t>
      </w:r>
    </w:p>
    <w:p w14:paraId="53AE712C" w14:textId="6DEE8484" w:rsidR="00DA1635" w:rsidRPr="00734D3B" w:rsidRDefault="00DA1635" w:rsidP="00433E2C">
      <w:pPr>
        <w:spacing w:line="240" w:lineRule="auto"/>
        <w:ind w:firstLine="0"/>
        <w:rPr>
          <w:rFonts w:cs="Arial"/>
          <w:szCs w:val="22"/>
        </w:rPr>
      </w:pPr>
      <w:r w:rsidRPr="00734D3B">
        <w:rPr>
          <w:rFonts w:cs="Arial"/>
          <w:szCs w:val="22"/>
        </w:rPr>
        <w:t>Diagnosticar el estado actual de las prácticas de sostenibilidad y gestión de residuos aplicadas por contratistas eléctricos en proyectos de data centers en Arizona, EE. UU., con el propósito de identificar brechas y oportunidades de mejora</w:t>
      </w:r>
      <w:r w:rsidR="00433E2C" w:rsidRPr="00734D3B">
        <w:rPr>
          <w:rFonts w:cs="Arial"/>
          <w:szCs w:val="22"/>
        </w:rPr>
        <w:t xml:space="preserve">; </w:t>
      </w:r>
      <w:r w:rsidRPr="00734D3B">
        <w:rPr>
          <w:rFonts w:cs="Arial"/>
          <w:szCs w:val="22"/>
        </w:rPr>
        <w:t>Analizar marcos normativos y buenas prácticas internacionales y regionales aplicables a la gestión ambiental en proyectos eléctricos, con el fin de fundamentar el diseño de la guía metodológica propuesta</w:t>
      </w:r>
      <w:r w:rsidR="00433E2C" w:rsidRPr="00734D3B">
        <w:rPr>
          <w:rFonts w:cs="Arial"/>
          <w:szCs w:val="22"/>
        </w:rPr>
        <w:t xml:space="preserve">; </w:t>
      </w:r>
      <w:r w:rsidRPr="00734D3B">
        <w:rPr>
          <w:rFonts w:cs="Arial"/>
          <w:szCs w:val="22"/>
        </w:rPr>
        <w:t>Diseñar lineamientos y procedimientos prácticos orientados a la reducción, segregación, reutilización y disposición adecuada de residuos eléctricos en proyectos de construcción de data centers, para fortalecer la gestión sostenible de los contratistas eléctricos</w:t>
      </w:r>
      <w:r w:rsidR="00433E2C" w:rsidRPr="00734D3B">
        <w:rPr>
          <w:rFonts w:cs="Arial"/>
          <w:szCs w:val="22"/>
        </w:rPr>
        <w:t xml:space="preserve"> y </w:t>
      </w:r>
      <w:r w:rsidRPr="00734D3B">
        <w:rPr>
          <w:rFonts w:cs="Arial"/>
          <w:szCs w:val="22"/>
        </w:rPr>
        <w:t>Diseñar y estructurar una guía metodológica integral que incorpore el diagnóstico, las buenas prácticas, los lineamientos operativos y un sistema de indicadores de desempeño ambiental, garantizando su replicabilidad y factibilidad de implementación en proyectos de construcción eléctrica de data centers en Arizona, EE. UU.</w:t>
      </w:r>
    </w:p>
    <w:p w14:paraId="6F6C35A1" w14:textId="77777777" w:rsidR="001F650C" w:rsidRPr="00734D3B" w:rsidRDefault="00757BA5" w:rsidP="00DA1635">
      <w:pPr>
        <w:spacing w:line="240" w:lineRule="auto"/>
        <w:ind w:firstLine="0"/>
        <w:rPr>
          <w:rFonts w:cs="Arial"/>
          <w:szCs w:val="22"/>
        </w:rPr>
      </w:pPr>
      <w:r w:rsidRPr="00734D3B">
        <w:rPr>
          <w:rFonts w:cs="Arial"/>
          <w:szCs w:val="22"/>
        </w:rPr>
        <w:t>La investigación se desarrolló con un enfoque cualitativo y descriptivo. Se usaron tres métodos principales: investigación documental, investigación de campo e investigación descriptiva. La investigación documental permitió revisar libros, normas y guías técnicas, como la PMBOK Guide (2021), los estándares LEED (2019) y la guía P5 (2021), para dar una base teórica al trabajo. La investigación de campo se realizó por medio de entrevistas y encuestas a contratistas eléctricos que trabajaban en proyectos de centros de datos en Arizona. Con esto se obtuvo información directa sobre sus prácticas sostenibles, su conocimiento ambiental y las dificultades que enfrentaban en su trabajo. Por último, la investigación descriptiva se utilizó para mostrar cómo era la situación actual en el manejo ambiental y de los residuos eléctricos, sin cambiar las condiciones, con el fin de encontrar problemas y oportunidades de mejora.</w:t>
      </w:r>
    </w:p>
    <w:p w14:paraId="1ECEFAAA" w14:textId="77777777" w:rsidR="006A365F" w:rsidRPr="00734D3B" w:rsidRDefault="003558AA" w:rsidP="00DA1635">
      <w:pPr>
        <w:spacing w:line="240" w:lineRule="auto"/>
        <w:ind w:firstLine="0"/>
        <w:rPr>
          <w:rFonts w:cs="Arial"/>
          <w:szCs w:val="22"/>
        </w:rPr>
      </w:pPr>
      <w:r w:rsidRPr="00734D3B">
        <w:rPr>
          <w:rFonts w:cs="Arial"/>
          <w:szCs w:val="22"/>
        </w:rPr>
        <w:lastRenderedPageBreak/>
        <w:t xml:space="preserve">Los resultados mostraron que la mayoría de los contratistas eléctricos no tenían procedimientos claros para separar, reciclar o dar seguimiento a los residuos eléctricos. También se vio que casi no se usaban indicadores de sostenibilidad en la planificación y ejecución de los proyectos, y que el personal técnico tenía poca o nula capacitación en temas ambientales. Como respuesta a esto, se creó una guía metodológica basada en los principios del desarrollo sostenible y regenerativo. Esta guía se organizó en cuatro fases: diagnóstico, planificación, implementación y evaluación. </w:t>
      </w:r>
    </w:p>
    <w:p w14:paraId="4A6D9433" w14:textId="21C1B1CE" w:rsidR="00DD2517" w:rsidRPr="00734D3B" w:rsidRDefault="00DD2517" w:rsidP="00DA1635">
      <w:pPr>
        <w:spacing w:line="240" w:lineRule="auto"/>
        <w:ind w:firstLine="0"/>
        <w:rPr>
          <w:rFonts w:cs="Arial"/>
          <w:szCs w:val="22"/>
        </w:rPr>
        <w:sectPr w:rsidR="00DD2517" w:rsidRPr="00734D3B" w:rsidSect="00980CA6">
          <w:headerReference w:type="even" r:id="rId8"/>
          <w:headerReference w:type="default" r:id="rId9"/>
          <w:footerReference w:type="even" r:id="rId10"/>
          <w:footerReference w:type="default" r:id="rId11"/>
          <w:type w:val="continuous"/>
          <w:pgSz w:w="12242" w:h="15842" w:code="1"/>
          <w:pgMar w:top="1440" w:right="1440" w:bottom="1440" w:left="1440" w:header="709" w:footer="709" w:gutter="0"/>
          <w:cols w:space="720"/>
          <w:titlePg/>
          <w:docGrid w:linePitch="360"/>
        </w:sectPr>
      </w:pPr>
      <w:r w:rsidRPr="00734D3B">
        <w:rPr>
          <w:rFonts w:cs="Arial"/>
          <w:szCs w:val="22"/>
        </w:rPr>
        <w:t xml:space="preserve">Se concluyó que aplicar la guía ayudará a mejorar la eficiencia en el trabajo, reducir los daños al ambiente y hacer que el sector eléctrico en Arizona sea más competitivo. Además, su uso apoyará la creación de una cultura de sostenibilidad dentro de las empresas y el cumplimiento de normas internacionales. </w:t>
      </w:r>
      <w:r w:rsidR="007D2D3C" w:rsidRPr="00734D3B">
        <w:rPr>
          <w:rFonts w:cs="Arial"/>
          <w:szCs w:val="22"/>
        </w:rPr>
        <w:t>Se recomendó que los contratistas adopten la guía poco a poco, hasta que con el tiempo se convierta en un requisito desde el inicio de los proyectos. Además, se sugirió incluirla en las políticas de la empresa y capacitar al personal para asegurar que el proceso sostenible</w:t>
      </w:r>
      <w:r w:rsidR="00CC76B0" w:rsidRPr="00734D3B">
        <w:rPr>
          <w:rFonts w:cs="Arial"/>
          <w:szCs w:val="22"/>
        </w:rPr>
        <w:t xml:space="preserve"> y los cambios</w:t>
      </w:r>
      <w:r w:rsidR="007D2D3C" w:rsidRPr="00734D3B">
        <w:rPr>
          <w:rFonts w:cs="Arial"/>
          <w:szCs w:val="22"/>
        </w:rPr>
        <w:t xml:space="preserve"> se mantenga</w:t>
      </w:r>
      <w:r w:rsidR="00CC76B0" w:rsidRPr="00734D3B">
        <w:rPr>
          <w:rFonts w:cs="Arial"/>
          <w:szCs w:val="22"/>
        </w:rPr>
        <w:t>n</w:t>
      </w:r>
      <w:r w:rsidR="007D2D3C" w:rsidRPr="00734D3B">
        <w:rPr>
          <w:rFonts w:cs="Arial"/>
          <w:szCs w:val="22"/>
        </w:rPr>
        <w:t xml:space="preserve"> </w:t>
      </w:r>
      <w:r w:rsidR="00E64EA2" w:rsidRPr="00734D3B">
        <w:rPr>
          <w:rFonts w:cs="Arial"/>
          <w:szCs w:val="22"/>
        </w:rPr>
        <w:t xml:space="preserve">constantes en el tiempo. </w:t>
      </w:r>
    </w:p>
    <w:p w14:paraId="68DB4C8E" w14:textId="77777777" w:rsidR="00264EEB" w:rsidRPr="00734D3B" w:rsidRDefault="00264EEB" w:rsidP="001D692F">
      <w:pPr>
        <w:pStyle w:val="Heading1"/>
        <w:numPr>
          <w:ilvl w:val="0"/>
          <w:numId w:val="11"/>
        </w:numPr>
        <w:rPr>
          <w:rFonts w:cs="Arial"/>
          <w:szCs w:val="22"/>
        </w:rPr>
      </w:pPr>
      <w:bookmarkStart w:id="51" w:name="_Toc211465600"/>
      <w:bookmarkStart w:id="52" w:name="_Toc227936373"/>
      <w:r w:rsidRPr="00734D3B">
        <w:rPr>
          <w:rFonts w:cs="Arial"/>
          <w:szCs w:val="22"/>
        </w:rPr>
        <w:lastRenderedPageBreak/>
        <w:t>Introducción</w:t>
      </w:r>
      <w:bookmarkEnd w:id="51"/>
      <w:bookmarkEnd w:id="52"/>
    </w:p>
    <w:p w14:paraId="61218E75" w14:textId="2C98B320" w:rsidR="009C1B56" w:rsidRPr="00734D3B" w:rsidRDefault="009C1B56" w:rsidP="009C1B56">
      <w:r w:rsidRPr="00734D3B">
        <w:t xml:space="preserve">El crecimiento rápido de la tecnología y el aumento del uso de servicios digitales han hecho que los centros de datos </w:t>
      </w:r>
      <w:r w:rsidR="00194FA1" w:rsidRPr="00734D3B">
        <w:t>se desarrollen</w:t>
      </w:r>
      <w:r w:rsidRPr="00734D3B">
        <w:t xml:space="preserve"> mucho en todo el mundo. Estos lugares son </w:t>
      </w:r>
      <w:r w:rsidR="003E61B8" w:rsidRPr="00734D3B">
        <w:t>cruciales para el desarrollo ya que</w:t>
      </w:r>
      <w:r w:rsidRPr="00734D3B">
        <w:t xml:space="preserve"> </w:t>
      </w:r>
      <w:r w:rsidR="00580D32" w:rsidRPr="00734D3B">
        <w:t>almacenan</w:t>
      </w:r>
      <w:r w:rsidRPr="00734D3B">
        <w:t xml:space="preserve"> y procesan</w:t>
      </w:r>
      <w:r w:rsidR="003E61B8" w:rsidRPr="00734D3B">
        <w:t xml:space="preserve"> mucha de la</w:t>
      </w:r>
      <w:r w:rsidRPr="00734D3B">
        <w:t xml:space="preserve"> información</w:t>
      </w:r>
      <w:r w:rsidR="003E2635" w:rsidRPr="00734D3B">
        <w:t xml:space="preserve"> esencial para el funcionamiento y progreso de la sociedad moderna</w:t>
      </w:r>
      <w:r w:rsidRPr="00734D3B">
        <w:t>, pero también causan grandes retos para el ambiente y la sociedad. Su construcción y funcionamiento usan mucha energía, agua y materiales, por lo que es necesario encontrar nuevas formas de trabajo que sean más sostenibles (Silvius &amp; Schipper, 2014).</w:t>
      </w:r>
    </w:p>
    <w:p w14:paraId="76B818BE" w14:textId="2FC26EB7" w:rsidR="009C1B56" w:rsidRPr="00734D3B" w:rsidRDefault="009C1B56" w:rsidP="009C1B56">
      <w:r w:rsidRPr="00734D3B">
        <w:t xml:space="preserve">Por </w:t>
      </w:r>
      <w:r w:rsidR="00820BB2" w:rsidRPr="00734D3B">
        <w:t>ello</w:t>
      </w:r>
      <w:r w:rsidRPr="00734D3B">
        <w:t>, este proyecto creó una guía de gestión sostenible para contratistas eléctricos que trabajan en centros de datos en Arizona, Estados Unidos. Su meta es aplicar principios de sostenibilidad y desarrollo regenerativo en todas las etapas del proyecto. La guía usa como base el Estándar P5 de Green Project Management (GPM Global, 2021), los Objetivos de Desarrollo Sostenible de la ONU (Naciones Unidas, 2015) y el enfoque del desarrollo regenerativo (Mang &amp; Reed, 2012).</w:t>
      </w:r>
    </w:p>
    <w:p w14:paraId="28FD9437" w14:textId="77777777" w:rsidR="009C1B56" w:rsidRPr="00734D3B" w:rsidRDefault="009C1B56" w:rsidP="009C1B56">
      <w:r w:rsidRPr="00734D3B">
        <w:t>El problema principal es que, aunque en la industria ya se aplican prácticas de ahorro de energía y cumplimiento de normas, aún no se usan métodos que consideren de forma completa el impacto ambiental, social y cultural. La mayoría de los proyectos se enfocan solo en los resultados técnicos y económicos, dejando de lado la sostenibilidad. Esto impide que las empresas tomen decisiones que beneficien también a las personas y al planeta (Porter &amp; Kramer, 2011).</w:t>
      </w:r>
    </w:p>
    <w:p w14:paraId="639744BA" w14:textId="661C2F80" w:rsidR="009C1B56" w:rsidRPr="00734D3B" w:rsidRDefault="009C133C" w:rsidP="009F76E5">
      <w:r w:rsidRPr="00734D3B">
        <w:t xml:space="preserve">La guía propone pasos prácticos para reducir, reutilizar y clasificar los residuos eléctricos durante la construcción, así como lineamientos para mantener buenas prácticas de sostenibilidad durante la operación y el mantenimiento del centro de datos. Además, incluye un sistema de indicadores que permite medir los avances y resultados de forma </w:t>
      </w:r>
      <w:r w:rsidR="009F76E5" w:rsidRPr="00734D3B">
        <w:t>continua. También</w:t>
      </w:r>
      <w:r w:rsidR="009C1B56" w:rsidRPr="00734D3B">
        <w:t xml:space="preserve"> </w:t>
      </w:r>
      <w:r w:rsidR="009C1B56" w:rsidRPr="00734D3B">
        <w:lastRenderedPageBreak/>
        <w:t>muestra que ser sostenible no es solo una obligación, sino una oportunidad para innovar y mejorar el trabajo de los contratistas eléctricos.</w:t>
      </w:r>
    </w:p>
    <w:p w14:paraId="5A85E3AD" w14:textId="61824E41" w:rsidR="00243060" w:rsidRPr="00734D3B" w:rsidRDefault="00FA6D25" w:rsidP="009C1B56">
      <w:r w:rsidRPr="00734D3B">
        <w:t xml:space="preserve">En conclusión, </w:t>
      </w:r>
      <w:r w:rsidR="00243060" w:rsidRPr="00734D3B">
        <w:t>el proyecto busca demostrar que la sostenibilidad puede integrarse de manera real en el trabajo de los contratistas eléctricos, ayudando a proteger el ambiente, mejorar la eficiencia de los proyectos y fortalecer la responsabilidad social en la industria tecnológica.</w:t>
      </w:r>
    </w:p>
    <w:p w14:paraId="79854FCE" w14:textId="2AFB02A4" w:rsidR="00264EEB" w:rsidRPr="00734D3B" w:rsidRDefault="00264EEB" w:rsidP="000A2B76">
      <w:pPr>
        <w:pStyle w:val="Heading2"/>
      </w:pPr>
      <w:bookmarkStart w:id="53" w:name="_Toc221759810"/>
      <w:bookmarkStart w:id="54" w:name="_Toc221368065"/>
      <w:bookmarkStart w:id="55" w:name="_Toc221407340"/>
      <w:bookmarkStart w:id="56" w:name="_Toc305353854"/>
      <w:bookmarkStart w:id="57" w:name="_Toc227936374"/>
      <w:bookmarkStart w:id="58" w:name="_Toc128552731"/>
      <w:bookmarkStart w:id="59" w:name="_Toc128542842"/>
      <w:bookmarkStart w:id="60" w:name="_Toc128544766"/>
      <w:bookmarkStart w:id="61" w:name="_Toc128545223"/>
      <w:bookmarkStart w:id="62" w:name="_Toc128545505"/>
      <w:bookmarkStart w:id="63" w:name="_Toc128543682"/>
      <w:bookmarkStart w:id="64" w:name="_Toc128544070"/>
      <w:bookmarkStart w:id="65" w:name="_Toc128550241"/>
      <w:bookmarkStart w:id="66" w:name="_Toc128550363"/>
      <w:bookmarkStart w:id="67" w:name="_Toc129687588"/>
      <w:bookmarkStart w:id="68" w:name="_Toc130343276"/>
      <w:bookmarkStart w:id="69" w:name="_Toc129077951"/>
      <w:bookmarkStart w:id="70" w:name="_Toc130340802"/>
      <w:bookmarkStart w:id="71" w:name="_Toc130342519"/>
      <w:bookmarkStart w:id="72" w:name="_Toc129762553"/>
      <w:bookmarkStart w:id="73" w:name="_Toc129078481"/>
      <w:bookmarkStart w:id="74" w:name="_Toc130342095"/>
      <w:bookmarkStart w:id="75" w:name="_Toc129078347"/>
      <w:bookmarkStart w:id="76" w:name="_Toc128550548"/>
      <w:bookmarkStart w:id="77" w:name="_Toc128535180"/>
      <w:bookmarkStart w:id="78" w:name="_Toc128550681"/>
      <w:bookmarkStart w:id="79" w:name="_Toc128550815"/>
      <w:bookmarkStart w:id="80" w:name="_Toc128550977"/>
      <w:r w:rsidRPr="00734D3B">
        <w:t>Antecedente</w:t>
      </w:r>
      <w:bookmarkEnd w:id="53"/>
      <w:bookmarkEnd w:id="54"/>
      <w:bookmarkEnd w:id="55"/>
      <w:r w:rsidRPr="00734D3B">
        <w:t>s</w:t>
      </w:r>
      <w:bookmarkEnd w:id="56"/>
      <w:bookmarkEnd w:id="57"/>
    </w:p>
    <w:p w14:paraId="20828AB0" w14:textId="3C0DC4B2" w:rsidR="00481D42" w:rsidRPr="00734D3B" w:rsidRDefault="00481D42" w:rsidP="00481D42">
      <w:r w:rsidRPr="00734D3B">
        <w:t xml:space="preserve">En las últimas décadas, los avances en ciencia y tecnología han cambiado por completo la forma en que las personas </w:t>
      </w:r>
      <w:r w:rsidR="007B2AF0" w:rsidRPr="00734D3B">
        <w:t>viven</w:t>
      </w:r>
      <w:r w:rsidRPr="00734D3B">
        <w:t xml:space="preserve"> </w:t>
      </w:r>
      <w:r w:rsidR="00D572A1" w:rsidRPr="00734D3B">
        <w:t xml:space="preserve">se </w:t>
      </w:r>
      <w:r w:rsidR="002414B7" w:rsidRPr="00734D3B">
        <w:t>desenvuelve</w:t>
      </w:r>
      <w:r w:rsidRPr="00734D3B">
        <w:t xml:space="preserve"> y comparten información. Los centros de datos se han convertido en lugares esenciales para guardar y procesar grandes volúmenes de datos que permiten el funcionamiento de la economía digital. Sin embargo, este rápido crecimiento también ha generado impactos ambientales y sociales importantes. La construcción y operación de estos centros requiere mucha energía, agua y materiales, lo que representa un reto en regiones </w:t>
      </w:r>
      <w:r w:rsidR="00440004" w:rsidRPr="00734D3B">
        <w:t>desiertas</w:t>
      </w:r>
      <w:r w:rsidRPr="00734D3B">
        <w:t xml:space="preserve"> como el suroeste de Estados Unidos, especialmente en el estado de Arizona.</w:t>
      </w:r>
    </w:p>
    <w:p w14:paraId="2161569B" w14:textId="77777777" w:rsidR="00481D42" w:rsidRPr="00734D3B" w:rsidRDefault="00481D42" w:rsidP="00481D42">
      <w:r w:rsidRPr="00734D3B">
        <w:t>Según la Agencia Internacional de Energía, los centros de datos consumen entre el 1.5 % y el 2 % de la electricidad mundial, y este porcentaje podría duplicarse si no se aplican estrategias sostenibles (IEA, 2023). Por eso, gobiernos, empresas tecnológicas y contratistas buscan nuevas formas de construir y operar de manera responsable con el ambiente. Sin embargo, la mayoría de los esfuerzos se ha enfocado en la operación y no tanto en la fase de construcción, donde también se generan emisiones y residuos que afectan el entorno (</w:t>
      </w:r>
      <w:proofErr w:type="spellStart"/>
      <w:r w:rsidRPr="00734D3B">
        <w:t>Raworth</w:t>
      </w:r>
      <w:proofErr w:type="spellEnd"/>
      <w:r w:rsidRPr="00734D3B">
        <w:t>, 2017).</w:t>
      </w:r>
    </w:p>
    <w:p w14:paraId="094AA472" w14:textId="77777777" w:rsidR="00481D42" w:rsidRPr="00734D3B" w:rsidRDefault="00481D42" w:rsidP="00481D42">
      <w:r w:rsidRPr="00734D3B">
        <w:t xml:space="preserve">En los últimos años, se han creado normas y programas internacionales para guiar la sostenibilidad en los proyectos, como los Objetivos de Desarrollo Sostenible (Naciones Unidas, 2015), el Estándar P5 de Green Project Management (GPM Global, 2021) y las certificaciones </w:t>
      </w:r>
      <w:r w:rsidRPr="00734D3B">
        <w:lastRenderedPageBreak/>
        <w:t>LEED para edificios verdes. Aun así, la mayoría de estas guías se concentran en el diseño o en el ahorro de energía, dejando poco espacio para los contratistas eléctricos, que son parte clave durante la construcción.</w:t>
      </w:r>
    </w:p>
    <w:p w14:paraId="2151602B" w14:textId="77777777" w:rsidR="00481D42" w:rsidRPr="00734D3B" w:rsidRDefault="00481D42" w:rsidP="00481D42">
      <w:r w:rsidRPr="00734D3B">
        <w:t>La industria eléctrica ha cambiado mucho. Antes se enfocaba solo en la productividad y los costos, pero ahora busca equilibrar las ganancias con el cuidado del ambiente y el bienestar de las personas (Silvius &amp; Schipper, 2014). En ese sentido, el Estándar P5 ayuda a medir los impactos de los proyectos en cinco áreas: Personas, Planeta, Prosperidad, Gobernanza y Producto (GPM Global, 2021).</w:t>
      </w:r>
    </w:p>
    <w:p w14:paraId="28FED6F3" w14:textId="77777777" w:rsidR="00481D42" w:rsidRPr="00734D3B" w:rsidRDefault="00481D42" w:rsidP="00481D42">
      <w:r w:rsidRPr="00734D3B">
        <w:t>A pesar de los avances, los contratistas eléctricos que trabajan en centros de datos todavía enfrentan dificultades para aplicar la sostenibilidad de manera práctica. Muchos no cuentan con guías claras ni indicadores que les permitan medir su progreso. Esto limita la posibilidad de crear proyectos que no solo reduzcan el daño ambiental, sino que también aporten beneficios a las comunidades donde se desarrollan.</w:t>
      </w:r>
    </w:p>
    <w:p w14:paraId="46DE9034" w14:textId="4793B4C1" w:rsidR="00481D42" w:rsidRPr="00734D3B" w:rsidRDefault="001A14C3" w:rsidP="00481D42">
      <w:r w:rsidRPr="00734D3B">
        <w:t>Por otro lado, el</w:t>
      </w:r>
      <w:r w:rsidR="00F643C3" w:rsidRPr="00734D3B">
        <w:t xml:space="preserve"> </w:t>
      </w:r>
      <w:r w:rsidR="00481D42" w:rsidRPr="00734D3B">
        <w:t>desarrollo regenerativo, planteado por Reed (2007) y Mang &amp; Reed (2012), va más allá de la sostenibilidad tradicional. No busca solo evitar el daño, sino también mejorar los ecosistemas y la calidad de vida. En los proyectos eléctricos, esto significa construir obras que ayuden a restaurar el ambiente, fortalecer a las comunidades y aprender de cada proceso.</w:t>
      </w:r>
    </w:p>
    <w:p w14:paraId="687C8B2E" w14:textId="77777777" w:rsidR="00481D42" w:rsidRPr="00734D3B" w:rsidRDefault="00481D42" w:rsidP="00481D42">
      <w:r w:rsidRPr="00734D3B">
        <w:t>Arizona es un lugar ideal para aplicar este modelo porque concentra muchos centros de datos, pero también enfrenta desafíos como la falta de agua y el aumento de temperaturas (EPA, 2022). Por eso, este proyecto propone una guía práctica para contratistas eléctricos basada en el Estándar P5 y los principios del desarrollo regenerativo. Su objetivo es integrar la sostenibilidad en todas las fases del proyecto, equilibrando los resultados económicos con el bienestar social y el cuidado ambiental.</w:t>
      </w:r>
    </w:p>
    <w:p w14:paraId="028236BC" w14:textId="12E6E502" w:rsidR="007542A4" w:rsidRPr="00734D3B" w:rsidRDefault="00481D42" w:rsidP="00481D42">
      <w:r w:rsidRPr="00734D3B">
        <w:lastRenderedPageBreak/>
        <w:t>Esta propuesta combina buenas prácticas internacionales, teoría actual y experiencia real del sector eléctrico. Más que reducir impactos, busca transformar la manera en que se gestionan los proyectos, impulsando a los contratistas eléctricos como agentes de cambio hacia un desarrollo más consciente, responsable y duradero.</w:t>
      </w:r>
    </w:p>
    <w:p w14:paraId="654CF94D" w14:textId="61DD6B5E" w:rsidR="00264EEB" w:rsidRPr="00734D3B" w:rsidRDefault="00264EEB" w:rsidP="00AC4635">
      <w:pPr>
        <w:pStyle w:val="Heading2"/>
      </w:pPr>
      <w:bookmarkStart w:id="81" w:name="_Toc305353855"/>
      <w:bookmarkStart w:id="82" w:name="_Toc227936375"/>
      <w:r w:rsidRPr="00734D3B">
        <w:t>Problemática</w:t>
      </w:r>
      <w:bookmarkEnd w:id="81"/>
      <w:r w:rsidR="00F62854" w:rsidRPr="00734D3B">
        <w:t xml:space="preserve"> </w:t>
      </w:r>
      <w:r w:rsidR="00ED4235" w:rsidRPr="00734D3B">
        <w:t>u oportunidad</w:t>
      </w:r>
      <w:r w:rsidR="00F62854" w:rsidRPr="00734D3B">
        <w:t xml:space="preserve"> </w:t>
      </w:r>
      <w:r w:rsidR="00B4327D" w:rsidRPr="00734D3B">
        <w:t>organizacional</w:t>
      </w:r>
      <w:bookmarkEnd w:id="82"/>
    </w:p>
    <w:p w14:paraId="46F166C0" w14:textId="77777777" w:rsidR="00CE6FC8" w:rsidRPr="00734D3B" w:rsidRDefault="009D2440" w:rsidP="00CE6FC8">
      <w:r w:rsidRPr="00734D3B">
        <w:t xml:space="preserve">El sector de contratistas eléctricos que ejecutan proyectos de centros de datos en Arizona se enfrenta actualmente a una serie de desafíos </w:t>
      </w:r>
      <w:r w:rsidR="00CE6FC8" w:rsidRPr="00734D3B">
        <w:t>importantes. El principal problema es que no existen métodos claros que integren la sostenibilidad y el desarrollo regenerativo en la forma de planificar, construir y mantener estos proyectos. Esta situación no se limita a una sola empresa, sino que afecta a todo el sector eléctrico especializado en la construcción de centros de datos en la región.</w:t>
      </w:r>
    </w:p>
    <w:p w14:paraId="35FFA187" w14:textId="7FB1E466" w:rsidR="00CE6FC8" w:rsidRPr="00734D3B" w:rsidRDefault="00CE6FC8" w:rsidP="00CE6FC8">
      <w:r w:rsidRPr="00734D3B">
        <w:t xml:space="preserve">En los últimos años, el crecimiento de las grandes empresas tecnológicas ha hecho que aumente la demanda de centros de datos </w:t>
      </w:r>
      <w:r w:rsidR="00EA3443" w:rsidRPr="00734D3B">
        <w:t xml:space="preserve">cada mas </w:t>
      </w:r>
      <w:r w:rsidRPr="00734D3B">
        <w:t xml:space="preserve">más grandes y modernos. Sin embargo, este crecimiento no siempre ha ido acompañado de prácticas sostenibles o de una buena gestión de los impactos ambientales, sociales y económicos. Muchas veces, las empresas se enfocan solo en cumplir con los tiempos, los costos y las metas técnicas, sin tomar en cuenta aspectos como la eficiencia energética, el manejo de residuos </w:t>
      </w:r>
      <w:r w:rsidR="001D07BA" w:rsidRPr="00734D3B">
        <w:t>y</w:t>
      </w:r>
      <w:r w:rsidRPr="00734D3B">
        <w:t xml:space="preserve"> la reducción de emisiones</w:t>
      </w:r>
      <w:r w:rsidR="00070850" w:rsidRPr="00734D3B">
        <w:t xml:space="preserve"> (Silvius &amp; Schipper, 2014).</w:t>
      </w:r>
    </w:p>
    <w:p w14:paraId="2AE4805A" w14:textId="27070C21" w:rsidR="00CE6FC8" w:rsidRPr="00734D3B" w:rsidRDefault="001D07BA" w:rsidP="00CE6FC8">
      <w:r w:rsidRPr="00734D3B">
        <w:t xml:space="preserve">Esta situación se agrava debido a que la </w:t>
      </w:r>
      <w:r w:rsidR="00CE6FC8" w:rsidRPr="00734D3B">
        <w:t>mayoría de los contratistas trabaja</w:t>
      </w:r>
      <w:r w:rsidRPr="00734D3B">
        <w:t>n</w:t>
      </w:r>
      <w:r w:rsidR="00CE6FC8" w:rsidRPr="00734D3B">
        <w:t xml:space="preserve"> bajo modelos de subcontratación, donde la presión por terminar rápido y con bajo costo deja poco espacio para aplicar prácticas </w:t>
      </w:r>
      <w:r w:rsidR="00047927" w:rsidRPr="00734D3B">
        <w:t xml:space="preserve">de mejoras </w:t>
      </w:r>
      <w:r w:rsidR="00CE6FC8" w:rsidRPr="00734D3B">
        <w:t>sostenibles. Esto hace que la responsabilidad ambiental recaiga casi siempre en el cliente principal o en el diseño arquitectónico, mientras que las partes eléctricas del proyecto quedan fuera de este tipo de controles.</w:t>
      </w:r>
    </w:p>
    <w:p w14:paraId="1B1CBB0A" w14:textId="28797394" w:rsidR="00CE6FC8" w:rsidRPr="00734D3B" w:rsidRDefault="00CE6FC8" w:rsidP="00CE6FC8">
      <w:r w:rsidRPr="00734D3B">
        <w:t xml:space="preserve">Durante la construcción, los contratistas </w:t>
      </w:r>
      <w:r w:rsidR="00823224" w:rsidRPr="00734D3B">
        <w:t xml:space="preserve">eléctricos </w:t>
      </w:r>
      <w:r w:rsidRPr="00734D3B">
        <w:t xml:space="preserve">enfrentan problemas con el uso de materiales, la gestión de desechos y el consumo de energía. Sin políticas de reciclaje o </w:t>
      </w:r>
      <w:r w:rsidRPr="00734D3B">
        <w:lastRenderedPageBreak/>
        <w:t>reutilización, muchos materiales como cables, metales o bandejas se desperdician, lo que aumenta los costos y la contaminación. También, el transporte constante de materiales y personal incrementa la huella de carbono del proyecto</w:t>
      </w:r>
      <w:r w:rsidR="00CF7D2F" w:rsidRPr="00734D3B">
        <w:t xml:space="preserve"> (Porter &amp; Kramer, 2011)</w:t>
      </w:r>
      <w:r w:rsidRPr="00734D3B">
        <w:t>.</w:t>
      </w:r>
    </w:p>
    <w:p w14:paraId="384026E8" w14:textId="77777777" w:rsidR="00CE6FC8" w:rsidRPr="00734D3B" w:rsidRDefault="00CE6FC8" w:rsidP="00CE6FC8">
      <w:r w:rsidRPr="00734D3B">
        <w:t>En la etapa de operación y mantenimiento, los problemas continúan. Muchos contratistas no cuentan con guías que los ayuden a aplicar un mantenimiento sostenible, basado en la eficiencia energética o en la reutilización de equipos. Esto reduce las oportunidades de ahorro y limita la capacidad de ofrecer servicios de mayor valor.</w:t>
      </w:r>
    </w:p>
    <w:p w14:paraId="10215592" w14:textId="3A93D6DD" w:rsidR="00CE6FC8" w:rsidRPr="00734D3B" w:rsidRDefault="00CE6FC8" w:rsidP="00CE6FC8">
      <w:r w:rsidRPr="00734D3B">
        <w:t>Las causas de esta situación</w:t>
      </w:r>
      <w:r w:rsidR="00515AB0" w:rsidRPr="00734D3B">
        <w:t xml:space="preserve"> </w:t>
      </w:r>
      <w:r w:rsidR="00814CBB" w:rsidRPr="00734D3B">
        <w:t>lo explican los</w:t>
      </w:r>
      <w:r w:rsidR="00515AB0" w:rsidRPr="00734D3B">
        <w:t xml:space="preserve"> factores estructurales y culturales del sector. En primer lugar, el modelo de gestión mayormente reactivo, orientado a la resolución de problemas técnicos inmediatos, sin planificación a largo plazo. </w:t>
      </w:r>
      <w:r w:rsidR="00675E44" w:rsidRPr="00734D3B">
        <w:t xml:space="preserve">En segundo </w:t>
      </w:r>
      <w:r w:rsidR="00AF758A" w:rsidRPr="00734D3B">
        <w:t>lugar, la</w:t>
      </w:r>
      <w:r w:rsidRPr="00734D3B">
        <w:t xml:space="preserve"> poca integración de normas internacionales como los Objetivos de Desarrollo Sostenible o el Estándar P5, y la escasa capacitación del personal en temas de sostenibilidad. Esto hace que los avances globales en sostenibilidad no se reflejen en las obras locales y que los trabajadores no cuenten con herramientas para aplicar</w:t>
      </w:r>
      <w:r w:rsidR="00F16AF3" w:rsidRPr="00734D3B">
        <w:t xml:space="preserve"> las</w:t>
      </w:r>
      <w:r w:rsidRPr="00734D3B">
        <w:t xml:space="preserve"> prácticas responsables.</w:t>
      </w:r>
    </w:p>
    <w:p w14:paraId="69DC79DC" w14:textId="7FCF93E3" w:rsidR="00CE6FC8" w:rsidRPr="00734D3B" w:rsidRDefault="00CE6FC8" w:rsidP="00CE6FC8">
      <w:r w:rsidRPr="00734D3B">
        <w:t>Las consecuencias son claras</w:t>
      </w:r>
      <w:r w:rsidR="00AF758A" w:rsidRPr="00734D3B">
        <w:t xml:space="preserve"> y palpables</w:t>
      </w:r>
      <w:r w:rsidRPr="00734D3B">
        <w:t>. En lo ambiental, aumenta la contaminación y el uso de agua en un estado como Arizona, que ya sufre escasez hídrica. En lo económico, los proyectos se vuelven menos eficientes y competitivos frente a empresas que ya aplican modelos sostenibles. En lo social, se pierde la oportunidad de capacitar a las comunidades y crear empleos más estables y de mejor calidad.</w:t>
      </w:r>
    </w:p>
    <w:p w14:paraId="4A3BD320" w14:textId="2BCABEA4" w:rsidR="00CE6FC8" w:rsidRPr="00734D3B" w:rsidRDefault="00015D46" w:rsidP="00CE6FC8">
      <w:r w:rsidRPr="00734D3B">
        <w:t xml:space="preserve">En respuesta a este panorama, la presente investigación propone una </w:t>
      </w:r>
      <w:r w:rsidR="00CE6FC8" w:rsidRPr="00734D3B">
        <w:t>guía práctica de gestión sostenible permitiría a los contratistas eléctricos aplicar procesos más eficientes, reducir costos, mejorar su reputación y contribuir al cuidado del medio ambiente. Además, seguir los principios del Estándar P5 y del desarrollo regenerativo ayudaría a medir los resultados y a mostrar los beneficios sociales y ambientales del trabajo realizado.</w:t>
      </w:r>
    </w:p>
    <w:p w14:paraId="741F432C" w14:textId="14E8F1F2" w:rsidR="00CE6FC8" w:rsidRPr="00734D3B" w:rsidRDefault="00263224" w:rsidP="00CE6FC8">
      <w:r w:rsidRPr="00734D3B">
        <w:lastRenderedPageBreak/>
        <w:t>En síntesis,</w:t>
      </w:r>
      <w:r w:rsidR="00CE6FC8" w:rsidRPr="00734D3B">
        <w:t xml:space="preserve"> este problema afecta a todo el sector de contratistas eléctricos en Arizona, que necesita herramientas sencillas, claras y medibles para incluir la sostenibilidad en sus proyectos. La guía metodológica propuesta busca llenar ese vacío, ayudando a que el sector avance hacia una forma de trabajo más responsable, eficiente y regenerativa.</w:t>
      </w:r>
    </w:p>
    <w:p w14:paraId="3ABB7EA9" w14:textId="71405E08" w:rsidR="00264EEB" w:rsidRPr="00734D3B" w:rsidRDefault="00264EEB" w:rsidP="00AC4635">
      <w:pPr>
        <w:pStyle w:val="Heading2"/>
      </w:pPr>
      <w:bookmarkStart w:id="83" w:name="_Toc221407342"/>
      <w:bookmarkStart w:id="84" w:name="_Toc221368067"/>
      <w:bookmarkStart w:id="85" w:name="_Toc221759812"/>
      <w:bookmarkStart w:id="86" w:name="_Toc305353856"/>
      <w:bookmarkStart w:id="87" w:name="_Toc227936376"/>
      <w:r w:rsidRPr="00734D3B">
        <w:t xml:space="preserve">Justificación del </w:t>
      </w:r>
      <w:bookmarkEnd w:id="83"/>
      <w:bookmarkEnd w:id="84"/>
      <w:bookmarkEnd w:id="85"/>
      <w:bookmarkEnd w:id="86"/>
      <w:r w:rsidRPr="00734D3B">
        <w:t>proyecto</w:t>
      </w:r>
      <w:bookmarkEnd w:id="87"/>
    </w:p>
    <w:p w14:paraId="30B0BC8A" w14:textId="52DD1225" w:rsidR="00D80533" w:rsidRPr="00734D3B" w:rsidRDefault="00495A6F" w:rsidP="00D80533">
      <w:r w:rsidRPr="00734D3B">
        <w:t>El presente proyecto se justifica en la necesidad urgente de fortalecer la sostenibilidad en la industria de la construcción eléctrica especializada en centros de datos, particularmente en el contexto de Arizona, Estados Unidos</w:t>
      </w:r>
      <w:r w:rsidR="007255D2" w:rsidRPr="00734D3B">
        <w:t xml:space="preserve">. </w:t>
      </w:r>
      <w:r w:rsidR="008E3DDA" w:rsidRPr="00734D3B">
        <w:t>En este estado, la industria está creciendo muy rápido, pero también enfrenta grandes retos, como el uso excesivo de energía y agua, las emisiones de gases contaminantes y la presión social por construir de manera más limpia y justa. Por eso, se propone crear una guía práctica que ayude a los contratistas eléctricos a aplicar buenas prácticas, cumplir con las normas y generar beneficios que mejoren tanto el entorno natural como la calidad de vida de las personas.</w:t>
      </w:r>
    </w:p>
    <w:p w14:paraId="42100379" w14:textId="02C72B5A" w:rsidR="008E3DDA" w:rsidRPr="00734D3B" w:rsidRDefault="008E3DDA" w:rsidP="00D80533">
      <w:r w:rsidRPr="00734D3B">
        <w:t>Desde el punto de vista académico, este trabajo combina distintos modelos internacionales de sostenibilidad, como los Objetivos de Desarrollo Sostenible (ODS), el Estándar P5 de Green Project Management (GPM Global, 2021) y el enfoque del desarrollo regenerativo. La idea es llevar esos principios a la práctica dentro de los proyectos eléctricos, mostrando cómo pueden aplicarse en la planificación, construcción y mantenimiento. Esto aporta conocimiento útil y ayuda a que la sostenibilidad sea parte de todo el proceso, no solo un requisito adicional.</w:t>
      </w:r>
    </w:p>
    <w:p w14:paraId="79CBCECA" w14:textId="77777777" w:rsidR="00866C37" w:rsidRPr="00734D3B" w:rsidRDefault="00866C37" w:rsidP="00866C37">
      <w:r w:rsidRPr="00734D3B">
        <w:t xml:space="preserve">Desde el aspecto técnico, la guía se apoya en los principios del PMBOK (2021), que destaca la importancia de generar valor a lo largo de todo el proyecto. En el sector eléctrico, normalmente se mide solo el cumplimiento de plazos, costos y seguridad, pero no el impacto ambiental o social. Este proyecto propone usar herramientas digitales como </w:t>
      </w:r>
      <w:proofErr w:type="spellStart"/>
      <w:r w:rsidRPr="00734D3B">
        <w:t>Procore</w:t>
      </w:r>
      <w:proofErr w:type="spellEnd"/>
      <w:r w:rsidRPr="00734D3B">
        <w:t xml:space="preserve">, BIM 360 o </w:t>
      </w:r>
      <w:r w:rsidRPr="00734D3B">
        <w:lastRenderedPageBreak/>
        <w:t>CX Alloy para registrar información sobre energía, materiales, seguridad y sostenibilidad. Así se pueden tomar decisiones más informadas y mejorar los resultados.</w:t>
      </w:r>
    </w:p>
    <w:p w14:paraId="1AC92058" w14:textId="77777777" w:rsidR="00866C37" w:rsidRPr="00734D3B" w:rsidRDefault="00866C37" w:rsidP="00866C37">
      <w:r w:rsidRPr="00734D3B">
        <w:t>Desde el punto de vista económico, aplicar prácticas sostenibles no solo ayuda al ambiente, sino que también puede reducir costos y aumentar la eficiencia. Reutilizar materiales, optimizar rutas de transporte, usar energía de forma eficiente y gestionar mejor los residuos puede generar ahorros de hasta un 15 % en los proyectos. Además, el uso de materiales reciclados y el mantenimiento preventivo permite que los equipos duren más tiempo, reduciendo los gastos en reemplazos.</w:t>
      </w:r>
    </w:p>
    <w:p w14:paraId="30EAA311" w14:textId="77777777" w:rsidR="00866C37" w:rsidRPr="00734D3B" w:rsidRDefault="00866C37" w:rsidP="00866C37">
      <w:r w:rsidRPr="00734D3B">
        <w:t>En el aspecto social, el proyecto busca generar beneficios para las comunidades locales mediante la creación de empleos técnicos, la capacitación en sostenibilidad y una mejor relación entre las empresas y su entorno. También promueve una cultura más ética y responsable, donde todos los trabajadores valoren la seguridad y el respeto por el medio ambiente.</w:t>
      </w:r>
    </w:p>
    <w:p w14:paraId="4023BD12" w14:textId="77777777" w:rsidR="000A7847" w:rsidRPr="00734D3B" w:rsidRDefault="000A7847" w:rsidP="000A7847">
      <w:r w:rsidRPr="00734D3B">
        <w:t>El proyecto también se apoya en la idea del PMI (2021) sobre la creación de valor, que combina beneficios económicos, sociales y ambientales. En este caso, el valor se refleja en que los contratistas eléctricos puedan cambiar su forma de trabajar hacia un modelo más sostenible, eficiente y regenerativo.</w:t>
      </w:r>
    </w:p>
    <w:p w14:paraId="0CE7ED1E" w14:textId="77777777" w:rsidR="00FA60FD" w:rsidRPr="00734D3B" w:rsidRDefault="00FA60FD" w:rsidP="00F8534B">
      <w:r w:rsidRPr="00734D3B">
        <w:t>Los beneficios esperados de implementar la guía metodológica se resumen en los siguientes puntos:</w:t>
      </w:r>
    </w:p>
    <w:p w14:paraId="49941B4F" w14:textId="77777777" w:rsidR="00E11F2D" w:rsidRPr="00734D3B" w:rsidRDefault="000A7847" w:rsidP="001D692F">
      <w:pPr>
        <w:pStyle w:val="ListParagraph"/>
        <w:numPr>
          <w:ilvl w:val="0"/>
          <w:numId w:val="29"/>
        </w:numPr>
      </w:pPr>
      <w:r w:rsidRPr="00734D3B">
        <w:t>Mejora de la eficiencia y reducción de costos mediante el uso racional de materiales, energía y agua.</w:t>
      </w:r>
    </w:p>
    <w:p w14:paraId="23E700C6" w14:textId="77777777" w:rsidR="00E11F2D" w:rsidRPr="00734D3B" w:rsidRDefault="000A7847" w:rsidP="001D692F">
      <w:pPr>
        <w:pStyle w:val="ListParagraph"/>
        <w:numPr>
          <w:ilvl w:val="0"/>
          <w:numId w:val="29"/>
        </w:numPr>
      </w:pPr>
      <w:r w:rsidRPr="00734D3B">
        <w:t>Cumplimiento de normas ambientales y de seguridad, reduciendo riesgos y sanciones.</w:t>
      </w:r>
      <w:r w:rsidRPr="00734D3B">
        <w:br/>
        <w:t>Mayor competitividad en licitaciones que exigen criterios de sostenibilidad.</w:t>
      </w:r>
    </w:p>
    <w:p w14:paraId="740E8B66" w14:textId="77777777" w:rsidR="003B30ED" w:rsidRPr="00734D3B" w:rsidRDefault="000A7847" w:rsidP="001D692F">
      <w:pPr>
        <w:pStyle w:val="ListParagraph"/>
        <w:numPr>
          <w:ilvl w:val="0"/>
          <w:numId w:val="29"/>
        </w:numPr>
      </w:pPr>
      <w:r w:rsidRPr="00734D3B">
        <w:t>Fortalecimiento de la cultura de sostenibilidad y liderazgo ético en las empresas eléctricas.</w:t>
      </w:r>
    </w:p>
    <w:p w14:paraId="75E8699B" w14:textId="77777777" w:rsidR="003B30ED" w:rsidRPr="00734D3B" w:rsidRDefault="000A7847" w:rsidP="001D692F">
      <w:pPr>
        <w:pStyle w:val="ListParagraph"/>
        <w:numPr>
          <w:ilvl w:val="0"/>
          <w:numId w:val="29"/>
        </w:numPr>
      </w:pPr>
      <w:r w:rsidRPr="00734D3B">
        <w:lastRenderedPageBreak/>
        <w:t>Creación de indicadores claros para medir la sostenibilidad, alineados con el Estándar P5 y los ODS.</w:t>
      </w:r>
    </w:p>
    <w:p w14:paraId="32DCFF73" w14:textId="77777777" w:rsidR="003B30ED" w:rsidRPr="00734D3B" w:rsidRDefault="000A7847" w:rsidP="001D692F">
      <w:pPr>
        <w:pStyle w:val="ListParagraph"/>
        <w:numPr>
          <w:ilvl w:val="0"/>
          <w:numId w:val="29"/>
        </w:numPr>
      </w:pPr>
      <w:r w:rsidRPr="00734D3B">
        <w:t>Reducción de la huella de carbono mediante transporte eficiente, uso de energías renovables y reciclaje.</w:t>
      </w:r>
    </w:p>
    <w:p w14:paraId="7F5A6DE9" w14:textId="77777777" w:rsidR="003B30ED" w:rsidRPr="00734D3B" w:rsidRDefault="000A7847" w:rsidP="001D692F">
      <w:pPr>
        <w:pStyle w:val="ListParagraph"/>
        <w:numPr>
          <w:ilvl w:val="0"/>
          <w:numId w:val="29"/>
        </w:numPr>
      </w:pPr>
      <w:r w:rsidRPr="00734D3B">
        <w:t>Aumento de la rentabilidad gracias a contratos de mantenimiento sostenible.</w:t>
      </w:r>
    </w:p>
    <w:p w14:paraId="55A96CFD" w14:textId="77777777" w:rsidR="003B30ED" w:rsidRPr="00734D3B" w:rsidRDefault="000A7847" w:rsidP="001D692F">
      <w:pPr>
        <w:pStyle w:val="ListParagraph"/>
        <w:numPr>
          <w:ilvl w:val="0"/>
          <w:numId w:val="29"/>
        </w:numPr>
      </w:pPr>
      <w:r w:rsidRPr="00734D3B">
        <w:t>Generación de empleo calificado y programas de formación técnica.</w:t>
      </w:r>
    </w:p>
    <w:p w14:paraId="71CEF2FA" w14:textId="77777777" w:rsidR="003B30ED" w:rsidRPr="00734D3B" w:rsidRDefault="000A7847" w:rsidP="001D692F">
      <w:pPr>
        <w:pStyle w:val="ListParagraph"/>
        <w:numPr>
          <w:ilvl w:val="0"/>
          <w:numId w:val="29"/>
        </w:numPr>
      </w:pPr>
      <w:r w:rsidRPr="00734D3B">
        <w:t>Posicionamiento del sector eléctrico de Arizona como un ejemplo de innovación y responsabilidad ambiental.</w:t>
      </w:r>
    </w:p>
    <w:p w14:paraId="7FB180F3" w14:textId="2B4C5C87" w:rsidR="000A7847" w:rsidRPr="00734D3B" w:rsidRDefault="000A7847" w:rsidP="001D692F">
      <w:pPr>
        <w:pStyle w:val="ListParagraph"/>
        <w:numPr>
          <w:ilvl w:val="0"/>
          <w:numId w:val="29"/>
        </w:numPr>
      </w:pPr>
      <w:r w:rsidRPr="00734D3B">
        <w:t>Contribución al cumplimiento de los compromisos internacionales de descarbonización y regeneración ambiental.</w:t>
      </w:r>
    </w:p>
    <w:p w14:paraId="18EE7758" w14:textId="0344DF6F" w:rsidR="00B4722C" w:rsidRPr="00734D3B" w:rsidRDefault="00B4722C" w:rsidP="000A7847">
      <w:r w:rsidRPr="00734D3B">
        <w:t>En términos de valor cuantificable, la aplicación de la guía metodológica permitiría:</w:t>
      </w:r>
    </w:p>
    <w:p w14:paraId="37211E3D" w14:textId="77777777" w:rsidR="00B4722C" w:rsidRPr="00734D3B" w:rsidRDefault="000A7847" w:rsidP="001D692F">
      <w:pPr>
        <w:pStyle w:val="ListParagraph"/>
        <w:numPr>
          <w:ilvl w:val="0"/>
          <w:numId w:val="30"/>
        </w:numPr>
      </w:pPr>
      <w:r w:rsidRPr="00734D3B">
        <w:t>Una reducción del 10 % al 15 % en el consumo energético durante la construcción y mantenimiento.</w:t>
      </w:r>
    </w:p>
    <w:p w14:paraId="4C3B3A0E" w14:textId="77777777" w:rsidR="00B4722C" w:rsidRPr="00734D3B" w:rsidRDefault="000A7847" w:rsidP="001D692F">
      <w:pPr>
        <w:pStyle w:val="ListParagraph"/>
        <w:numPr>
          <w:ilvl w:val="0"/>
          <w:numId w:val="30"/>
        </w:numPr>
      </w:pPr>
      <w:r w:rsidRPr="00734D3B">
        <w:t>Un ahorro del 8 % al 12 % en materiales eléctricos gracias al reciclaje y la reutilización.</w:t>
      </w:r>
    </w:p>
    <w:p w14:paraId="023D6F1E" w14:textId="77777777" w:rsidR="00B4722C" w:rsidRPr="00734D3B" w:rsidRDefault="000A7847" w:rsidP="001D692F">
      <w:pPr>
        <w:pStyle w:val="ListParagraph"/>
        <w:numPr>
          <w:ilvl w:val="0"/>
          <w:numId w:val="30"/>
        </w:numPr>
      </w:pPr>
      <w:r w:rsidRPr="00734D3B">
        <w:t>Una disminución del 20 % en los residuos enviados a vertederos mediante prácticas de economía circular.</w:t>
      </w:r>
    </w:p>
    <w:p w14:paraId="20B1D6BD" w14:textId="4C1FFD18" w:rsidR="000A7847" w:rsidRPr="00734D3B" w:rsidRDefault="000A7847" w:rsidP="001D692F">
      <w:pPr>
        <w:pStyle w:val="ListParagraph"/>
        <w:numPr>
          <w:ilvl w:val="0"/>
          <w:numId w:val="30"/>
        </w:numPr>
      </w:pPr>
      <w:r w:rsidRPr="00734D3B">
        <w:t>Una reducción del 5 % al 10 % en las emisiones de gases de efecto invernadero.</w:t>
      </w:r>
    </w:p>
    <w:p w14:paraId="277B0A49" w14:textId="335BF092" w:rsidR="00FE32B0" w:rsidRPr="00734D3B" w:rsidRDefault="00FE32B0" w:rsidP="00FE32B0">
      <w:r w:rsidRPr="00734D3B">
        <w:t xml:space="preserve">La importancia de esta propuesta radica en que la sostenibilidad ya no se ve solo como una obligación con el ambiente, sino como una oportunidad para que las empresas sean más competitivas y fuertes. Según Porter y Kramer (2011), las empresas que crean valor compartido logran beneficios tanto para la sociedad como para ellas mismas. Por eso, aplicar la guía metodológica permitirá que los contratistas eléctricos se conviertan en parte importante del cambio hacia una construcción </w:t>
      </w:r>
      <w:r w:rsidR="00D158B0" w:rsidRPr="00734D3B">
        <w:t xml:space="preserve">eléctrica </w:t>
      </w:r>
      <w:r w:rsidRPr="00734D3B">
        <w:t xml:space="preserve">más responsable, eficiente y que </w:t>
      </w:r>
      <w:r w:rsidR="00D158B0" w:rsidRPr="00734D3B">
        <w:t>aporte</w:t>
      </w:r>
      <w:r w:rsidRPr="00734D3B">
        <w:t xml:space="preserve"> al planeta.</w:t>
      </w:r>
    </w:p>
    <w:p w14:paraId="364648FE" w14:textId="31D28F4B" w:rsidR="00FE32B0" w:rsidRPr="00734D3B" w:rsidRDefault="00FE32B0" w:rsidP="00FE32B0">
      <w:r w:rsidRPr="00734D3B">
        <w:t xml:space="preserve">En </w:t>
      </w:r>
      <w:r w:rsidR="00D158B0" w:rsidRPr="00734D3B">
        <w:t xml:space="preserve">general, el </w:t>
      </w:r>
      <w:r w:rsidRPr="00734D3B">
        <w:t xml:space="preserve">proyecto se justifica por razones académicas, técnicas, económicas y sociales que tienen un mismo objetivo: transformar el trabajo del sector eléctrico en Arizona </w:t>
      </w:r>
      <w:r w:rsidRPr="00734D3B">
        <w:lastRenderedPageBreak/>
        <w:t xml:space="preserve">hacia un modelo más sostenible y regenerativo. La propuesta no solo ofrece una solución práctica, sino también una guía que puede aplicarse en otros proyectos, ayudando a unir el valor económico </w:t>
      </w:r>
      <w:r w:rsidR="00D158B0" w:rsidRPr="00734D3B">
        <w:t>sin descuidar</w:t>
      </w:r>
      <w:r w:rsidRPr="00734D3B">
        <w:t xml:space="preserve"> el cuidado del ambiente</w:t>
      </w:r>
      <w:r w:rsidR="00D158B0" w:rsidRPr="00734D3B">
        <w:t>.</w:t>
      </w:r>
    </w:p>
    <w:p w14:paraId="2803B816" w14:textId="7B147210" w:rsidR="00264EEB" w:rsidRPr="00734D3B" w:rsidRDefault="00264EEB" w:rsidP="00AC4635">
      <w:pPr>
        <w:pStyle w:val="Heading2"/>
      </w:pPr>
      <w:bookmarkStart w:id="88" w:name="_Toc221368068"/>
      <w:bookmarkStart w:id="89" w:name="_Toc221759813"/>
      <w:bookmarkStart w:id="90" w:name="_Toc305353859"/>
      <w:bookmarkStart w:id="91" w:name="_Toc221407343"/>
      <w:bookmarkStart w:id="92" w:name="_Toc227936377"/>
      <w:r w:rsidRPr="00734D3B">
        <w:t>Objetivo general</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8"/>
      <w:bookmarkEnd w:id="89"/>
      <w:bookmarkEnd w:id="90"/>
      <w:bookmarkEnd w:id="91"/>
      <w:bookmarkEnd w:id="92"/>
    </w:p>
    <w:p w14:paraId="4EAE90AB" w14:textId="246A8C87" w:rsidR="002401A0" w:rsidRPr="00734D3B" w:rsidRDefault="002401A0" w:rsidP="002401A0">
      <w:r w:rsidRPr="00734D3B">
        <w:t>Diseñar una guía metodológica de gestión sostenible dirigida a contratistas eléctricos que ejecutan proyectos de centros de datos en Arizona, Estados Unidos, para optimizar el manejo de residuos y reducir los impactos ambientales asociados a la construcción, según las buenas prácticas internacionales en gestión de proyectos sostenibles.</w:t>
      </w:r>
    </w:p>
    <w:p w14:paraId="36796DEC" w14:textId="368EB15E" w:rsidR="00264EEB" w:rsidRPr="00734D3B" w:rsidRDefault="00264EEB" w:rsidP="00AC4635">
      <w:pPr>
        <w:pStyle w:val="Heading2"/>
      </w:pPr>
      <w:bookmarkStart w:id="93" w:name="_Toc221368069"/>
      <w:bookmarkStart w:id="94" w:name="_Toc221407344"/>
      <w:bookmarkStart w:id="95" w:name="_Toc221759814"/>
      <w:bookmarkStart w:id="96" w:name="_Toc305353860"/>
      <w:bookmarkStart w:id="97" w:name="_Toc227936378"/>
      <w:r w:rsidRPr="00734D3B">
        <w:t>Objetivos específicos</w:t>
      </w:r>
      <w:bookmarkEnd w:id="93"/>
      <w:bookmarkEnd w:id="94"/>
      <w:bookmarkEnd w:id="95"/>
      <w:bookmarkEnd w:id="96"/>
      <w:bookmarkEnd w:id="97"/>
    </w:p>
    <w:p w14:paraId="2CFCA73D" w14:textId="77777777" w:rsidR="003A3F41" w:rsidRPr="00734D3B" w:rsidRDefault="003A3F41" w:rsidP="001D692F">
      <w:pPr>
        <w:pStyle w:val="ListParagraph"/>
        <w:numPr>
          <w:ilvl w:val="0"/>
          <w:numId w:val="28"/>
        </w:numPr>
      </w:pPr>
      <w:r w:rsidRPr="00734D3B">
        <w:t>Diagnosticar el estado actual de las prácticas de sostenibilidad y gestión de residuos aplicadas por contratistas eléctricos en proyectos de centros de datos en Arizona, Estados Unidos, para identificar brechas y oportunidades de mejora.</w:t>
      </w:r>
    </w:p>
    <w:p w14:paraId="2720856B" w14:textId="77777777" w:rsidR="003A3F41" w:rsidRPr="00734D3B" w:rsidRDefault="003A3F41" w:rsidP="001D692F">
      <w:pPr>
        <w:pStyle w:val="ListParagraph"/>
        <w:numPr>
          <w:ilvl w:val="0"/>
          <w:numId w:val="28"/>
        </w:numPr>
      </w:pPr>
      <w:r w:rsidRPr="00734D3B">
        <w:t>Analizar marcos normativos y buenas prácticas internacionales y regionales aplicables a la gestión ambiental en proyectos eléctricos, para fundamentar el diseño de la guía metodológica.</w:t>
      </w:r>
    </w:p>
    <w:p w14:paraId="2F84D17C" w14:textId="77777777" w:rsidR="003A3F41" w:rsidRPr="00734D3B" w:rsidRDefault="003A3F41" w:rsidP="001D692F">
      <w:pPr>
        <w:pStyle w:val="ListParagraph"/>
        <w:numPr>
          <w:ilvl w:val="0"/>
          <w:numId w:val="28"/>
        </w:numPr>
      </w:pPr>
      <w:r w:rsidRPr="00734D3B">
        <w:t>Diseñar lineamientos y procedimientos prácticos para la reducción, segregación, reutilización y disposición adecuada de residuos eléctricos en proyectos de construcción de centros de datos, que orienten la gestión sostenible de los contratistas eléctricos.</w:t>
      </w:r>
    </w:p>
    <w:p w14:paraId="5F306039" w14:textId="6D129EAB" w:rsidR="002401A0" w:rsidRPr="00734D3B" w:rsidRDefault="003A3F41" w:rsidP="001D692F">
      <w:pPr>
        <w:pStyle w:val="ListParagraph"/>
        <w:numPr>
          <w:ilvl w:val="0"/>
          <w:numId w:val="28"/>
        </w:numPr>
      </w:pPr>
      <w:r w:rsidRPr="00734D3B">
        <w:t>Diseñar y estructurar una guía metodológica que integre el diagnóstico, las buenas prácticas, los lineamientos operativos y un sistema de indicadores de desempeño ambiental, de forma que sea replicable y factible de implementar en proyectos eléctricos de centros de datos en Arizona, Estados Unidos.</w:t>
      </w:r>
    </w:p>
    <w:p w14:paraId="68577D6B" w14:textId="77777777" w:rsidR="00264EEB" w:rsidRPr="00734D3B" w:rsidRDefault="00264EEB" w:rsidP="000A2B76">
      <w:pPr>
        <w:pStyle w:val="Heading1"/>
      </w:pPr>
      <w:bookmarkStart w:id="98" w:name="_Toc211465601"/>
      <w:bookmarkStart w:id="99" w:name="_Toc227936379"/>
      <w:r w:rsidRPr="00734D3B">
        <w:lastRenderedPageBreak/>
        <w:t>Marco teórico</w:t>
      </w:r>
      <w:bookmarkEnd w:id="98"/>
      <w:bookmarkEnd w:id="99"/>
    </w:p>
    <w:p w14:paraId="0D4145E7" w14:textId="77777777" w:rsidR="001C709A" w:rsidRPr="00734D3B" w:rsidRDefault="007C1558" w:rsidP="006756C0">
      <w:pPr>
        <w:ind w:firstLine="706"/>
        <w:contextualSpacing/>
        <w:rPr>
          <w:rFonts w:cs="Arial"/>
        </w:rPr>
      </w:pPr>
      <w:bookmarkStart w:id="100" w:name="_Toc221407346"/>
      <w:bookmarkStart w:id="101" w:name="_Toc221368071"/>
      <w:bookmarkStart w:id="102" w:name="_Toc221759816"/>
      <w:bookmarkStart w:id="103" w:name="_Toc354770518"/>
      <w:r w:rsidRPr="00734D3B">
        <w:rPr>
          <w:rFonts w:cs="Arial"/>
        </w:rPr>
        <w:t xml:space="preserve">El presente capítulo tiene como propósito ofrecer el sustento conceptual que da sentido al desarrollo del Proyecto Final de Graduación. En él se profundiza en los fundamentos teóricos relacionados con la sostenibilidad aplicada al sector de la construcción </w:t>
      </w:r>
      <w:r w:rsidR="003A4EF4" w:rsidRPr="00734D3B">
        <w:rPr>
          <w:rFonts w:cs="Arial"/>
        </w:rPr>
        <w:t>eléctrica</w:t>
      </w:r>
      <w:r w:rsidRPr="00734D3B">
        <w:rPr>
          <w:rFonts w:cs="Arial"/>
        </w:rPr>
        <w:t>, la gestión ambiental de los residuos y los marcos normativos tanto internacionales como nacionales. Además, se incluyen los principios esenciales de la gestión de proyectos que permiten integrar estos temas en una guía metodológica práctica dirigida a contratistas eléctricos.</w:t>
      </w:r>
    </w:p>
    <w:p w14:paraId="38CB74FA" w14:textId="1B7FB4A1" w:rsidR="007C1558" w:rsidRPr="00734D3B" w:rsidRDefault="007C1558" w:rsidP="006756C0">
      <w:pPr>
        <w:ind w:firstLine="706"/>
        <w:contextualSpacing/>
        <w:rPr>
          <w:rFonts w:cs="Arial"/>
        </w:rPr>
      </w:pPr>
      <w:r w:rsidRPr="00734D3B">
        <w:rPr>
          <w:rFonts w:cs="Arial"/>
        </w:rPr>
        <w:t xml:space="preserve">El marco teórico pretende mostrar la conexión existente entre la gestión sostenible de proyectos y las operaciones propias de la industria de los centros de datos. Este sector se caracteriza por su elevada demanda energética, el uso constante de materiales eléctricos y la generación de desechos provenientes de los procesos de instalación, mantenimiento y modernización (Núñez-Morales, 2025). A partir de la revisión bibliográfica, se busca identificar los conceptos, enfoques y estándares que faciliten la justificación </w:t>
      </w:r>
      <w:r w:rsidR="003A4EF4" w:rsidRPr="00734D3B">
        <w:rPr>
          <w:rFonts w:cs="Arial"/>
        </w:rPr>
        <w:t>para</w:t>
      </w:r>
      <w:r w:rsidRPr="00734D3B">
        <w:rPr>
          <w:rFonts w:cs="Arial"/>
        </w:rPr>
        <w:t xml:space="preserve"> la incorporación de indicadores ambientales y de estrategias enfocadas en reducir, reutilizar y reciclar los materiales eléctricos durante todo el ciclo de vida de los proyectos</w:t>
      </w:r>
      <w:r w:rsidR="007E2B11" w:rsidRPr="00734D3B">
        <w:rPr>
          <w:rFonts w:cs="Arial"/>
        </w:rPr>
        <w:t xml:space="preserve"> constructivos</w:t>
      </w:r>
      <w:r w:rsidRPr="00734D3B">
        <w:rPr>
          <w:rFonts w:cs="Arial"/>
        </w:rPr>
        <w:t>.</w:t>
      </w:r>
    </w:p>
    <w:p w14:paraId="705374F5" w14:textId="0A13C8D3" w:rsidR="007C1558" w:rsidRPr="00734D3B" w:rsidRDefault="007C1558" w:rsidP="006756C0">
      <w:pPr>
        <w:ind w:firstLine="706"/>
        <w:contextualSpacing/>
        <w:rPr>
          <w:rFonts w:cs="Arial"/>
        </w:rPr>
      </w:pPr>
      <w:r w:rsidRPr="00734D3B">
        <w:rPr>
          <w:rFonts w:cs="Arial"/>
        </w:rPr>
        <w:t xml:space="preserve">Igualmente, se examinan las recomendaciones de entidades como la U.S. </w:t>
      </w:r>
      <w:proofErr w:type="spellStart"/>
      <w:r w:rsidRPr="00734D3B">
        <w:rPr>
          <w:rFonts w:cs="Arial"/>
        </w:rPr>
        <w:t>Environmental</w:t>
      </w:r>
      <w:proofErr w:type="spellEnd"/>
      <w:r w:rsidRPr="00734D3B">
        <w:rPr>
          <w:rFonts w:cs="Arial"/>
        </w:rPr>
        <w:t xml:space="preserve"> </w:t>
      </w:r>
      <w:proofErr w:type="spellStart"/>
      <w:r w:rsidRPr="00734D3B">
        <w:rPr>
          <w:rFonts w:cs="Arial"/>
        </w:rPr>
        <w:t>Protection</w:t>
      </w:r>
      <w:proofErr w:type="spellEnd"/>
      <w:r w:rsidRPr="00734D3B">
        <w:rPr>
          <w:rFonts w:cs="Arial"/>
        </w:rPr>
        <w:t xml:space="preserve"> Agency (EPA, 2025) y el U.S. Green Building Council (USGBC, 2024), cuyas guías establecen jerarquías para el manejo responsable de residuos y parámetros de desempeño ambiental aplicables </w:t>
      </w:r>
      <w:r w:rsidR="00C144CA" w:rsidRPr="00734D3B">
        <w:rPr>
          <w:rFonts w:cs="Arial"/>
        </w:rPr>
        <w:t>en</w:t>
      </w:r>
      <w:r w:rsidRPr="00734D3B">
        <w:rPr>
          <w:rFonts w:cs="Arial"/>
        </w:rPr>
        <w:t xml:space="preserve"> l</w:t>
      </w:r>
      <w:r w:rsidR="00C144CA" w:rsidRPr="00734D3B">
        <w:rPr>
          <w:rFonts w:cs="Arial"/>
        </w:rPr>
        <w:t>os proyectos de</w:t>
      </w:r>
      <w:r w:rsidRPr="00734D3B">
        <w:rPr>
          <w:rFonts w:cs="Arial"/>
        </w:rPr>
        <w:t xml:space="preserve"> construcción sostenible. De </w:t>
      </w:r>
      <w:r w:rsidR="00C144CA" w:rsidRPr="00734D3B">
        <w:rPr>
          <w:rFonts w:cs="Arial"/>
        </w:rPr>
        <w:t>igual manera</w:t>
      </w:r>
      <w:r w:rsidRPr="00734D3B">
        <w:rPr>
          <w:rFonts w:cs="Arial"/>
        </w:rPr>
        <w:t xml:space="preserve">, se analizan normativas </w:t>
      </w:r>
      <w:r w:rsidR="003A4EF4" w:rsidRPr="00734D3B">
        <w:rPr>
          <w:rFonts w:cs="Arial"/>
        </w:rPr>
        <w:t>nacionales;</w:t>
      </w:r>
      <w:r w:rsidRPr="00734D3B">
        <w:rPr>
          <w:rFonts w:cs="Arial"/>
        </w:rPr>
        <w:t xml:space="preserve"> como las disposiciones del Arizona </w:t>
      </w:r>
      <w:proofErr w:type="spellStart"/>
      <w:r w:rsidRPr="00734D3B">
        <w:rPr>
          <w:rFonts w:cs="Arial"/>
        </w:rPr>
        <w:t>Department</w:t>
      </w:r>
      <w:proofErr w:type="spellEnd"/>
      <w:r w:rsidRPr="00734D3B">
        <w:rPr>
          <w:rFonts w:cs="Arial"/>
        </w:rPr>
        <w:t xml:space="preserve"> </w:t>
      </w:r>
      <w:proofErr w:type="spellStart"/>
      <w:r w:rsidRPr="00734D3B">
        <w:rPr>
          <w:rFonts w:cs="Arial"/>
        </w:rPr>
        <w:t>of</w:t>
      </w:r>
      <w:proofErr w:type="spellEnd"/>
      <w:r w:rsidRPr="00734D3B">
        <w:rPr>
          <w:rFonts w:cs="Arial"/>
        </w:rPr>
        <w:t xml:space="preserve"> </w:t>
      </w:r>
      <w:proofErr w:type="spellStart"/>
      <w:r w:rsidRPr="00734D3B">
        <w:rPr>
          <w:rFonts w:cs="Arial"/>
        </w:rPr>
        <w:t>Environmental</w:t>
      </w:r>
      <w:proofErr w:type="spellEnd"/>
      <w:r w:rsidRPr="00734D3B">
        <w:rPr>
          <w:rFonts w:cs="Arial"/>
        </w:rPr>
        <w:t xml:space="preserve"> Quality (ADEQ, 2025) y el código </w:t>
      </w:r>
      <w:proofErr w:type="spellStart"/>
      <w:r w:rsidRPr="00734D3B">
        <w:rPr>
          <w:rFonts w:cs="Arial"/>
        </w:rPr>
        <w:t>CALGreen</w:t>
      </w:r>
      <w:proofErr w:type="spellEnd"/>
      <w:r w:rsidRPr="00734D3B">
        <w:rPr>
          <w:rFonts w:cs="Arial"/>
        </w:rPr>
        <w:t xml:space="preserve"> (2022) del estado de California, lo cual permite contrastar el nivel de avance y la madurez de las políticas ambientales entre distintas </w:t>
      </w:r>
      <w:r w:rsidR="00DF57C2" w:rsidRPr="00734D3B">
        <w:rPr>
          <w:rFonts w:cs="Arial"/>
        </w:rPr>
        <w:t>instituciones</w:t>
      </w:r>
      <w:r w:rsidR="003A4EF4" w:rsidRPr="00734D3B">
        <w:rPr>
          <w:rFonts w:cs="Arial"/>
        </w:rPr>
        <w:t xml:space="preserve"> estatales</w:t>
      </w:r>
      <w:r w:rsidRPr="00734D3B">
        <w:rPr>
          <w:rFonts w:cs="Arial"/>
        </w:rPr>
        <w:t>.</w:t>
      </w:r>
    </w:p>
    <w:p w14:paraId="4CBAC88C" w14:textId="5CA5530A" w:rsidR="007C1558" w:rsidRPr="00734D3B" w:rsidRDefault="007C1558" w:rsidP="00D7259E">
      <w:pPr>
        <w:spacing w:after="200"/>
        <w:rPr>
          <w:rFonts w:cs="Arial"/>
        </w:rPr>
      </w:pPr>
      <w:r w:rsidRPr="00734D3B">
        <w:rPr>
          <w:rFonts w:cs="Arial"/>
        </w:rPr>
        <w:t xml:space="preserve">En resumen, este marco teórico se convierte en el soporte para los conceptos de la guía metodológica propuesta. Su objetivo es garantizar que las recomendaciones y procedimientos </w:t>
      </w:r>
      <w:r w:rsidRPr="00734D3B">
        <w:rPr>
          <w:rFonts w:cs="Arial"/>
        </w:rPr>
        <w:lastRenderedPageBreak/>
        <w:t>planteados estén respaldados por fundamentos técnicos y normativos reconocidos tanto en el ámbito nacional como internacional.</w:t>
      </w:r>
    </w:p>
    <w:p w14:paraId="387F9C6C" w14:textId="30027928" w:rsidR="00264EEB" w:rsidRPr="00734D3B" w:rsidRDefault="00264EEB" w:rsidP="00AC4635">
      <w:pPr>
        <w:ind w:firstLine="706"/>
        <w:rPr>
          <w:b/>
          <w:bCs/>
        </w:rPr>
      </w:pPr>
      <w:r w:rsidRPr="00734D3B">
        <w:rPr>
          <w:b/>
          <w:bCs/>
        </w:rPr>
        <w:t>Marco instituciona</w:t>
      </w:r>
      <w:bookmarkEnd w:id="100"/>
      <w:bookmarkEnd w:id="101"/>
      <w:bookmarkEnd w:id="102"/>
      <w:r w:rsidRPr="00734D3B">
        <w:rPr>
          <w:b/>
          <w:bCs/>
        </w:rPr>
        <w:t>l</w:t>
      </w:r>
      <w:bookmarkStart w:id="104" w:name="_Hlk211078211"/>
      <w:bookmarkEnd w:id="103"/>
    </w:p>
    <w:bookmarkEnd w:id="104"/>
    <w:p w14:paraId="462B035B" w14:textId="7E51B2DD" w:rsidR="00175425" w:rsidRPr="00734D3B" w:rsidRDefault="00175425" w:rsidP="00D7259E">
      <w:pPr>
        <w:ind w:firstLine="706"/>
        <w:contextualSpacing/>
        <w:rPr>
          <w:rFonts w:cs="Arial"/>
        </w:rPr>
      </w:pPr>
      <w:r w:rsidRPr="00734D3B">
        <w:rPr>
          <w:rFonts w:cs="Arial"/>
        </w:rPr>
        <w:t>La sección describe las principales instituciones, organismos y marcos normativos que orientan la gestión sostenible dentro del ámbito de la construcción eléctrica, con especial atención en los proyectos de centros de datos desarrollados en el estado de Arizona en EE. UU. Su propósito es identificar l</w:t>
      </w:r>
      <w:r w:rsidR="00B55CD2" w:rsidRPr="00734D3B">
        <w:rPr>
          <w:rFonts w:cs="Arial"/>
        </w:rPr>
        <w:t>o</w:t>
      </w:r>
      <w:r w:rsidRPr="00734D3B">
        <w:rPr>
          <w:rFonts w:cs="Arial"/>
        </w:rPr>
        <w:t xml:space="preserve">s </w:t>
      </w:r>
      <w:r w:rsidR="00B55CD2" w:rsidRPr="00734D3B">
        <w:rPr>
          <w:rFonts w:cs="Arial"/>
        </w:rPr>
        <w:t>entes</w:t>
      </w:r>
      <w:r w:rsidRPr="00734D3B">
        <w:rPr>
          <w:rFonts w:cs="Arial"/>
        </w:rPr>
        <w:t xml:space="preserve"> nacionales e internacionales que definen políticas, regulaciones y lineamientos técnicos que influyen en la gestión ambiental de los contratistas eléctricos, especialmente en temas como el manejo responsable de residuos y el cumplimiento de los estándares de sostenibilidad.</w:t>
      </w:r>
    </w:p>
    <w:p w14:paraId="7732DBBC" w14:textId="4D7ABDCC" w:rsidR="00175425" w:rsidRPr="00734D3B" w:rsidRDefault="00175425" w:rsidP="00D7259E">
      <w:pPr>
        <w:ind w:firstLine="706"/>
        <w:contextualSpacing/>
        <w:rPr>
          <w:rFonts w:cs="Arial"/>
        </w:rPr>
      </w:pPr>
      <w:r w:rsidRPr="00734D3B">
        <w:rPr>
          <w:rFonts w:cs="Arial"/>
        </w:rPr>
        <w:t xml:space="preserve">En términos internacionales, destacan la U.S. </w:t>
      </w:r>
      <w:proofErr w:type="spellStart"/>
      <w:r w:rsidRPr="00734D3B">
        <w:rPr>
          <w:rFonts w:cs="Arial"/>
        </w:rPr>
        <w:t>Environmental</w:t>
      </w:r>
      <w:proofErr w:type="spellEnd"/>
      <w:r w:rsidRPr="00734D3B">
        <w:rPr>
          <w:rFonts w:cs="Arial"/>
        </w:rPr>
        <w:t xml:space="preserve"> </w:t>
      </w:r>
      <w:proofErr w:type="spellStart"/>
      <w:r w:rsidRPr="00734D3B">
        <w:rPr>
          <w:rFonts w:cs="Arial"/>
        </w:rPr>
        <w:t>Protection</w:t>
      </w:r>
      <w:proofErr w:type="spellEnd"/>
      <w:r w:rsidRPr="00734D3B">
        <w:rPr>
          <w:rFonts w:cs="Arial"/>
        </w:rPr>
        <w:t xml:space="preserve"> Agency (EPA) y el U.S. Green Building Council (USGBC) como referentes importantes en el tema. La EPA enfatizando la gestión de residuos basada en los principios de reducir, reutilizar y reciclar, mientras que el USGBC incorpora estos lineamientos dentro del sistema de certificación LEED v4, ampliamente adoptado por grandes operadores de centros de datos; entre ellos Google, Meta y Microsoft como parte de sus estrategias para minimizar impactos ambientales (U.S. Green Building Council, 2024).</w:t>
      </w:r>
    </w:p>
    <w:p w14:paraId="1AA4CCFF" w14:textId="191D568E" w:rsidR="00175425" w:rsidRPr="00734D3B" w:rsidRDefault="00175425" w:rsidP="00D7259E">
      <w:pPr>
        <w:ind w:firstLine="706"/>
        <w:rPr>
          <w:rFonts w:cs="Arial"/>
        </w:rPr>
      </w:pPr>
      <w:r w:rsidRPr="00734D3B">
        <w:rPr>
          <w:rFonts w:cs="Arial"/>
        </w:rPr>
        <w:t xml:space="preserve">A una escala estatal, el Arizona </w:t>
      </w:r>
      <w:proofErr w:type="spellStart"/>
      <w:r w:rsidRPr="00734D3B">
        <w:rPr>
          <w:rFonts w:cs="Arial"/>
        </w:rPr>
        <w:t>Department</w:t>
      </w:r>
      <w:proofErr w:type="spellEnd"/>
      <w:r w:rsidRPr="00734D3B">
        <w:rPr>
          <w:rFonts w:cs="Arial"/>
        </w:rPr>
        <w:t xml:space="preserve"> </w:t>
      </w:r>
      <w:proofErr w:type="spellStart"/>
      <w:r w:rsidRPr="00734D3B">
        <w:rPr>
          <w:rFonts w:cs="Arial"/>
        </w:rPr>
        <w:t>of</w:t>
      </w:r>
      <w:proofErr w:type="spellEnd"/>
      <w:r w:rsidRPr="00734D3B">
        <w:rPr>
          <w:rFonts w:cs="Arial"/>
        </w:rPr>
        <w:t xml:space="preserve"> </w:t>
      </w:r>
      <w:proofErr w:type="spellStart"/>
      <w:r w:rsidRPr="00734D3B">
        <w:rPr>
          <w:rFonts w:cs="Arial"/>
        </w:rPr>
        <w:t>Environmental</w:t>
      </w:r>
      <w:proofErr w:type="spellEnd"/>
      <w:r w:rsidRPr="00734D3B">
        <w:rPr>
          <w:rFonts w:cs="Arial"/>
        </w:rPr>
        <w:t xml:space="preserve"> Quality (ADEQ) regula varios aspectos del control ambiental durante los periodos de construcción. Entre ellos se incluyen la gestión del polvo, </w:t>
      </w:r>
      <w:r w:rsidR="00493820" w:rsidRPr="00734D3B">
        <w:rPr>
          <w:rFonts w:cs="Arial"/>
        </w:rPr>
        <w:t xml:space="preserve">el desecho </w:t>
      </w:r>
      <w:r w:rsidRPr="00734D3B">
        <w:rPr>
          <w:rFonts w:cs="Arial"/>
        </w:rPr>
        <w:t>adecuad</w:t>
      </w:r>
      <w:r w:rsidR="00493820" w:rsidRPr="00734D3B">
        <w:rPr>
          <w:rFonts w:cs="Arial"/>
        </w:rPr>
        <w:t>o</w:t>
      </w:r>
      <w:r w:rsidRPr="00734D3B">
        <w:rPr>
          <w:rFonts w:cs="Arial"/>
        </w:rPr>
        <w:t xml:space="preserve"> de materiales y la obtención de permisos asociados a procesos de demolición o remodelación (ADEQ, 2025). Estas leyes pretenden </w:t>
      </w:r>
      <w:r w:rsidR="00493820" w:rsidRPr="00734D3B">
        <w:rPr>
          <w:rFonts w:cs="Arial"/>
        </w:rPr>
        <w:t>reforzar</w:t>
      </w:r>
      <w:r w:rsidRPr="00734D3B">
        <w:rPr>
          <w:rFonts w:cs="Arial"/>
        </w:rPr>
        <w:t xml:space="preserve"> el cumplimiento de la legislación ambiental y </w:t>
      </w:r>
      <w:r w:rsidR="00493820" w:rsidRPr="00734D3B">
        <w:rPr>
          <w:rFonts w:cs="Arial"/>
        </w:rPr>
        <w:t>se convierte en</w:t>
      </w:r>
      <w:r w:rsidRPr="00734D3B">
        <w:rPr>
          <w:rFonts w:cs="Arial"/>
        </w:rPr>
        <w:t xml:space="preserve"> la base sobre la cual los contratistas eléctricos deben operar en</w:t>
      </w:r>
      <w:r w:rsidR="00493820" w:rsidRPr="00734D3B">
        <w:rPr>
          <w:rFonts w:cs="Arial"/>
        </w:rPr>
        <w:t xml:space="preserve"> los diferentes</w:t>
      </w:r>
      <w:r w:rsidRPr="00734D3B">
        <w:rPr>
          <w:rFonts w:cs="Arial"/>
        </w:rPr>
        <w:t xml:space="preserve"> proyectos</w:t>
      </w:r>
      <w:r w:rsidR="00493820" w:rsidRPr="00734D3B">
        <w:rPr>
          <w:rFonts w:cs="Arial"/>
        </w:rPr>
        <w:t xml:space="preserve"> dependiendo de la escala de estos</w:t>
      </w:r>
      <w:r w:rsidRPr="00734D3B">
        <w:rPr>
          <w:rFonts w:cs="Arial"/>
        </w:rPr>
        <w:t>.</w:t>
      </w:r>
    </w:p>
    <w:p w14:paraId="549A2039" w14:textId="6BFF7294" w:rsidR="00175425" w:rsidRPr="00734D3B" w:rsidRDefault="00175425" w:rsidP="00D7259E">
      <w:pPr>
        <w:rPr>
          <w:rFonts w:cs="Arial"/>
        </w:rPr>
      </w:pPr>
      <w:r w:rsidRPr="00734D3B">
        <w:rPr>
          <w:rFonts w:cs="Arial"/>
        </w:rPr>
        <w:lastRenderedPageBreak/>
        <w:t xml:space="preserve">Por su parte, el California Building </w:t>
      </w:r>
      <w:proofErr w:type="spellStart"/>
      <w:r w:rsidRPr="00734D3B">
        <w:rPr>
          <w:rFonts w:cs="Arial"/>
        </w:rPr>
        <w:t>Standards</w:t>
      </w:r>
      <w:proofErr w:type="spellEnd"/>
      <w:r w:rsidRPr="00734D3B">
        <w:rPr>
          <w:rFonts w:cs="Arial"/>
        </w:rPr>
        <w:t xml:space="preserve"> </w:t>
      </w:r>
      <w:proofErr w:type="spellStart"/>
      <w:r w:rsidRPr="00734D3B">
        <w:rPr>
          <w:rFonts w:cs="Arial"/>
        </w:rPr>
        <w:t>Commission</w:t>
      </w:r>
      <w:proofErr w:type="spellEnd"/>
      <w:r w:rsidRPr="00734D3B">
        <w:rPr>
          <w:rFonts w:cs="Arial"/>
        </w:rPr>
        <w:t xml:space="preserve">, mediante el </w:t>
      </w:r>
      <w:proofErr w:type="spellStart"/>
      <w:r w:rsidRPr="00734D3B">
        <w:rPr>
          <w:rFonts w:cs="Arial"/>
        </w:rPr>
        <w:t>CALGreen</w:t>
      </w:r>
      <w:proofErr w:type="spellEnd"/>
      <w:r w:rsidRPr="00734D3B">
        <w:rPr>
          <w:rFonts w:cs="Arial"/>
        </w:rPr>
        <w:t xml:space="preserve"> Code (2022), ofrece un modelo </w:t>
      </w:r>
      <w:r w:rsidR="00493820" w:rsidRPr="00734D3B">
        <w:rPr>
          <w:rFonts w:cs="Arial"/>
        </w:rPr>
        <w:t xml:space="preserve">mucho más </w:t>
      </w:r>
      <w:r w:rsidRPr="00734D3B">
        <w:rPr>
          <w:rFonts w:cs="Arial"/>
        </w:rPr>
        <w:t xml:space="preserve">avanzado en materia de sostenibilidad. Este </w:t>
      </w:r>
      <w:r w:rsidR="00493820" w:rsidRPr="00734D3B">
        <w:rPr>
          <w:rFonts w:cs="Arial"/>
        </w:rPr>
        <w:t>guía</w:t>
      </w:r>
      <w:r w:rsidRPr="00734D3B">
        <w:rPr>
          <w:rFonts w:cs="Arial"/>
        </w:rPr>
        <w:t xml:space="preserve"> establece, entre otr</w:t>
      </w:r>
      <w:r w:rsidR="00493820" w:rsidRPr="00734D3B">
        <w:rPr>
          <w:rFonts w:cs="Arial"/>
        </w:rPr>
        <w:t>as cosas</w:t>
      </w:r>
      <w:r w:rsidRPr="00734D3B">
        <w:rPr>
          <w:rFonts w:cs="Arial"/>
        </w:rPr>
        <w:t xml:space="preserve">, que al menos un 65 % de los residuos provenientes de construcción y demolición deben ser desviados de los vertederos. </w:t>
      </w:r>
      <w:r w:rsidR="00493820" w:rsidRPr="00734D3B">
        <w:rPr>
          <w:rFonts w:cs="Arial"/>
        </w:rPr>
        <w:t>Este código</w:t>
      </w:r>
      <w:r w:rsidRPr="00734D3B">
        <w:rPr>
          <w:rFonts w:cs="Arial"/>
        </w:rPr>
        <w:t xml:space="preserve"> sirve como referencia para comparar la madurez de las políticas ambientales de Arizona y </w:t>
      </w:r>
      <w:r w:rsidR="00493820" w:rsidRPr="00734D3B">
        <w:rPr>
          <w:rFonts w:cs="Arial"/>
        </w:rPr>
        <w:t>sostiene</w:t>
      </w:r>
      <w:r w:rsidRPr="00734D3B">
        <w:rPr>
          <w:rFonts w:cs="Arial"/>
        </w:rPr>
        <w:t xml:space="preserve"> la propuesta metodológica que pretende </w:t>
      </w:r>
      <w:r w:rsidR="00493820" w:rsidRPr="00734D3B">
        <w:rPr>
          <w:rFonts w:cs="Arial"/>
        </w:rPr>
        <w:t>robustecer</w:t>
      </w:r>
      <w:r w:rsidRPr="00734D3B">
        <w:rPr>
          <w:rFonts w:cs="Arial"/>
        </w:rPr>
        <w:t xml:space="preserve"> las prácticas sostenibles en el sector eléctrico.</w:t>
      </w:r>
    </w:p>
    <w:p w14:paraId="36D525ED" w14:textId="55474C77" w:rsidR="00175425" w:rsidRPr="00734D3B" w:rsidRDefault="00D7259E" w:rsidP="00D7259E">
      <w:pPr>
        <w:rPr>
          <w:rFonts w:cs="Arial"/>
          <w:b/>
          <w:bCs/>
          <w:szCs w:val="22"/>
        </w:rPr>
      </w:pPr>
      <w:r w:rsidRPr="00734D3B">
        <w:rPr>
          <w:rFonts w:cs="Arial"/>
        </w:rPr>
        <w:t>En resumen, este marco institucional ayuda a reconocer las personas, normas y sistemas</w:t>
      </w:r>
      <w:r w:rsidR="0071696D" w:rsidRPr="00734D3B">
        <w:rPr>
          <w:rFonts w:cs="Arial"/>
        </w:rPr>
        <w:t xml:space="preserve"> políticos</w:t>
      </w:r>
      <w:r w:rsidRPr="00734D3B">
        <w:rPr>
          <w:rFonts w:cs="Arial"/>
        </w:rPr>
        <w:t xml:space="preserve"> que sirven de base para esta guía metodológica. De esta forma, se asegura que el documento esté en línea con las políticas ambientales actuales y con las tendencias globales que buscan que la construcción sea más responsable y cuidadosa con el medio ambiente.</w:t>
      </w:r>
    </w:p>
    <w:p w14:paraId="3A88E8FD" w14:textId="77777777" w:rsidR="00264EEB" w:rsidRPr="00734D3B" w:rsidRDefault="00264EEB" w:rsidP="00AC4635">
      <w:pPr>
        <w:pStyle w:val="Heading3"/>
      </w:pPr>
      <w:bookmarkStart w:id="105" w:name="_Toc221368072"/>
      <w:bookmarkStart w:id="106" w:name="_Toc221407347"/>
      <w:bookmarkStart w:id="107" w:name="_Toc221759817"/>
      <w:bookmarkStart w:id="108" w:name="_Toc227936380"/>
      <w:r w:rsidRPr="00734D3B">
        <w:t>Antecedentes de la institución</w:t>
      </w:r>
      <w:bookmarkEnd w:id="105"/>
      <w:bookmarkEnd w:id="106"/>
      <w:bookmarkEnd w:id="107"/>
      <w:bookmarkEnd w:id="108"/>
    </w:p>
    <w:p w14:paraId="315F059B" w14:textId="6FC0A220" w:rsidR="00264EEB" w:rsidRPr="00734D3B" w:rsidRDefault="00283E4F" w:rsidP="00D7259E">
      <w:pPr>
        <w:rPr>
          <w:rFonts w:cs="Arial"/>
          <w:szCs w:val="22"/>
        </w:rPr>
      </w:pPr>
      <w:r w:rsidRPr="00734D3B">
        <w:rPr>
          <w:rFonts w:cs="Arial"/>
          <w:szCs w:val="22"/>
        </w:rPr>
        <w:t xml:space="preserve">Esta investigación no se desarrolla </w:t>
      </w:r>
      <w:r w:rsidR="009C5D79" w:rsidRPr="00734D3B">
        <w:rPr>
          <w:rFonts w:cs="Arial"/>
          <w:szCs w:val="22"/>
        </w:rPr>
        <w:t xml:space="preserve">para una institución especifica sino </w:t>
      </w:r>
      <w:r w:rsidRPr="00734D3B">
        <w:rPr>
          <w:rFonts w:cs="Arial"/>
          <w:szCs w:val="22"/>
        </w:rPr>
        <w:t>dentro de la industria de los contratistas eléctricos en el estado de Arizona, Estados Unidos</w:t>
      </w:r>
      <w:r w:rsidR="009C5D79" w:rsidRPr="00734D3B">
        <w:rPr>
          <w:rFonts w:cs="Arial"/>
          <w:szCs w:val="22"/>
        </w:rPr>
        <w:t>, en general es</w:t>
      </w:r>
      <w:r w:rsidRPr="00734D3B">
        <w:rPr>
          <w:rFonts w:cs="Arial"/>
          <w:szCs w:val="22"/>
        </w:rPr>
        <w:t xml:space="preserve"> un sector que ha crecido rápidamente en los últimos años. </w:t>
      </w:r>
      <w:r w:rsidR="009C5D79" w:rsidRPr="00734D3B">
        <w:rPr>
          <w:rFonts w:cs="Arial"/>
          <w:szCs w:val="22"/>
        </w:rPr>
        <w:t>El</w:t>
      </w:r>
      <w:r w:rsidRPr="00734D3B">
        <w:rPr>
          <w:rFonts w:cs="Arial"/>
          <w:szCs w:val="22"/>
        </w:rPr>
        <w:t xml:space="preserve"> aumento se debe </w:t>
      </w:r>
      <w:r w:rsidR="006B7549" w:rsidRPr="00734D3B">
        <w:rPr>
          <w:rFonts w:cs="Arial"/>
          <w:szCs w:val="22"/>
        </w:rPr>
        <w:t>mayormente por</w:t>
      </w:r>
      <w:r w:rsidRPr="00734D3B">
        <w:rPr>
          <w:rFonts w:cs="Arial"/>
          <w:szCs w:val="22"/>
        </w:rPr>
        <w:t xml:space="preserve"> la expansión de los centros de datos (data </w:t>
      </w:r>
      <w:r w:rsidR="004F578D" w:rsidRPr="00734D3B">
        <w:rPr>
          <w:rFonts w:cs="Arial"/>
          <w:szCs w:val="22"/>
        </w:rPr>
        <w:t>centers) y</w:t>
      </w:r>
      <w:r w:rsidR="008459E0" w:rsidRPr="00734D3B">
        <w:rPr>
          <w:rFonts w:cs="Arial"/>
          <w:szCs w:val="22"/>
        </w:rPr>
        <w:t xml:space="preserve"> la consecuente necesidad de</w:t>
      </w:r>
      <w:r w:rsidRPr="00734D3B">
        <w:rPr>
          <w:rFonts w:cs="Arial"/>
          <w:szCs w:val="22"/>
        </w:rPr>
        <w:t xml:space="preserve"> electrificación </w:t>
      </w:r>
      <w:r w:rsidR="008459E0" w:rsidRPr="00734D3B">
        <w:rPr>
          <w:rFonts w:cs="Arial"/>
          <w:szCs w:val="22"/>
        </w:rPr>
        <w:t>de</w:t>
      </w:r>
      <w:r w:rsidRPr="00734D3B">
        <w:rPr>
          <w:rFonts w:cs="Arial"/>
          <w:szCs w:val="22"/>
        </w:rPr>
        <w:t xml:space="preserve"> </w:t>
      </w:r>
      <w:r w:rsidR="004F578D" w:rsidRPr="00734D3B">
        <w:rPr>
          <w:rFonts w:cs="Arial"/>
          <w:szCs w:val="22"/>
        </w:rPr>
        <w:t>dichas</w:t>
      </w:r>
      <w:r w:rsidRPr="00734D3B">
        <w:rPr>
          <w:rFonts w:cs="Arial"/>
          <w:szCs w:val="22"/>
        </w:rPr>
        <w:t xml:space="preserve"> infraestructura</w:t>
      </w:r>
      <w:r w:rsidR="008459E0" w:rsidRPr="00734D3B">
        <w:rPr>
          <w:rFonts w:cs="Arial"/>
          <w:szCs w:val="22"/>
        </w:rPr>
        <w:t>s</w:t>
      </w:r>
      <w:r w:rsidRPr="00734D3B">
        <w:rPr>
          <w:rFonts w:cs="Arial"/>
          <w:szCs w:val="22"/>
        </w:rPr>
        <w:t xml:space="preserve">. Los contratistas eléctricos son </w:t>
      </w:r>
      <w:r w:rsidR="00EB7278" w:rsidRPr="00734D3B">
        <w:rPr>
          <w:rFonts w:cs="Arial"/>
          <w:szCs w:val="22"/>
        </w:rPr>
        <w:t>un sector</w:t>
      </w:r>
      <w:r w:rsidRPr="00734D3B">
        <w:rPr>
          <w:rFonts w:cs="Arial"/>
          <w:szCs w:val="22"/>
        </w:rPr>
        <w:t xml:space="preserve"> clave en la construcción</w:t>
      </w:r>
      <w:r w:rsidR="00EB7278" w:rsidRPr="00734D3B">
        <w:rPr>
          <w:rFonts w:cs="Arial"/>
          <w:szCs w:val="22"/>
        </w:rPr>
        <w:t xml:space="preserve"> de centros de datos</w:t>
      </w:r>
      <w:r w:rsidRPr="00734D3B">
        <w:rPr>
          <w:rFonts w:cs="Arial"/>
          <w:szCs w:val="22"/>
        </w:rPr>
        <w:t xml:space="preserve">, ya que se encargan de instalar los sistemas eléctricos de potencia, iluminación, automatización y </w:t>
      </w:r>
      <w:r w:rsidR="000930F0" w:rsidRPr="00734D3B">
        <w:rPr>
          <w:rFonts w:cs="Arial"/>
          <w:szCs w:val="22"/>
        </w:rPr>
        <w:t>los respaldos</w:t>
      </w:r>
      <w:r w:rsidRPr="00734D3B">
        <w:rPr>
          <w:rFonts w:cs="Arial"/>
          <w:szCs w:val="22"/>
        </w:rPr>
        <w:t xml:space="preserve"> de energía en proyectos con alta complejidad técnica. Su trabajo influye directamente en la eficiencia, seguridad y sostenibilidad de los edificios (</w:t>
      </w:r>
      <w:proofErr w:type="spellStart"/>
      <w:r w:rsidRPr="00734D3B">
        <w:rPr>
          <w:rFonts w:cs="Arial"/>
          <w:szCs w:val="22"/>
        </w:rPr>
        <w:t>National</w:t>
      </w:r>
      <w:proofErr w:type="spellEnd"/>
      <w:r w:rsidRPr="00734D3B">
        <w:rPr>
          <w:rFonts w:cs="Arial"/>
          <w:szCs w:val="22"/>
        </w:rPr>
        <w:t xml:space="preserve"> </w:t>
      </w:r>
      <w:proofErr w:type="spellStart"/>
      <w:r w:rsidRPr="00734D3B">
        <w:rPr>
          <w:rFonts w:cs="Arial"/>
          <w:szCs w:val="22"/>
        </w:rPr>
        <w:t>Electrical</w:t>
      </w:r>
      <w:proofErr w:type="spellEnd"/>
      <w:r w:rsidRPr="00734D3B">
        <w:rPr>
          <w:rFonts w:cs="Arial"/>
          <w:szCs w:val="22"/>
        </w:rPr>
        <w:t xml:space="preserve"> </w:t>
      </w:r>
      <w:proofErr w:type="spellStart"/>
      <w:r w:rsidRPr="00734D3B">
        <w:rPr>
          <w:rFonts w:cs="Arial"/>
          <w:szCs w:val="22"/>
        </w:rPr>
        <w:t>Contractors</w:t>
      </w:r>
      <w:proofErr w:type="spellEnd"/>
      <w:r w:rsidRPr="00734D3B">
        <w:rPr>
          <w:rFonts w:cs="Arial"/>
          <w:szCs w:val="22"/>
        </w:rPr>
        <w:t xml:space="preserve"> </w:t>
      </w:r>
      <w:proofErr w:type="spellStart"/>
      <w:r w:rsidRPr="00734D3B">
        <w:rPr>
          <w:rFonts w:cs="Arial"/>
          <w:szCs w:val="22"/>
        </w:rPr>
        <w:t>Association</w:t>
      </w:r>
      <w:proofErr w:type="spellEnd"/>
      <w:r w:rsidRPr="00734D3B">
        <w:rPr>
          <w:rFonts w:cs="Arial"/>
          <w:szCs w:val="22"/>
        </w:rPr>
        <w:t xml:space="preserve"> [NECA], 2023).</w:t>
      </w:r>
    </w:p>
    <w:p w14:paraId="3D96CA75" w14:textId="49869B9A" w:rsidR="00072B51" w:rsidRPr="00734D3B" w:rsidRDefault="00072B51" w:rsidP="00D7259E">
      <w:pPr>
        <w:rPr>
          <w:rFonts w:cs="Arial"/>
          <w:szCs w:val="22"/>
        </w:rPr>
      </w:pPr>
      <w:r w:rsidRPr="00734D3B">
        <w:rPr>
          <w:rFonts w:cs="Arial"/>
          <w:szCs w:val="22"/>
        </w:rPr>
        <w:t xml:space="preserve">Por su parte Arizona </w:t>
      </w:r>
      <w:r w:rsidR="002A6B72" w:rsidRPr="00734D3B">
        <w:rPr>
          <w:rFonts w:cs="Arial"/>
          <w:szCs w:val="22"/>
        </w:rPr>
        <w:t xml:space="preserve">se ha convertido en uno de los principales lugares de desarrollo tecnológico en Estados Unidos, esto gracias a su buena ubicación, la disponibilidad de terreno y los bajos costos de energía. Ciudades como Phoenix, Mesa y Goodyear concentran muchos </w:t>
      </w:r>
      <w:r w:rsidR="002A6B72" w:rsidRPr="00734D3B">
        <w:rPr>
          <w:rFonts w:cs="Arial"/>
          <w:szCs w:val="22"/>
        </w:rPr>
        <w:lastRenderedPageBreak/>
        <w:t xml:space="preserve">de los proyectos de centros de datos construidos por empresas como Google, Meta, Microsoft, Amazon Web </w:t>
      </w:r>
      <w:proofErr w:type="spellStart"/>
      <w:r w:rsidR="002A6B72" w:rsidRPr="00734D3B">
        <w:rPr>
          <w:rFonts w:cs="Arial"/>
          <w:szCs w:val="22"/>
        </w:rPr>
        <w:t>Services</w:t>
      </w:r>
      <w:proofErr w:type="spellEnd"/>
      <w:r w:rsidR="002A6B72" w:rsidRPr="00734D3B">
        <w:rPr>
          <w:rFonts w:cs="Arial"/>
          <w:szCs w:val="22"/>
        </w:rPr>
        <w:t xml:space="preserve"> y QTS </w:t>
      </w:r>
      <w:proofErr w:type="spellStart"/>
      <w:r w:rsidR="002A6B72" w:rsidRPr="00734D3B">
        <w:rPr>
          <w:rFonts w:cs="Arial"/>
          <w:szCs w:val="22"/>
        </w:rPr>
        <w:t>Realty</w:t>
      </w:r>
      <w:proofErr w:type="spellEnd"/>
      <w:r w:rsidR="002A6B72" w:rsidRPr="00734D3B">
        <w:rPr>
          <w:rFonts w:cs="Arial"/>
          <w:szCs w:val="22"/>
        </w:rPr>
        <w:t xml:space="preserve"> Trust. Este crecimiento ha generado una alta demanda de contratistas eléctricos especializados, que puedan cumplir con los estándares internacionales de seguridad, eficiencia energética y cuidado ambiental (</w:t>
      </w:r>
      <w:proofErr w:type="spellStart"/>
      <w:r w:rsidR="002A6B72" w:rsidRPr="00734D3B">
        <w:rPr>
          <w:rFonts w:cs="Arial"/>
          <w:szCs w:val="22"/>
        </w:rPr>
        <w:t>Greater</w:t>
      </w:r>
      <w:proofErr w:type="spellEnd"/>
      <w:r w:rsidR="002A6B72" w:rsidRPr="00734D3B">
        <w:rPr>
          <w:rFonts w:cs="Arial"/>
          <w:szCs w:val="22"/>
        </w:rPr>
        <w:t xml:space="preserve"> Phoenix </w:t>
      </w:r>
      <w:proofErr w:type="spellStart"/>
      <w:r w:rsidR="002A6B72" w:rsidRPr="00734D3B">
        <w:rPr>
          <w:rFonts w:cs="Arial"/>
          <w:szCs w:val="22"/>
        </w:rPr>
        <w:t>Economic</w:t>
      </w:r>
      <w:proofErr w:type="spellEnd"/>
      <w:r w:rsidR="002A6B72" w:rsidRPr="00734D3B">
        <w:rPr>
          <w:rFonts w:cs="Arial"/>
          <w:szCs w:val="22"/>
        </w:rPr>
        <w:t xml:space="preserve"> Council [GPEC], 2024). </w:t>
      </w:r>
      <w:r w:rsidR="003B5832" w:rsidRPr="00734D3B">
        <w:rPr>
          <w:rFonts w:cs="Arial"/>
          <w:szCs w:val="22"/>
        </w:rPr>
        <w:t>De acuerdo con</w:t>
      </w:r>
      <w:r w:rsidR="002A6B72" w:rsidRPr="00734D3B">
        <w:rPr>
          <w:rFonts w:cs="Arial"/>
          <w:szCs w:val="22"/>
        </w:rPr>
        <w:t xml:space="preserve"> la U.S. Bureau </w:t>
      </w:r>
      <w:proofErr w:type="spellStart"/>
      <w:r w:rsidR="002A6B72" w:rsidRPr="00734D3B">
        <w:rPr>
          <w:rFonts w:cs="Arial"/>
          <w:szCs w:val="22"/>
        </w:rPr>
        <w:t>of</w:t>
      </w:r>
      <w:proofErr w:type="spellEnd"/>
      <w:r w:rsidR="002A6B72" w:rsidRPr="00734D3B">
        <w:rPr>
          <w:rFonts w:cs="Arial"/>
          <w:szCs w:val="22"/>
        </w:rPr>
        <w:t xml:space="preserve"> Labor </w:t>
      </w:r>
      <w:proofErr w:type="spellStart"/>
      <w:r w:rsidR="002A6B72" w:rsidRPr="00734D3B">
        <w:rPr>
          <w:rFonts w:cs="Arial"/>
          <w:szCs w:val="22"/>
        </w:rPr>
        <w:t>Statistics</w:t>
      </w:r>
      <w:proofErr w:type="spellEnd"/>
      <w:r w:rsidR="002A6B72" w:rsidRPr="00734D3B">
        <w:rPr>
          <w:rFonts w:cs="Arial"/>
          <w:szCs w:val="22"/>
        </w:rPr>
        <w:t xml:space="preserve"> (2024), el empleo en el sector eléctrico en Arizona creció un 19 % entre 2018 y 2023, superando </w:t>
      </w:r>
      <w:r w:rsidR="003B5832" w:rsidRPr="00734D3B">
        <w:rPr>
          <w:rFonts w:cs="Arial"/>
          <w:szCs w:val="22"/>
        </w:rPr>
        <w:t xml:space="preserve">así </w:t>
      </w:r>
      <w:r w:rsidR="002A6B72" w:rsidRPr="00734D3B">
        <w:rPr>
          <w:rFonts w:cs="Arial"/>
          <w:szCs w:val="22"/>
        </w:rPr>
        <w:t xml:space="preserve">el </w:t>
      </w:r>
      <w:r w:rsidR="003B5832" w:rsidRPr="00734D3B">
        <w:rPr>
          <w:rFonts w:cs="Arial"/>
          <w:szCs w:val="22"/>
        </w:rPr>
        <w:t xml:space="preserve">crecimiento </w:t>
      </w:r>
      <w:r w:rsidR="002A6B72" w:rsidRPr="00734D3B">
        <w:rPr>
          <w:rFonts w:cs="Arial"/>
          <w:szCs w:val="22"/>
        </w:rPr>
        <w:t xml:space="preserve">promedio nacional </w:t>
      </w:r>
      <w:r w:rsidR="003B5832" w:rsidRPr="00734D3B">
        <w:rPr>
          <w:rFonts w:cs="Arial"/>
          <w:szCs w:val="22"/>
        </w:rPr>
        <w:t>de</w:t>
      </w:r>
      <w:r w:rsidR="002A6B72" w:rsidRPr="00734D3B">
        <w:rPr>
          <w:rFonts w:cs="Arial"/>
          <w:szCs w:val="22"/>
        </w:rPr>
        <w:t xml:space="preserve"> la construcción</w:t>
      </w:r>
      <w:r w:rsidR="003B5832" w:rsidRPr="00734D3B">
        <w:rPr>
          <w:rFonts w:cs="Arial"/>
          <w:szCs w:val="22"/>
        </w:rPr>
        <w:t xml:space="preserve"> en</w:t>
      </w:r>
      <w:r w:rsidR="002A6B72" w:rsidRPr="00734D3B">
        <w:rPr>
          <w:rFonts w:cs="Arial"/>
          <w:szCs w:val="22"/>
        </w:rPr>
        <w:t xml:space="preserve"> general.</w:t>
      </w:r>
    </w:p>
    <w:p w14:paraId="65612886" w14:textId="2BCF8967" w:rsidR="00275B5A" w:rsidRPr="00734D3B" w:rsidRDefault="00D065F4" w:rsidP="00D7259E">
      <w:pPr>
        <w:rPr>
          <w:rFonts w:cs="Arial"/>
          <w:szCs w:val="22"/>
        </w:rPr>
      </w:pPr>
      <w:r w:rsidRPr="00734D3B">
        <w:rPr>
          <w:rFonts w:cs="Arial"/>
          <w:szCs w:val="22"/>
        </w:rPr>
        <w:t>La industria de los contratistas eléctricos en Arizona está conformada principalmente por empresas medianas y grandes que trabajan a nivel local y regional.</w:t>
      </w:r>
      <w:r w:rsidR="00C84133" w:rsidRPr="00734D3B">
        <w:t xml:space="preserve"> </w:t>
      </w:r>
      <w:r w:rsidR="00C84133" w:rsidRPr="00734D3B">
        <w:rPr>
          <w:rFonts w:cs="Arial"/>
          <w:szCs w:val="22"/>
        </w:rPr>
        <w:t xml:space="preserve">Estas compañías </w:t>
      </w:r>
      <w:r w:rsidR="002D4D41" w:rsidRPr="00734D3B">
        <w:rPr>
          <w:rFonts w:cs="Arial"/>
          <w:szCs w:val="22"/>
        </w:rPr>
        <w:t>suelen tener</w:t>
      </w:r>
      <w:r w:rsidR="00C84133" w:rsidRPr="00734D3B">
        <w:rPr>
          <w:rFonts w:cs="Arial"/>
          <w:szCs w:val="22"/>
        </w:rPr>
        <w:t xml:space="preserve"> </w:t>
      </w:r>
      <w:r w:rsidR="00055A67" w:rsidRPr="00734D3B">
        <w:rPr>
          <w:rFonts w:cs="Arial"/>
          <w:szCs w:val="22"/>
        </w:rPr>
        <w:t xml:space="preserve">contratos de </w:t>
      </w:r>
      <w:r w:rsidR="00C84133" w:rsidRPr="00734D3B">
        <w:rPr>
          <w:rFonts w:cs="Arial"/>
          <w:szCs w:val="22"/>
        </w:rPr>
        <w:t>trabaj</w:t>
      </w:r>
      <w:r w:rsidR="00055A67" w:rsidRPr="00734D3B">
        <w:rPr>
          <w:rFonts w:cs="Arial"/>
          <w:szCs w:val="22"/>
        </w:rPr>
        <w:t xml:space="preserve">o </w:t>
      </w:r>
      <w:r w:rsidR="002D4D41" w:rsidRPr="00734D3B">
        <w:rPr>
          <w:rFonts w:cs="Arial"/>
          <w:szCs w:val="22"/>
        </w:rPr>
        <w:t>con</w:t>
      </w:r>
      <w:r w:rsidR="00055A67" w:rsidRPr="00734D3B">
        <w:rPr>
          <w:rFonts w:cs="Arial"/>
          <w:szCs w:val="22"/>
        </w:rPr>
        <w:t xml:space="preserve"> </w:t>
      </w:r>
      <w:r w:rsidR="00C84133" w:rsidRPr="00734D3B">
        <w:rPr>
          <w:rFonts w:cs="Arial"/>
          <w:szCs w:val="22"/>
        </w:rPr>
        <w:t xml:space="preserve">grandes constructoras generales (GC). </w:t>
      </w:r>
      <w:r w:rsidR="00B30AC0" w:rsidRPr="00734D3B">
        <w:rPr>
          <w:rFonts w:cs="Arial"/>
          <w:szCs w:val="22"/>
        </w:rPr>
        <w:t>La mayoría de sus</w:t>
      </w:r>
      <w:r w:rsidR="00C84133" w:rsidRPr="00734D3B">
        <w:rPr>
          <w:rFonts w:cs="Arial"/>
          <w:szCs w:val="22"/>
        </w:rPr>
        <w:t xml:space="preserve"> proyectos requieren de una alta preparación técnica alta, ya que incluyen trabajos </w:t>
      </w:r>
      <w:r w:rsidR="006B38C4" w:rsidRPr="00734D3B">
        <w:rPr>
          <w:rFonts w:cs="Arial"/>
          <w:szCs w:val="22"/>
        </w:rPr>
        <w:t>en</w:t>
      </w:r>
      <w:r w:rsidR="00C84133" w:rsidRPr="00734D3B">
        <w:rPr>
          <w:rFonts w:cs="Arial"/>
          <w:szCs w:val="22"/>
        </w:rPr>
        <w:t xml:space="preserve"> distribución eléctrica, sistemas de respaldo con generadores y baterías, iluminación eficiente, sistemas de control y cumplimiento estricto de las normas eléctricas</w:t>
      </w:r>
      <w:r w:rsidR="00B30AC0" w:rsidRPr="00734D3B">
        <w:rPr>
          <w:rFonts w:cs="Arial"/>
          <w:szCs w:val="22"/>
        </w:rPr>
        <w:t xml:space="preserve"> nacionales</w:t>
      </w:r>
      <w:r w:rsidR="00C84133" w:rsidRPr="00734D3B">
        <w:rPr>
          <w:rFonts w:cs="Arial"/>
          <w:szCs w:val="22"/>
        </w:rPr>
        <w:t>.</w:t>
      </w:r>
    </w:p>
    <w:p w14:paraId="03682E17" w14:textId="4C80D60D" w:rsidR="00A92160" w:rsidRPr="00734D3B" w:rsidRDefault="00947416" w:rsidP="00D7259E">
      <w:pPr>
        <w:rPr>
          <w:rFonts w:cs="Arial"/>
          <w:szCs w:val="22"/>
        </w:rPr>
      </w:pPr>
      <w:r w:rsidRPr="00734D3B">
        <w:rPr>
          <w:rFonts w:cs="Arial"/>
          <w:szCs w:val="22"/>
        </w:rPr>
        <w:t>El sector</w:t>
      </w:r>
      <w:r w:rsidR="00A92160" w:rsidRPr="00734D3B">
        <w:rPr>
          <w:rFonts w:cs="Arial"/>
          <w:szCs w:val="22"/>
        </w:rPr>
        <w:t xml:space="preserve"> de </w:t>
      </w:r>
      <w:r w:rsidR="00EF2AF3" w:rsidRPr="00734D3B">
        <w:rPr>
          <w:rFonts w:cs="Arial"/>
          <w:szCs w:val="22"/>
        </w:rPr>
        <w:t xml:space="preserve">la </w:t>
      </w:r>
      <w:r w:rsidR="00A92160" w:rsidRPr="00734D3B">
        <w:rPr>
          <w:rFonts w:cs="Arial"/>
          <w:szCs w:val="22"/>
        </w:rPr>
        <w:t xml:space="preserve">construcción </w:t>
      </w:r>
      <w:r w:rsidR="00A32AD3" w:rsidRPr="00734D3B">
        <w:rPr>
          <w:rFonts w:cs="Arial"/>
          <w:szCs w:val="22"/>
        </w:rPr>
        <w:t xml:space="preserve">local </w:t>
      </w:r>
      <w:r w:rsidR="00A92160" w:rsidRPr="00734D3B">
        <w:rPr>
          <w:rFonts w:cs="Arial"/>
          <w:szCs w:val="22"/>
        </w:rPr>
        <w:t xml:space="preserve">en general, </w:t>
      </w:r>
      <w:r w:rsidRPr="00734D3B">
        <w:rPr>
          <w:rFonts w:cs="Arial"/>
          <w:szCs w:val="22"/>
        </w:rPr>
        <w:t>especialmente</w:t>
      </w:r>
      <w:r w:rsidR="00A92160" w:rsidRPr="00734D3B">
        <w:rPr>
          <w:rFonts w:cs="Arial"/>
          <w:szCs w:val="22"/>
        </w:rPr>
        <w:t xml:space="preserve"> </w:t>
      </w:r>
      <w:r w:rsidR="00310F3A" w:rsidRPr="00734D3B">
        <w:rPr>
          <w:rFonts w:cs="Arial"/>
          <w:szCs w:val="22"/>
        </w:rPr>
        <w:t>el</w:t>
      </w:r>
      <w:r w:rsidR="00A92160" w:rsidRPr="00734D3B">
        <w:rPr>
          <w:rFonts w:cs="Arial"/>
          <w:szCs w:val="22"/>
        </w:rPr>
        <w:t xml:space="preserve"> </w:t>
      </w:r>
      <w:r w:rsidR="00310F3A" w:rsidRPr="00734D3B">
        <w:rPr>
          <w:rFonts w:cs="Arial"/>
          <w:szCs w:val="22"/>
        </w:rPr>
        <w:t xml:space="preserve">área </w:t>
      </w:r>
      <w:r w:rsidR="00FA58D7" w:rsidRPr="00734D3B">
        <w:rPr>
          <w:rFonts w:cs="Arial"/>
          <w:szCs w:val="22"/>
        </w:rPr>
        <w:t>eléctric</w:t>
      </w:r>
      <w:r w:rsidR="00310F3A" w:rsidRPr="00734D3B">
        <w:rPr>
          <w:rFonts w:cs="Arial"/>
          <w:szCs w:val="22"/>
        </w:rPr>
        <w:t>a</w:t>
      </w:r>
      <w:r w:rsidR="00FA58D7" w:rsidRPr="00734D3B">
        <w:rPr>
          <w:rFonts w:cs="Arial"/>
          <w:szCs w:val="22"/>
        </w:rPr>
        <w:t>, todavía</w:t>
      </w:r>
      <w:r w:rsidR="00B42D44" w:rsidRPr="00734D3B">
        <w:rPr>
          <w:rFonts w:cs="Arial"/>
          <w:szCs w:val="22"/>
        </w:rPr>
        <w:t xml:space="preserve"> </w:t>
      </w:r>
      <w:r w:rsidR="00EF2AF3" w:rsidRPr="00734D3B">
        <w:rPr>
          <w:rFonts w:cs="Arial"/>
          <w:szCs w:val="22"/>
        </w:rPr>
        <w:t>tiene</w:t>
      </w:r>
      <w:r w:rsidR="00B42D44" w:rsidRPr="00734D3B">
        <w:rPr>
          <w:rFonts w:cs="Arial"/>
          <w:szCs w:val="22"/>
        </w:rPr>
        <w:t xml:space="preserve"> </w:t>
      </w:r>
      <w:r w:rsidR="00A32AD3" w:rsidRPr="00734D3B">
        <w:rPr>
          <w:rFonts w:cs="Arial"/>
          <w:szCs w:val="22"/>
        </w:rPr>
        <w:t>prácticas</w:t>
      </w:r>
      <w:r w:rsidR="00EF2AF3" w:rsidRPr="00734D3B">
        <w:rPr>
          <w:rFonts w:cs="Arial"/>
          <w:szCs w:val="22"/>
        </w:rPr>
        <w:t xml:space="preserve"> ambientales </w:t>
      </w:r>
      <w:r w:rsidR="00A32AD3" w:rsidRPr="00734D3B">
        <w:rPr>
          <w:rFonts w:cs="Arial"/>
          <w:szCs w:val="22"/>
        </w:rPr>
        <w:t xml:space="preserve">limitadas, en muchos casos, los contratistas no tienen reglas </w:t>
      </w:r>
      <w:r w:rsidR="00FA58D7" w:rsidRPr="00734D3B">
        <w:rPr>
          <w:rFonts w:cs="Arial"/>
          <w:szCs w:val="22"/>
        </w:rPr>
        <w:t xml:space="preserve">internas </w:t>
      </w:r>
      <w:r w:rsidR="00A32AD3" w:rsidRPr="00734D3B">
        <w:rPr>
          <w:rFonts w:cs="Arial"/>
          <w:szCs w:val="22"/>
        </w:rPr>
        <w:t xml:space="preserve">claras para manejar los desechos eléctricos, lo que </w:t>
      </w:r>
      <w:r w:rsidR="00FA58D7" w:rsidRPr="00734D3B">
        <w:rPr>
          <w:rFonts w:cs="Arial"/>
          <w:szCs w:val="22"/>
        </w:rPr>
        <w:t>ocasiona</w:t>
      </w:r>
      <w:r w:rsidR="00A32AD3" w:rsidRPr="00734D3B">
        <w:rPr>
          <w:rFonts w:cs="Arial"/>
          <w:szCs w:val="22"/>
        </w:rPr>
        <w:t xml:space="preserve"> desperdicio de materiales como cobre, aluminio, plástico, acero y empaques industriales. En Arizona, la falta de leyes específicas sobre el manejo de estos residuos deja a </w:t>
      </w:r>
      <w:r w:rsidR="00BE6D24" w:rsidRPr="00734D3B">
        <w:rPr>
          <w:rFonts w:cs="Arial"/>
          <w:szCs w:val="22"/>
        </w:rPr>
        <w:t>estas</w:t>
      </w:r>
      <w:r w:rsidR="00A32AD3" w:rsidRPr="00734D3B">
        <w:rPr>
          <w:rFonts w:cs="Arial"/>
          <w:szCs w:val="22"/>
        </w:rPr>
        <w:t xml:space="preserve"> empresas la tarea de crear sus propios procedimientos (Departamento de Calidad Ambiental de Arizona [ADEQ], 2024).</w:t>
      </w:r>
    </w:p>
    <w:p w14:paraId="3DF45DF1" w14:textId="77777777" w:rsidR="003A014A" w:rsidRPr="00734D3B" w:rsidRDefault="00950C02" w:rsidP="00D7259E">
      <w:pPr>
        <w:rPr>
          <w:rFonts w:cs="Arial"/>
          <w:szCs w:val="22"/>
        </w:rPr>
      </w:pPr>
      <w:r w:rsidRPr="00734D3B">
        <w:rPr>
          <w:rFonts w:cs="Arial"/>
          <w:szCs w:val="22"/>
        </w:rPr>
        <w:t xml:space="preserve">Según estimaciones </w:t>
      </w:r>
      <w:r w:rsidR="00BD4076" w:rsidRPr="00734D3B">
        <w:rPr>
          <w:rFonts w:cs="Arial"/>
          <w:szCs w:val="22"/>
        </w:rPr>
        <w:t>d</w:t>
      </w:r>
      <w:r w:rsidR="00F7159E" w:rsidRPr="00734D3B">
        <w:rPr>
          <w:rFonts w:cs="Arial"/>
          <w:szCs w:val="22"/>
        </w:rPr>
        <w:t xml:space="preserve">e NECA (2023) cada proyecto de </w:t>
      </w:r>
      <w:r w:rsidR="00BD4076" w:rsidRPr="00734D3B">
        <w:rPr>
          <w:rFonts w:cs="Arial"/>
          <w:szCs w:val="22"/>
        </w:rPr>
        <w:t>centros</w:t>
      </w:r>
      <w:r w:rsidR="00F7159E" w:rsidRPr="00734D3B">
        <w:rPr>
          <w:rFonts w:cs="Arial"/>
          <w:szCs w:val="22"/>
        </w:rPr>
        <w:t xml:space="preserve"> de datos de gran</w:t>
      </w:r>
      <w:r w:rsidR="00BD4076" w:rsidRPr="00734D3B">
        <w:rPr>
          <w:rFonts w:cs="Arial"/>
          <w:szCs w:val="22"/>
        </w:rPr>
        <w:t xml:space="preserve"> </w:t>
      </w:r>
      <w:r w:rsidR="00F7159E" w:rsidRPr="00734D3B">
        <w:rPr>
          <w:rFonts w:cs="Arial"/>
          <w:szCs w:val="22"/>
        </w:rPr>
        <w:t>escala puede generar entre 200 y 500 toneladas de residuos metálicos y plásticos,</w:t>
      </w:r>
      <w:r w:rsidR="00216C48" w:rsidRPr="00734D3B">
        <w:rPr>
          <w:rFonts w:cs="Arial"/>
          <w:szCs w:val="22"/>
        </w:rPr>
        <w:t xml:space="preserve"> de aquí el reto que enfrenta la industria de </w:t>
      </w:r>
      <w:r w:rsidR="00402618" w:rsidRPr="00734D3B">
        <w:rPr>
          <w:rFonts w:cs="Arial"/>
          <w:szCs w:val="22"/>
        </w:rPr>
        <w:t>optimizar el uso de materiales y mejorar los procesos</w:t>
      </w:r>
      <w:r w:rsidR="00C9134C" w:rsidRPr="00734D3B">
        <w:rPr>
          <w:rFonts w:cs="Arial"/>
          <w:szCs w:val="22"/>
        </w:rPr>
        <w:t xml:space="preserve"> formales de separación y trazabilidad ya que, a</w:t>
      </w:r>
      <w:r w:rsidR="004C4116" w:rsidRPr="00734D3B">
        <w:rPr>
          <w:rFonts w:cs="Arial"/>
          <w:szCs w:val="22"/>
        </w:rPr>
        <w:t>unque</w:t>
      </w:r>
      <w:r w:rsidR="00A66584" w:rsidRPr="00734D3B">
        <w:rPr>
          <w:rFonts w:cs="Arial"/>
          <w:szCs w:val="22"/>
        </w:rPr>
        <w:t xml:space="preserve"> la </w:t>
      </w:r>
      <w:r w:rsidR="00BA45AD" w:rsidRPr="00734D3B">
        <w:rPr>
          <w:rFonts w:cs="Arial"/>
          <w:szCs w:val="22"/>
        </w:rPr>
        <w:t>mayoría</w:t>
      </w:r>
      <w:r w:rsidR="00A66584" w:rsidRPr="00734D3B">
        <w:rPr>
          <w:rFonts w:cs="Arial"/>
          <w:szCs w:val="22"/>
        </w:rPr>
        <w:t xml:space="preserve"> de estos</w:t>
      </w:r>
      <w:r w:rsidR="00BA45AD" w:rsidRPr="00734D3B">
        <w:rPr>
          <w:rFonts w:cs="Arial"/>
          <w:szCs w:val="22"/>
        </w:rPr>
        <w:t xml:space="preserve"> materiales, </w:t>
      </w:r>
      <w:r w:rsidR="004C4116" w:rsidRPr="00734D3B">
        <w:rPr>
          <w:rFonts w:cs="Arial"/>
          <w:szCs w:val="22"/>
        </w:rPr>
        <w:t>son</w:t>
      </w:r>
      <w:r w:rsidR="00BA45AD" w:rsidRPr="00734D3B">
        <w:rPr>
          <w:rFonts w:cs="Arial"/>
          <w:szCs w:val="22"/>
        </w:rPr>
        <w:t xml:space="preserve"> reciclables, suelen terminar en vertederos</w:t>
      </w:r>
      <w:r w:rsidR="00C9134C" w:rsidRPr="00734D3B">
        <w:rPr>
          <w:rFonts w:cs="Arial"/>
          <w:szCs w:val="22"/>
        </w:rPr>
        <w:t>.</w:t>
      </w:r>
    </w:p>
    <w:p w14:paraId="113CF770" w14:textId="39C10BF4" w:rsidR="000241C5" w:rsidRPr="00734D3B" w:rsidRDefault="000241C5" w:rsidP="00D7259E">
      <w:pPr>
        <w:rPr>
          <w:rFonts w:cs="Arial"/>
          <w:szCs w:val="22"/>
        </w:rPr>
      </w:pPr>
      <w:r w:rsidRPr="00734D3B">
        <w:rPr>
          <w:rFonts w:cs="Arial"/>
          <w:szCs w:val="22"/>
        </w:rPr>
        <w:lastRenderedPageBreak/>
        <w:t xml:space="preserve">Desde el enfoque de sostenibilidad, se puede asegurar que este sector se encuentra en un proceso de cambio hacia modelos de gestión más responsables con el ambiente. Cada vez más, los clientes internacionales y las políticas corporativas exigen indicadores ambientales y reportes </w:t>
      </w:r>
      <w:r w:rsidR="00CD625E" w:rsidRPr="00734D3B">
        <w:rPr>
          <w:rFonts w:cs="Arial"/>
          <w:szCs w:val="22"/>
        </w:rPr>
        <w:t xml:space="preserve">reales </w:t>
      </w:r>
      <w:r w:rsidRPr="00734D3B">
        <w:rPr>
          <w:rFonts w:cs="Arial"/>
          <w:szCs w:val="22"/>
        </w:rPr>
        <w:t>de desempeño sostenible</w:t>
      </w:r>
      <w:r w:rsidR="00CD625E" w:rsidRPr="00734D3B">
        <w:rPr>
          <w:rFonts w:cs="Arial"/>
          <w:szCs w:val="22"/>
        </w:rPr>
        <w:t xml:space="preserve">s, </w:t>
      </w:r>
      <w:r w:rsidR="00113866" w:rsidRPr="00734D3B">
        <w:rPr>
          <w:rFonts w:cs="Arial"/>
          <w:szCs w:val="22"/>
        </w:rPr>
        <w:t xml:space="preserve">esto está generando un impacto cultural importante en la industria, </w:t>
      </w:r>
      <w:r w:rsidR="00F9289E" w:rsidRPr="00734D3B">
        <w:rPr>
          <w:rFonts w:cs="Arial"/>
          <w:szCs w:val="22"/>
        </w:rPr>
        <w:t xml:space="preserve">que avanza poco a poco, pero de forma </w:t>
      </w:r>
      <w:r w:rsidR="00505EF5" w:rsidRPr="00734D3B">
        <w:rPr>
          <w:rFonts w:cs="Arial"/>
          <w:szCs w:val="22"/>
        </w:rPr>
        <w:t xml:space="preserve">constante hacia una visión integral de </w:t>
      </w:r>
      <w:r w:rsidR="00113866" w:rsidRPr="00734D3B">
        <w:rPr>
          <w:rFonts w:cs="Arial"/>
          <w:szCs w:val="22"/>
        </w:rPr>
        <w:t xml:space="preserve">sostenibilidad </w:t>
      </w:r>
      <w:r w:rsidR="00505EF5" w:rsidRPr="00734D3B">
        <w:rPr>
          <w:rFonts w:cs="Arial"/>
          <w:szCs w:val="22"/>
        </w:rPr>
        <w:t xml:space="preserve">que no </w:t>
      </w:r>
      <w:r w:rsidR="00003527" w:rsidRPr="00734D3B">
        <w:rPr>
          <w:rFonts w:cs="Arial"/>
          <w:szCs w:val="22"/>
        </w:rPr>
        <w:t>la</w:t>
      </w:r>
      <w:r w:rsidR="00505EF5" w:rsidRPr="00734D3B">
        <w:rPr>
          <w:rFonts w:cs="Arial"/>
          <w:szCs w:val="22"/>
        </w:rPr>
        <w:t xml:space="preserve"> percibe </w:t>
      </w:r>
      <w:r w:rsidR="00113866" w:rsidRPr="00734D3B">
        <w:rPr>
          <w:rFonts w:cs="Arial"/>
          <w:szCs w:val="22"/>
        </w:rPr>
        <w:t>como una obligación, sino más como una ventaja competitiva que ayuda a obtener nuevos contratos y mejorar la reputación de las empresas</w:t>
      </w:r>
      <w:r w:rsidR="00003527" w:rsidRPr="00734D3B">
        <w:rPr>
          <w:rFonts w:cs="Arial"/>
          <w:szCs w:val="22"/>
        </w:rPr>
        <w:t xml:space="preserve"> en su entorno.</w:t>
      </w:r>
    </w:p>
    <w:p w14:paraId="2EF938F7" w14:textId="48650239" w:rsidR="00003527" w:rsidRPr="00734D3B" w:rsidRDefault="005C4228" w:rsidP="00D7259E">
      <w:pPr>
        <w:rPr>
          <w:rFonts w:cs="Arial"/>
          <w:szCs w:val="22"/>
        </w:rPr>
      </w:pPr>
      <w:r w:rsidRPr="00734D3B">
        <w:rPr>
          <w:rFonts w:cs="Arial"/>
          <w:szCs w:val="22"/>
        </w:rPr>
        <w:t xml:space="preserve">A pesar de estos avances, aún existe una falta de herramientas prácticas y de procesos </w:t>
      </w:r>
      <w:r w:rsidR="00F34912" w:rsidRPr="00734D3B">
        <w:rPr>
          <w:rFonts w:cs="Arial"/>
          <w:szCs w:val="22"/>
        </w:rPr>
        <w:t xml:space="preserve">claros y </w:t>
      </w:r>
      <w:r w:rsidRPr="00734D3B">
        <w:rPr>
          <w:rFonts w:cs="Arial"/>
          <w:szCs w:val="22"/>
        </w:rPr>
        <w:t xml:space="preserve">estandarizados que permitan aplicar la sostenibilidad de </w:t>
      </w:r>
      <w:r w:rsidR="00F34912" w:rsidRPr="00734D3B">
        <w:rPr>
          <w:rFonts w:cs="Arial"/>
          <w:szCs w:val="22"/>
        </w:rPr>
        <w:t>manera</w:t>
      </w:r>
      <w:r w:rsidRPr="00734D3B">
        <w:rPr>
          <w:rFonts w:cs="Arial"/>
          <w:szCs w:val="22"/>
        </w:rPr>
        <w:t xml:space="preserve"> constante. Muchos contratistas eléctricos no cuentan con metodologías que </w:t>
      </w:r>
      <w:r w:rsidR="00837E3E" w:rsidRPr="00734D3B">
        <w:rPr>
          <w:rFonts w:cs="Arial"/>
          <w:szCs w:val="22"/>
        </w:rPr>
        <w:t>se ajusten con</w:t>
      </w:r>
      <w:r w:rsidRPr="00734D3B">
        <w:rPr>
          <w:rFonts w:cs="Arial"/>
          <w:szCs w:val="22"/>
        </w:rPr>
        <w:t xml:space="preserve"> los conceptos de sostenibilidad</w:t>
      </w:r>
      <w:r w:rsidR="00743DC3" w:rsidRPr="00734D3B">
        <w:rPr>
          <w:rFonts w:cs="Arial"/>
          <w:szCs w:val="22"/>
        </w:rPr>
        <w:t xml:space="preserve"> </w:t>
      </w:r>
      <w:r w:rsidRPr="00734D3B">
        <w:rPr>
          <w:rFonts w:cs="Arial"/>
          <w:szCs w:val="22"/>
        </w:rPr>
        <w:t xml:space="preserve">o desarrollo regenerativo </w:t>
      </w:r>
      <w:r w:rsidR="008A08A5" w:rsidRPr="00734D3B">
        <w:rPr>
          <w:rFonts w:cs="Arial"/>
          <w:szCs w:val="22"/>
        </w:rPr>
        <w:t xml:space="preserve">y </w:t>
      </w:r>
      <w:r w:rsidR="00743DC3" w:rsidRPr="00734D3B">
        <w:rPr>
          <w:rFonts w:cs="Arial"/>
          <w:szCs w:val="22"/>
        </w:rPr>
        <w:t xml:space="preserve">que les permitan </w:t>
      </w:r>
      <w:r w:rsidR="004C5A42" w:rsidRPr="00734D3B">
        <w:rPr>
          <w:rFonts w:cs="Arial"/>
          <w:szCs w:val="22"/>
        </w:rPr>
        <w:t>generar acciones</w:t>
      </w:r>
      <w:r w:rsidRPr="00734D3B">
        <w:rPr>
          <w:rFonts w:cs="Arial"/>
          <w:szCs w:val="22"/>
        </w:rPr>
        <w:t xml:space="preserve"> reales dentro de </w:t>
      </w:r>
      <w:r w:rsidR="00617926" w:rsidRPr="00734D3B">
        <w:rPr>
          <w:rFonts w:cs="Arial"/>
          <w:szCs w:val="22"/>
        </w:rPr>
        <w:t>las obras</w:t>
      </w:r>
      <w:r w:rsidR="004C5A42" w:rsidRPr="00734D3B">
        <w:rPr>
          <w:rFonts w:cs="Arial"/>
          <w:szCs w:val="22"/>
        </w:rPr>
        <w:t xml:space="preserve"> de construcción</w:t>
      </w:r>
      <w:r w:rsidRPr="00734D3B">
        <w:rPr>
          <w:rFonts w:cs="Arial"/>
          <w:szCs w:val="22"/>
        </w:rPr>
        <w:t xml:space="preserve">. </w:t>
      </w:r>
    </w:p>
    <w:p w14:paraId="3F8D41A9" w14:textId="4340E274" w:rsidR="00617926" w:rsidRPr="00734D3B" w:rsidRDefault="00617926" w:rsidP="00D7259E">
      <w:pPr>
        <w:rPr>
          <w:rFonts w:cs="Arial"/>
          <w:szCs w:val="22"/>
        </w:rPr>
      </w:pPr>
      <w:r w:rsidRPr="00734D3B">
        <w:rPr>
          <w:rFonts w:cs="Arial"/>
          <w:szCs w:val="22"/>
        </w:rPr>
        <w:t>Considerando lo anterior,</w:t>
      </w:r>
      <w:r w:rsidR="00C47326" w:rsidRPr="00734D3B">
        <w:rPr>
          <w:rFonts w:cs="Arial"/>
          <w:szCs w:val="22"/>
        </w:rPr>
        <w:t xml:space="preserve"> la industria eléctrica de la construcción en Arizona, EE. UU. juega un papel muy importante en el desarrollo tecnológico, económico y ambiental del estado. Su participación </w:t>
      </w:r>
      <w:r w:rsidR="008736C5" w:rsidRPr="00734D3B">
        <w:rPr>
          <w:rFonts w:cs="Arial"/>
          <w:szCs w:val="22"/>
        </w:rPr>
        <w:t xml:space="preserve">fundamental </w:t>
      </w:r>
      <w:r w:rsidR="00C47326" w:rsidRPr="00734D3B">
        <w:rPr>
          <w:rFonts w:cs="Arial"/>
          <w:szCs w:val="22"/>
        </w:rPr>
        <w:t>en la construcción de centros de datos l</w:t>
      </w:r>
      <w:r w:rsidR="00A312FD" w:rsidRPr="00734D3B">
        <w:rPr>
          <w:rFonts w:cs="Arial"/>
          <w:szCs w:val="22"/>
        </w:rPr>
        <w:t>os posiciona</w:t>
      </w:r>
      <w:r w:rsidR="007033A5" w:rsidRPr="00734D3B">
        <w:rPr>
          <w:rFonts w:cs="Arial"/>
          <w:szCs w:val="22"/>
        </w:rPr>
        <w:t xml:space="preserve"> como</w:t>
      </w:r>
      <w:r w:rsidR="00A312FD" w:rsidRPr="00734D3B">
        <w:rPr>
          <w:rFonts w:cs="Arial"/>
          <w:szCs w:val="22"/>
        </w:rPr>
        <w:t xml:space="preserve"> actores</w:t>
      </w:r>
      <w:r w:rsidR="00C47326" w:rsidRPr="00734D3B">
        <w:rPr>
          <w:rFonts w:cs="Arial"/>
          <w:szCs w:val="22"/>
        </w:rPr>
        <w:t xml:space="preserve"> clave</w:t>
      </w:r>
      <w:r w:rsidR="00A312FD" w:rsidRPr="00734D3B">
        <w:rPr>
          <w:rFonts w:cs="Arial"/>
          <w:szCs w:val="22"/>
        </w:rPr>
        <w:t>s</w:t>
      </w:r>
      <w:r w:rsidR="00C47326" w:rsidRPr="00734D3B">
        <w:rPr>
          <w:rFonts w:cs="Arial"/>
          <w:szCs w:val="22"/>
        </w:rPr>
        <w:t xml:space="preserve"> para aplicar prácticas que reduzcan los impactos ambientales y fortalezcan el bienestar local</w:t>
      </w:r>
      <w:r w:rsidR="00026047" w:rsidRPr="00734D3B">
        <w:rPr>
          <w:rFonts w:cs="Arial"/>
          <w:szCs w:val="22"/>
        </w:rPr>
        <w:t xml:space="preserve">, </w:t>
      </w:r>
      <w:r w:rsidR="006B6FF0" w:rsidRPr="00734D3B">
        <w:rPr>
          <w:rFonts w:cs="Arial"/>
          <w:szCs w:val="22"/>
        </w:rPr>
        <w:t xml:space="preserve">pero </w:t>
      </w:r>
      <w:r w:rsidR="00026047" w:rsidRPr="00734D3B">
        <w:rPr>
          <w:rFonts w:cs="Arial"/>
          <w:szCs w:val="22"/>
        </w:rPr>
        <w:t xml:space="preserve">para ello es fundamental </w:t>
      </w:r>
      <w:r w:rsidR="006B6FF0" w:rsidRPr="00734D3B">
        <w:rPr>
          <w:rFonts w:cs="Arial"/>
          <w:szCs w:val="22"/>
        </w:rPr>
        <w:t>que cuenten con</w:t>
      </w:r>
      <w:r w:rsidR="000C1173" w:rsidRPr="00734D3B">
        <w:rPr>
          <w:rFonts w:cs="Arial"/>
          <w:szCs w:val="22"/>
        </w:rPr>
        <w:t xml:space="preserve"> las</w:t>
      </w:r>
      <w:r w:rsidR="00026047" w:rsidRPr="00734D3B">
        <w:rPr>
          <w:rFonts w:cs="Arial"/>
          <w:szCs w:val="22"/>
        </w:rPr>
        <w:t xml:space="preserve"> herramientas </w:t>
      </w:r>
      <w:r w:rsidR="000C1173" w:rsidRPr="00734D3B">
        <w:rPr>
          <w:rFonts w:cs="Arial"/>
          <w:szCs w:val="22"/>
        </w:rPr>
        <w:t>adecuadas</w:t>
      </w:r>
      <w:r w:rsidR="007033A5" w:rsidRPr="00734D3B">
        <w:rPr>
          <w:rFonts w:cs="Arial"/>
          <w:szCs w:val="22"/>
        </w:rPr>
        <w:t xml:space="preserve">. </w:t>
      </w:r>
      <w:r w:rsidR="00C47326" w:rsidRPr="00734D3B">
        <w:rPr>
          <w:rFonts w:cs="Arial"/>
          <w:szCs w:val="22"/>
        </w:rPr>
        <w:t xml:space="preserve">La creación de esta guía busca llenar </w:t>
      </w:r>
      <w:r w:rsidR="006E465A" w:rsidRPr="00734D3B">
        <w:rPr>
          <w:rFonts w:cs="Arial"/>
          <w:szCs w:val="22"/>
        </w:rPr>
        <w:t>e</w:t>
      </w:r>
      <w:r w:rsidR="007033A5" w:rsidRPr="00734D3B">
        <w:rPr>
          <w:rFonts w:cs="Arial"/>
          <w:szCs w:val="22"/>
        </w:rPr>
        <w:t>s</w:t>
      </w:r>
      <w:r w:rsidR="00A42CF5" w:rsidRPr="00734D3B">
        <w:rPr>
          <w:rFonts w:cs="Arial"/>
          <w:szCs w:val="22"/>
        </w:rPr>
        <w:t>e</w:t>
      </w:r>
      <w:r w:rsidR="00C47326" w:rsidRPr="00734D3B">
        <w:rPr>
          <w:rFonts w:cs="Arial"/>
          <w:szCs w:val="22"/>
        </w:rPr>
        <w:t xml:space="preserve"> vacío</w:t>
      </w:r>
      <w:r w:rsidR="006E465A" w:rsidRPr="00734D3B">
        <w:rPr>
          <w:rFonts w:cs="Arial"/>
          <w:szCs w:val="22"/>
        </w:rPr>
        <w:t xml:space="preserve"> </w:t>
      </w:r>
      <w:r w:rsidR="00A42CF5" w:rsidRPr="00734D3B">
        <w:rPr>
          <w:rFonts w:cs="Arial"/>
          <w:szCs w:val="22"/>
        </w:rPr>
        <w:t>metodológico</w:t>
      </w:r>
      <w:r w:rsidR="00C47326" w:rsidRPr="00734D3B">
        <w:rPr>
          <w:rFonts w:cs="Arial"/>
          <w:szCs w:val="22"/>
        </w:rPr>
        <w:t xml:space="preserve">, </w:t>
      </w:r>
      <w:r w:rsidR="00AD57BB" w:rsidRPr="00734D3B">
        <w:rPr>
          <w:rFonts w:cs="Arial"/>
          <w:szCs w:val="22"/>
        </w:rPr>
        <w:t>y ofrecer</w:t>
      </w:r>
      <w:r w:rsidR="00C47326" w:rsidRPr="00734D3B">
        <w:rPr>
          <w:rFonts w:cs="Arial"/>
          <w:szCs w:val="22"/>
        </w:rPr>
        <w:t xml:space="preserve"> una base técnica y práctica que facilite la aplicación de buenas prácticas ambientales y promueva una gestión responsable y eficiente en el sector eléctrico de la construcción en Arizona.</w:t>
      </w:r>
    </w:p>
    <w:p w14:paraId="2566E107" w14:textId="77777777" w:rsidR="00264EEB" w:rsidRPr="00734D3B" w:rsidRDefault="00264EEB" w:rsidP="00AC4635">
      <w:pPr>
        <w:pStyle w:val="Heading3"/>
      </w:pPr>
      <w:bookmarkStart w:id="109" w:name="_Toc128545226"/>
      <w:bookmarkStart w:id="110" w:name="_Toc128550684"/>
      <w:bookmarkStart w:id="111" w:name="_Toc129078484"/>
      <w:bookmarkStart w:id="112" w:name="_Toc129687591"/>
      <w:bookmarkStart w:id="113" w:name="_Toc128550818"/>
      <w:bookmarkStart w:id="114" w:name="_Toc129077954"/>
      <w:bookmarkStart w:id="115" w:name="_Toc129762556"/>
      <w:bookmarkStart w:id="116" w:name="_Toc130340805"/>
      <w:bookmarkStart w:id="117" w:name="_Toc130342098"/>
      <w:bookmarkStart w:id="118" w:name="_Toc128544073"/>
      <w:bookmarkStart w:id="119" w:name="_Toc128542845"/>
      <w:bookmarkStart w:id="120" w:name="_Toc128550244"/>
      <w:bookmarkStart w:id="121" w:name="_Toc128543685"/>
      <w:bookmarkStart w:id="122" w:name="_Toc128550366"/>
      <w:bookmarkStart w:id="123" w:name="_Toc128550980"/>
      <w:bookmarkStart w:id="124" w:name="_Toc128544769"/>
      <w:bookmarkStart w:id="125" w:name="_Toc128550551"/>
      <w:bookmarkStart w:id="126" w:name="_Toc128552734"/>
      <w:bookmarkStart w:id="127" w:name="_Toc129078350"/>
      <w:bookmarkStart w:id="128" w:name="_Toc128545508"/>
      <w:bookmarkStart w:id="129" w:name="_Toc130342522"/>
      <w:bookmarkStart w:id="130" w:name="_Toc130343279"/>
      <w:bookmarkStart w:id="131" w:name="_Toc227936381"/>
      <w:r w:rsidRPr="00734D3B">
        <w:t>Misión y visión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CDFE5E9" w14:textId="591C0D03" w:rsidR="0056725B" w:rsidRPr="00734D3B" w:rsidRDefault="0056725B" w:rsidP="0056725B">
      <w:r w:rsidRPr="00734D3B">
        <w:t xml:space="preserve">La misión y la visión de una organización son elementos muy importantes porque ayudan a definir su propósito y el rumbo que quiere seguir. Según </w:t>
      </w:r>
      <w:r w:rsidR="005F37EA" w:rsidRPr="00734D3B">
        <w:t>Kotler &amp; Armstrong (2021)</w:t>
      </w:r>
      <w:r w:rsidR="000E6A9B" w:rsidRPr="00734D3B">
        <w:t xml:space="preserve"> </w:t>
      </w:r>
      <w:r w:rsidRPr="00734D3B">
        <w:t>la misión explica el por qué existe una organización, mientras que la visión muestra lo que quiere llegar a ser en el futuro</w:t>
      </w:r>
      <w:r w:rsidR="002B1B7B" w:rsidRPr="00734D3B">
        <w:t xml:space="preserve"> cercano</w:t>
      </w:r>
      <w:r w:rsidRPr="00734D3B">
        <w:t xml:space="preserve">. En otras palabras, la misión dice qué se hace y por qué, y la </w:t>
      </w:r>
      <w:r w:rsidRPr="00734D3B">
        <w:lastRenderedPageBreak/>
        <w:t xml:space="preserve">visión señala hacia dónde se quiere llegar. En las empresas, ambos conceptos </w:t>
      </w:r>
      <w:r w:rsidR="00EA03AC" w:rsidRPr="00734D3B">
        <w:t>son utilizados</w:t>
      </w:r>
      <w:r w:rsidRPr="00734D3B">
        <w:t xml:space="preserve"> como guía </w:t>
      </w:r>
      <w:r w:rsidR="00EA03AC" w:rsidRPr="00734D3B">
        <w:t xml:space="preserve">a seguir </w:t>
      </w:r>
      <w:r w:rsidRPr="00734D3B">
        <w:t>para</w:t>
      </w:r>
      <w:r w:rsidR="003E7902" w:rsidRPr="00734D3B">
        <w:t xml:space="preserve"> la </w:t>
      </w:r>
      <w:r w:rsidRPr="00734D3B">
        <w:t>toma</w:t>
      </w:r>
      <w:r w:rsidR="003E7902" w:rsidRPr="00734D3B">
        <w:t xml:space="preserve"> de</w:t>
      </w:r>
      <w:r w:rsidRPr="00734D3B">
        <w:t xml:space="preserve"> decisiones y </w:t>
      </w:r>
      <w:r w:rsidR="003E7902" w:rsidRPr="00734D3B">
        <w:t xml:space="preserve">para </w:t>
      </w:r>
      <w:r w:rsidR="00EA03AC" w:rsidRPr="00734D3B">
        <w:t>dirigir a los diferentes equipos</w:t>
      </w:r>
      <w:r w:rsidR="003E7902" w:rsidRPr="00734D3B">
        <w:t xml:space="preserve"> bajo</w:t>
      </w:r>
      <w:r w:rsidRPr="00734D3B">
        <w:t xml:space="preserve"> los mismos objetivos.</w:t>
      </w:r>
    </w:p>
    <w:p w14:paraId="1F10D17C" w14:textId="0FF61A19" w:rsidR="00A5535E" w:rsidRPr="00734D3B" w:rsidRDefault="0056725B" w:rsidP="0056725B">
      <w:r w:rsidRPr="00734D3B">
        <w:t xml:space="preserve">En el caso de la industria de contratistas eléctricos en Arizona, su misión y visión están relacionadas con el compromiso de diseñar, </w:t>
      </w:r>
      <w:r w:rsidR="00EC5148" w:rsidRPr="00734D3B">
        <w:t>desarrollar</w:t>
      </w:r>
      <w:r w:rsidRPr="00734D3B">
        <w:t xml:space="preserve"> y mantener sistemas eléctricos seguros, eficientes e innovadores que respondan al crecimiento tecnológico y energético del estado. Estas empresas, en su mayoría medianas y grandes, tienen como misión brindar soluciones eléctricas confiables que impulsen el desarrollo económico y tecnológico de la región, garantizando la seguridad y la calidad en cada proyecto</w:t>
      </w:r>
      <w:r w:rsidR="00A5535E" w:rsidRPr="00734D3B">
        <w:t>. Por ejemplo, Switch Electric declara que su misión es ‘construir para la comunidad y los socios, y ofrecer oportunidades para personas que valoran el desempeño excepcional y la calidad de vida (Switch Electric, s.f.).</w:t>
      </w:r>
    </w:p>
    <w:p w14:paraId="10C744D1" w14:textId="59569BEF" w:rsidR="0056725B" w:rsidRPr="00734D3B" w:rsidRDefault="0056725B" w:rsidP="0056725B">
      <w:r w:rsidRPr="00734D3B">
        <w:t xml:space="preserve">Por </w:t>
      </w:r>
      <w:r w:rsidR="00EC5148" w:rsidRPr="00734D3B">
        <w:t>otra parte,</w:t>
      </w:r>
      <w:r w:rsidRPr="00734D3B">
        <w:t xml:space="preserve"> la visión</w:t>
      </w:r>
      <w:r w:rsidR="00EC5148" w:rsidRPr="00734D3B">
        <w:t xml:space="preserve"> conjunta</w:t>
      </w:r>
      <w:r w:rsidRPr="00734D3B">
        <w:t xml:space="preserve"> del sector busca que Arizona se consolide como un referente en innovación eléctrica y construcción tecnológica, </w:t>
      </w:r>
      <w:r w:rsidR="00EC5148" w:rsidRPr="00734D3B">
        <w:t>promoviendo que</w:t>
      </w:r>
      <w:r w:rsidRPr="00734D3B">
        <w:t xml:space="preserve"> las empresas contratistas trabajen con altos estándares técnicos y buenas prácticas ambientales. Según la </w:t>
      </w:r>
      <w:proofErr w:type="spellStart"/>
      <w:r w:rsidRPr="00734D3B">
        <w:t>National</w:t>
      </w:r>
      <w:proofErr w:type="spellEnd"/>
      <w:r w:rsidRPr="00734D3B">
        <w:t xml:space="preserve"> </w:t>
      </w:r>
      <w:proofErr w:type="spellStart"/>
      <w:r w:rsidRPr="00734D3B">
        <w:t>Electrical</w:t>
      </w:r>
      <w:proofErr w:type="spellEnd"/>
      <w:r w:rsidRPr="00734D3B">
        <w:t xml:space="preserve"> </w:t>
      </w:r>
      <w:proofErr w:type="spellStart"/>
      <w:r w:rsidRPr="00734D3B">
        <w:t>Contractors</w:t>
      </w:r>
      <w:proofErr w:type="spellEnd"/>
      <w:r w:rsidRPr="00734D3B">
        <w:t xml:space="preserve"> </w:t>
      </w:r>
      <w:proofErr w:type="spellStart"/>
      <w:r w:rsidRPr="00734D3B">
        <w:t>Association</w:t>
      </w:r>
      <w:proofErr w:type="spellEnd"/>
      <w:r w:rsidRPr="00734D3B">
        <w:t xml:space="preserve"> (NECA, 2023), el futuro del sector dependerá de la capacidad de las empresas para adoptar la digitalización, el uso de energías limpias y la sostenibilidad, fortaleciendo así su posición en un mercado cada vez más competitivo.</w:t>
      </w:r>
    </w:p>
    <w:p w14:paraId="52C5F047" w14:textId="292AB8DA" w:rsidR="00754713" w:rsidRPr="00734D3B" w:rsidRDefault="00754713" w:rsidP="0056725B">
      <w:r w:rsidRPr="00734D3B">
        <w:t xml:space="preserve">Si seguimos con </w:t>
      </w:r>
      <w:r w:rsidR="00CB130D" w:rsidRPr="00734D3B">
        <w:t>una perspectiva corporativa</w:t>
      </w:r>
      <w:r w:rsidR="00886072" w:rsidRPr="00734D3B">
        <w:t xml:space="preserve"> para la </w:t>
      </w:r>
      <w:r w:rsidR="00CB130D" w:rsidRPr="00734D3B">
        <w:t>industria eléctrica de Arizona</w:t>
      </w:r>
      <w:r w:rsidR="00886072" w:rsidRPr="00734D3B">
        <w:t xml:space="preserve">, la misión podría </w:t>
      </w:r>
      <w:r w:rsidR="00CB130D" w:rsidRPr="00734D3B">
        <w:t xml:space="preserve">ser la siguiente: </w:t>
      </w:r>
    </w:p>
    <w:p w14:paraId="04D0ABD8" w14:textId="5D67B838" w:rsidR="00CB130D" w:rsidRPr="00734D3B" w:rsidRDefault="00640470" w:rsidP="00CB130D">
      <w:pPr>
        <w:tabs>
          <w:tab w:val="left" w:pos="5595"/>
        </w:tabs>
      </w:pPr>
      <w:r w:rsidRPr="00734D3B">
        <w:t>Diseñar y ejecutar soluciones eléctricas seguras, eficientes e innovadoras que impulsen el crecimiento tecnológico y económico del estado de Arizona, contribuyendo a la calidad, productividad y sostenibilidad de los diferentes proyectos.</w:t>
      </w:r>
    </w:p>
    <w:p w14:paraId="362ED914" w14:textId="1705D3C9" w:rsidR="00640470" w:rsidRPr="00734D3B" w:rsidRDefault="00D36BF4" w:rsidP="00CB130D">
      <w:pPr>
        <w:tabs>
          <w:tab w:val="left" w:pos="5595"/>
        </w:tabs>
      </w:pPr>
      <w:r w:rsidRPr="00734D3B">
        <w:t xml:space="preserve">Mientras que la visión </w:t>
      </w:r>
      <w:r w:rsidR="00FF6C7B" w:rsidRPr="00734D3B">
        <w:t xml:space="preserve">de largo plazo para el sector podría ser representada así: </w:t>
      </w:r>
    </w:p>
    <w:p w14:paraId="3CCB2F21" w14:textId="7E8996CD" w:rsidR="009F3578" w:rsidRPr="00734D3B" w:rsidRDefault="009F3578" w:rsidP="00CB130D">
      <w:pPr>
        <w:tabs>
          <w:tab w:val="left" w:pos="5595"/>
        </w:tabs>
      </w:pPr>
      <w:r w:rsidRPr="00734D3B">
        <w:lastRenderedPageBreak/>
        <w:t xml:space="preserve">Convertirse en una industria eléctrica líder a nivel nacional, que es reconocida por su excelencia técnica, innovación continua y compromiso con la sostenibilidad y </w:t>
      </w:r>
      <w:r w:rsidR="00BB3389" w:rsidRPr="00734D3B">
        <w:t>un</w:t>
      </w:r>
      <w:r w:rsidRPr="00734D3B">
        <w:t xml:space="preserve"> desarrollo responsable.</w:t>
      </w:r>
    </w:p>
    <w:p w14:paraId="2B9E2891" w14:textId="05DD4192" w:rsidR="00885542" w:rsidRPr="00734D3B" w:rsidRDefault="00EF06D0" w:rsidP="00885542">
      <w:pPr>
        <w:tabs>
          <w:tab w:val="left" w:pos="5595"/>
        </w:tabs>
      </w:pPr>
      <w:r w:rsidRPr="00734D3B">
        <w:t xml:space="preserve">Como se </w:t>
      </w:r>
      <w:r w:rsidR="000E62FF" w:rsidRPr="00734D3B">
        <w:t>mencionó</w:t>
      </w:r>
      <w:r w:rsidRPr="00734D3B">
        <w:t xml:space="preserve"> anteriormente, </w:t>
      </w:r>
      <w:r w:rsidR="000E62FF" w:rsidRPr="00734D3B">
        <w:t>l</w:t>
      </w:r>
      <w:r w:rsidR="00885542" w:rsidRPr="00734D3B">
        <w:t xml:space="preserve">a misión y la visión son muy importantes para esta industria porque sirven como guía para tomar decisiones y mejorar continuamente. </w:t>
      </w:r>
      <w:r w:rsidR="00C56F46" w:rsidRPr="00734D3B">
        <w:t>Según Kotler &amp; Armstrong (2021)</w:t>
      </w:r>
      <w:r w:rsidR="00885542" w:rsidRPr="00734D3B">
        <w:t>, la misión ayuda a definir los objetivos estratégicos, mientras que la visión impulsa la innovación y la capacidad de adaptarse a los cambios. En el caso del sector eléctrico de Arizona, estos dos conceptos</w:t>
      </w:r>
      <w:r w:rsidR="000E62FF" w:rsidRPr="00734D3B">
        <w:t xml:space="preserve"> son los que</w:t>
      </w:r>
      <w:r w:rsidR="00885542" w:rsidRPr="00734D3B">
        <w:t xml:space="preserve"> orientan a las empresas a buscar la excelencia técnica y </w:t>
      </w:r>
      <w:r w:rsidR="00423DA8" w:rsidRPr="00734D3B">
        <w:t xml:space="preserve">la mejora constante </w:t>
      </w:r>
      <w:r w:rsidR="00885542" w:rsidRPr="00734D3B">
        <w:t>como parte fundamental del éxito.</w:t>
      </w:r>
    </w:p>
    <w:p w14:paraId="6D870C07" w14:textId="275128FD" w:rsidR="00885542" w:rsidRPr="00734D3B" w:rsidRDefault="00885542" w:rsidP="00885542">
      <w:pPr>
        <w:tabs>
          <w:tab w:val="left" w:pos="5595"/>
        </w:tabs>
      </w:pPr>
      <w:r w:rsidRPr="00734D3B">
        <w:t xml:space="preserve">La relación entre la visión del sector y el propósito de este Proyecto Final de Graduación (PFG) es directa. La creación de una guía metodológica de gestión sostenible ayuda a cumplir con la visión de una industria más moderna y responsable, ya que ofrece herramientas prácticas para incluir criterios ambientales y </w:t>
      </w:r>
      <w:r w:rsidR="00475F88" w:rsidRPr="00734D3B">
        <w:t>sociales, aspectos que se han convertido en diferenciadores muy importantes en la actualidad</w:t>
      </w:r>
      <w:r w:rsidR="00180370" w:rsidRPr="00734D3B">
        <w:t>.</w:t>
      </w:r>
      <w:r w:rsidRPr="00734D3B">
        <w:t xml:space="preserve"> Con esta guía, </w:t>
      </w:r>
      <w:r w:rsidR="008278A3" w:rsidRPr="00734D3B">
        <w:t xml:space="preserve">se facilitará a </w:t>
      </w:r>
      <w:r w:rsidRPr="00734D3B">
        <w:t xml:space="preserve">los contratistas </w:t>
      </w:r>
      <w:r w:rsidR="00DE7650" w:rsidRPr="00734D3B">
        <w:t>los puntos clave para</w:t>
      </w:r>
      <w:r w:rsidRPr="00734D3B">
        <w:t xml:space="preserve"> alinear su misión diaria con los principios de sostenibilidad y eficiencia, mejorando la forma en que manejan los residuos</w:t>
      </w:r>
      <w:r w:rsidR="00DE7650" w:rsidRPr="00734D3B">
        <w:t xml:space="preserve"> </w:t>
      </w:r>
      <w:r w:rsidRPr="00734D3B">
        <w:t>y el cumplimiento de las normas ambientales.</w:t>
      </w:r>
    </w:p>
    <w:p w14:paraId="02FA9527" w14:textId="3E0C8E0D" w:rsidR="00885542" w:rsidRPr="00734D3B" w:rsidRDefault="00E11CB9" w:rsidP="00CB130D">
      <w:pPr>
        <w:tabs>
          <w:tab w:val="left" w:pos="5595"/>
        </w:tabs>
      </w:pPr>
      <w:r w:rsidRPr="00734D3B">
        <w:t>Este PFG no solo busca responder a las necesidades técnicas de la industria, sino que también amplía su objetivo al incluir la sostenibilidad como una parte importante del buen trabajo y del crecimiento de las empresas.</w:t>
      </w:r>
    </w:p>
    <w:p w14:paraId="2F04C5BA" w14:textId="77777777" w:rsidR="00264EEB" w:rsidRPr="00734D3B" w:rsidRDefault="00264EEB" w:rsidP="00AC4635">
      <w:pPr>
        <w:pStyle w:val="Heading3"/>
      </w:pPr>
      <w:bookmarkStart w:id="132" w:name="_Toc128552735"/>
      <w:bookmarkStart w:id="133" w:name="_Toc129078351"/>
      <w:bookmarkStart w:id="134" w:name="_Toc128550552"/>
      <w:bookmarkStart w:id="135" w:name="_Toc129762557"/>
      <w:bookmarkStart w:id="136" w:name="_Toc128545509"/>
      <w:bookmarkStart w:id="137" w:name="_Toc130342523"/>
      <w:bookmarkStart w:id="138" w:name="_Toc130343280"/>
      <w:bookmarkStart w:id="139" w:name="_Toc129078485"/>
      <w:bookmarkStart w:id="140" w:name="_Toc128543686"/>
      <w:bookmarkStart w:id="141" w:name="_Toc128550685"/>
      <w:bookmarkStart w:id="142" w:name="_Toc129077955"/>
      <w:bookmarkStart w:id="143" w:name="_Toc129687592"/>
      <w:bookmarkStart w:id="144" w:name="_Toc130340806"/>
      <w:bookmarkStart w:id="145" w:name="_Toc128544770"/>
      <w:bookmarkStart w:id="146" w:name="_Toc128550245"/>
      <w:bookmarkStart w:id="147" w:name="_Toc128550819"/>
      <w:bookmarkStart w:id="148" w:name="_Toc130342099"/>
      <w:bookmarkStart w:id="149" w:name="_Toc128542846"/>
      <w:bookmarkStart w:id="150" w:name="_Toc128550367"/>
      <w:bookmarkStart w:id="151" w:name="_Toc128544074"/>
      <w:bookmarkStart w:id="152" w:name="_Toc128550981"/>
      <w:bookmarkStart w:id="153" w:name="_Toc128545227"/>
      <w:bookmarkStart w:id="154" w:name="_Toc227936382"/>
      <w:r w:rsidRPr="00734D3B">
        <w:t>Estructura organizativa</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46AAF8AC" w14:textId="7DCD7458" w:rsidR="00DA0E07" w:rsidRPr="00734D3B" w:rsidRDefault="008C1295" w:rsidP="00DA0E07">
      <w:r w:rsidRPr="00734D3B">
        <w:t xml:space="preserve">La estructura organizativa es el sistema que muestra cómo se distribuyen las responsabilidades, cómo se comunican las personas y cuál es la jerarquía dentro de una empresa. Según Robbins y Coulter (2018), esta estructura ayuda a coordinar las actividades y a asignar funciones para que cada área contribuya al logro de los objetivos. En el caso de los contratistas eléctricos, tener una estructura clara y bien organizada es muy importante, sobre </w:t>
      </w:r>
      <w:r w:rsidRPr="00734D3B">
        <w:lastRenderedPageBreak/>
        <w:t>todo en proyectos grandes como los centros de datos, donde participan muchos equipos técnicos y es necesaria una buena coordinación.</w:t>
      </w:r>
    </w:p>
    <w:p w14:paraId="0364FA11" w14:textId="5D968C12" w:rsidR="00286A82" w:rsidRPr="00734D3B" w:rsidRDefault="00171048" w:rsidP="001E5AD7">
      <w:pPr>
        <w:pStyle w:val="Figura1"/>
        <w:ind w:firstLine="706"/>
        <w:rPr>
          <w:rFonts w:cs="Arial"/>
          <w:b w:val="0"/>
          <w:bCs/>
          <w:szCs w:val="22"/>
        </w:rPr>
      </w:pPr>
      <w:r w:rsidRPr="00734D3B">
        <w:rPr>
          <w:rFonts w:cs="Arial"/>
          <w:b w:val="0"/>
          <w:bCs/>
          <w:szCs w:val="22"/>
        </w:rPr>
        <w:t>Para ilustrar</w:t>
      </w:r>
      <w:r w:rsidR="0066408B" w:rsidRPr="00734D3B">
        <w:rPr>
          <w:rFonts w:cs="Arial"/>
          <w:b w:val="0"/>
          <w:bCs/>
          <w:szCs w:val="22"/>
        </w:rPr>
        <w:t xml:space="preserve"> con un ejemplo </w:t>
      </w:r>
      <w:r w:rsidR="00E956DC" w:rsidRPr="00734D3B">
        <w:rPr>
          <w:rFonts w:cs="Arial"/>
          <w:b w:val="0"/>
          <w:bCs/>
          <w:szCs w:val="22"/>
        </w:rPr>
        <w:t>práctico</w:t>
      </w:r>
      <w:r w:rsidR="008D5F0B" w:rsidRPr="00734D3B">
        <w:rPr>
          <w:rFonts w:cs="Arial"/>
          <w:b w:val="0"/>
          <w:bCs/>
          <w:szCs w:val="22"/>
        </w:rPr>
        <w:t xml:space="preserve"> de una contratista </w:t>
      </w:r>
      <w:r w:rsidR="00286A82" w:rsidRPr="00734D3B">
        <w:rPr>
          <w:rFonts w:cs="Arial"/>
          <w:b w:val="0"/>
          <w:bCs/>
          <w:szCs w:val="22"/>
        </w:rPr>
        <w:t xml:space="preserve">eléctrica en Arizona, </w:t>
      </w:r>
      <w:r w:rsidR="001548AA" w:rsidRPr="00734D3B">
        <w:rPr>
          <w:rFonts w:cs="Arial"/>
          <w:b w:val="0"/>
          <w:bCs/>
          <w:szCs w:val="22"/>
        </w:rPr>
        <w:t xml:space="preserve">donde </w:t>
      </w:r>
      <w:r w:rsidR="00286A82" w:rsidRPr="00734D3B">
        <w:rPr>
          <w:rFonts w:cs="Arial"/>
          <w:b w:val="0"/>
          <w:bCs/>
          <w:szCs w:val="22"/>
        </w:rPr>
        <w:t>suele</w:t>
      </w:r>
      <w:r w:rsidR="001548AA" w:rsidRPr="00734D3B">
        <w:rPr>
          <w:rFonts w:cs="Arial"/>
          <w:b w:val="0"/>
          <w:bCs/>
          <w:szCs w:val="22"/>
        </w:rPr>
        <w:t xml:space="preserve">n utilizar </w:t>
      </w:r>
      <w:r w:rsidR="00E956DC" w:rsidRPr="00734D3B">
        <w:rPr>
          <w:rFonts w:cs="Arial"/>
          <w:b w:val="0"/>
          <w:bCs/>
          <w:szCs w:val="22"/>
        </w:rPr>
        <w:t>estructura</w:t>
      </w:r>
      <w:r w:rsidR="00775B1B" w:rsidRPr="00734D3B">
        <w:rPr>
          <w:rFonts w:cs="Arial"/>
          <w:b w:val="0"/>
          <w:bCs/>
          <w:szCs w:val="22"/>
        </w:rPr>
        <w:t xml:space="preserve"> matricial funcional. Este tipo de organización permite que las personas de diferentes áreas trabajen juntas y se comuniquen con facilidad, tanto con los jefes generales como con los encargados de cada proyecto. Este modelo ayuda a manejar varios proyectos al mismo tiempo, aprovechando mejor los recursos humanos </w:t>
      </w:r>
      <w:r w:rsidR="001A6B0F" w:rsidRPr="00734D3B">
        <w:rPr>
          <w:rFonts w:cs="Arial"/>
          <w:b w:val="0"/>
          <w:bCs/>
          <w:szCs w:val="22"/>
        </w:rPr>
        <w:t>limitados</w:t>
      </w:r>
      <w:r w:rsidR="00775B1B" w:rsidRPr="00734D3B">
        <w:rPr>
          <w:rFonts w:cs="Arial"/>
          <w:b w:val="0"/>
          <w:bCs/>
          <w:szCs w:val="22"/>
        </w:rPr>
        <w:t>. Según Kerzner (2022), las estructuras matriciales equilibradas son muy útiles en proyectos de ingeniería y construcción, porque fomentan el trabajo en equipo entre las áreas técnicas, administrativas y de campo.</w:t>
      </w:r>
    </w:p>
    <w:p w14:paraId="545DF44C" w14:textId="586AB297" w:rsidR="001A6B0F" w:rsidRPr="00734D3B" w:rsidRDefault="001E5AD7" w:rsidP="001E5AD7">
      <w:pPr>
        <w:pStyle w:val="Figura1"/>
        <w:ind w:firstLine="706"/>
        <w:rPr>
          <w:rFonts w:cs="Arial"/>
          <w:b w:val="0"/>
          <w:bCs/>
          <w:szCs w:val="22"/>
        </w:rPr>
      </w:pPr>
      <w:r w:rsidRPr="00734D3B">
        <w:rPr>
          <w:rFonts w:cs="Arial"/>
          <w:b w:val="0"/>
          <w:bCs/>
          <w:szCs w:val="22"/>
        </w:rPr>
        <w:t>La estructura general de XXX Electric, representa bien al sector de contratistas eléctricos, está formada por una Vicepresidencia de Operaciones, encargada de planificar, ejecutar y controlar los proyectos</w:t>
      </w:r>
      <w:r w:rsidR="000A54D4" w:rsidRPr="00734D3B">
        <w:rPr>
          <w:rFonts w:cs="Arial"/>
          <w:b w:val="0"/>
          <w:bCs/>
          <w:szCs w:val="22"/>
        </w:rPr>
        <w:t xml:space="preserve"> regionales</w:t>
      </w:r>
      <w:r w:rsidRPr="00734D3B">
        <w:rPr>
          <w:rFonts w:cs="Arial"/>
          <w:b w:val="0"/>
          <w:bCs/>
          <w:szCs w:val="22"/>
        </w:rPr>
        <w:t>. Debajo de esta dirección se encuentran las principales áreas de apoyo</w:t>
      </w:r>
      <w:r w:rsidR="000A54D4" w:rsidRPr="00734D3B">
        <w:rPr>
          <w:rFonts w:cs="Arial"/>
          <w:b w:val="0"/>
          <w:bCs/>
          <w:szCs w:val="22"/>
        </w:rPr>
        <w:t xml:space="preserve"> para los proyectos</w:t>
      </w:r>
      <w:r w:rsidRPr="00734D3B">
        <w:rPr>
          <w:rFonts w:cs="Arial"/>
          <w:b w:val="0"/>
          <w:bCs/>
          <w:szCs w:val="22"/>
        </w:rPr>
        <w:t>: Gerencia de Proyectos, Compras, Operaciones, Seguridad, Control de Calidad y Capacitación</w:t>
      </w:r>
      <w:r w:rsidR="00614E29" w:rsidRPr="00734D3B">
        <w:rPr>
          <w:rFonts w:cs="Arial"/>
          <w:b w:val="0"/>
          <w:bCs/>
          <w:szCs w:val="22"/>
        </w:rPr>
        <w:t>, donde c</w:t>
      </w:r>
      <w:r w:rsidRPr="00734D3B">
        <w:rPr>
          <w:rFonts w:cs="Arial"/>
          <w:b w:val="0"/>
          <w:bCs/>
          <w:szCs w:val="22"/>
        </w:rPr>
        <w:t>ada una cumple un papel importante para asegurar que los proyectos se realicen con calidad</w:t>
      </w:r>
      <w:r w:rsidR="00614E29" w:rsidRPr="00734D3B">
        <w:rPr>
          <w:rFonts w:cs="Arial"/>
          <w:b w:val="0"/>
          <w:bCs/>
          <w:szCs w:val="22"/>
        </w:rPr>
        <w:t xml:space="preserve"> en tiempo y forma.</w:t>
      </w:r>
    </w:p>
    <w:p w14:paraId="3C0CEA4C" w14:textId="73B998F2" w:rsidR="008117B9" w:rsidRPr="00734D3B" w:rsidRDefault="008117B9" w:rsidP="008117B9">
      <w:pPr>
        <w:pStyle w:val="Figura1"/>
        <w:ind w:firstLine="706"/>
        <w:rPr>
          <w:rFonts w:cs="Arial"/>
          <w:b w:val="0"/>
          <w:szCs w:val="22"/>
        </w:rPr>
      </w:pPr>
      <w:r w:rsidRPr="00734D3B">
        <w:rPr>
          <w:rFonts w:cs="Arial"/>
          <w:b w:val="0"/>
          <w:szCs w:val="22"/>
        </w:rPr>
        <w:t xml:space="preserve">La siguiente figura muestra un modelo de estructura organizativa típico de una empresa contratista eléctrica, basado en la referencia de </w:t>
      </w:r>
      <w:r w:rsidR="000A0ACA" w:rsidRPr="00734D3B">
        <w:rPr>
          <w:rFonts w:cs="Arial"/>
          <w:b w:val="0"/>
          <w:szCs w:val="22"/>
        </w:rPr>
        <w:t>XXX</w:t>
      </w:r>
      <w:r w:rsidRPr="00734D3B">
        <w:rPr>
          <w:rFonts w:cs="Arial"/>
          <w:b w:val="0"/>
          <w:szCs w:val="22"/>
        </w:rPr>
        <w:t xml:space="preserve"> Electric. En este ejemplo se puede ver cómo se distribuyen los niveles jerárquicos entre la dirección operativa y las </w:t>
      </w:r>
      <w:r w:rsidR="0012164C" w:rsidRPr="00734D3B">
        <w:rPr>
          <w:rFonts w:cs="Arial"/>
          <w:b w:val="0"/>
          <w:szCs w:val="22"/>
        </w:rPr>
        <w:t xml:space="preserve">diversas </w:t>
      </w:r>
      <w:r w:rsidRPr="00734D3B">
        <w:rPr>
          <w:rFonts w:cs="Arial"/>
          <w:b w:val="0"/>
          <w:szCs w:val="22"/>
        </w:rPr>
        <w:t>áreas de apoyo técnico y administrativo.</w:t>
      </w:r>
    </w:p>
    <w:p w14:paraId="56EFA0DE" w14:textId="3AD11777" w:rsidR="00264EEB" w:rsidRPr="00734D3B" w:rsidRDefault="00A13F00" w:rsidP="00A13F00">
      <w:pPr>
        <w:pStyle w:val="Caption"/>
        <w:rPr>
          <w:bCs/>
          <w:i/>
          <w:iCs/>
          <w:color w:val="auto"/>
        </w:rPr>
      </w:pPr>
      <w:r w:rsidRPr="00734D3B">
        <w:rPr>
          <w:noProof/>
          <w:color w:val="auto"/>
        </w:rPr>
        <w:lastRenderedPageBreak/>
        <mc:AlternateContent>
          <mc:Choice Requires="wps">
            <w:drawing>
              <wp:anchor distT="0" distB="0" distL="114300" distR="114300" simplePos="0" relativeHeight="251663360" behindDoc="1" locked="0" layoutInCell="1" allowOverlap="1" wp14:anchorId="027DFC49" wp14:editId="1A5F71DF">
                <wp:simplePos x="0" y="0"/>
                <wp:positionH relativeFrom="column">
                  <wp:posOffset>38100</wp:posOffset>
                </wp:positionH>
                <wp:positionV relativeFrom="paragraph">
                  <wp:posOffset>0</wp:posOffset>
                </wp:positionV>
                <wp:extent cx="5944870" cy="457200"/>
                <wp:effectExtent l="0" t="0" r="0" b="0"/>
                <wp:wrapTight wrapText="bothSides">
                  <wp:wrapPolygon edited="0">
                    <wp:start x="0" y="0"/>
                    <wp:lineTo x="0" y="20700"/>
                    <wp:lineTo x="21526" y="20700"/>
                    <wp:lineTo x="21526" y="0"/>
                    <wp:lineTo x="0" y="0"/>
                  </wp:wrapPolygon>
                </wp:wrapTight>
                <wp:docPr id="353522621" name="Text Box 1"/>
                <wp:cNvGraphicFramePr/>
                <a:graphic xmlns:a="http://schemas.openxmlformats.org/drawingml/2006/main">
                  <a:graphicData uri="http://schemas.microsoft.com/office/word/2010/wordprocessingShape">
                    <wps:wsp>
                      <wps:cNvSpPr txBox="1"/>
                      <wps:spPr>
                        <a:xfrm>
                          <a:off x="0" y="0"/>
                          <a:ext cx="5944870" cy="457200"/>
                        </a:xfrm>
                        <a:prstGeom prst="rect">
                          <a:avLst/>
                        </a:prstGeom>
                        <a:solidFill>
                          <a:prstClr val="white"/>
                        </a:solidFill>
                        <a:ln>
                          <a:noFill/>
                        </a:ln>
                      </wps:spPr>
                      <wps:txbx>
                        <w:txbxContent>
                          <w:p w14:paraId="0C58841E" w14:textId="0936ACDA" w:rsidR="00A13F00" w:rsidRPr="00924518" w:rsidRDefault="00A13F00" w:rsidP="00A13F00">
                            <w:pPr>
                              <w:pStyle w:val="Caption"/>
                              <w:rPr>
                                <w:rFonts w:cs="Arial"/>
                                <w:noProof/>
                                <w:szCs w:val="22"/>
                              </w:rPr>
                            </w:pPr>
                            <w:bookmarkStart w:id="155" w:name="_Toc227937855"/>
                            <w:r>
                              <w:t xml:space="preserve">Figura </w:t>
                            </w:r>
                            <w:r>
                              <w:fldChar w:fldCharType="begin"/>
                            </w:r>
                            <w:r>
                              <w:instrText xml:space="preserve"> SEQ Figura \* ARABIC </w:instrText>
                            </w:r>
                            <w:r>
                              <w:fldChar w:fldCharType="separate"/>
                            </w:r>
                            <w:r>
                              <w:rPr>
                                <w:noProof/>
                              </w:rPr>
                              <w:t>1</w:t>
                            </w:r>
                            <w:r>
                              <w:rPr>
                                <w:noProof/>
                              </w:rPr>
                              <w:fldChar w:fldCharType="end"/>
                            </w:r>
                            <w:r>
                              <w:t xml:space="preserve"> </w:t>
                            </w:r>
                            <w:r w:rsidR="002A3B31">
                              <w:br/>
                            </w:r>
                            <w:r w:rsidRPr="002A3B31">
                              <w:rPr>
                                <w:b w:val="0"/>
                                <w:bCs/>
                                <w:i/>
                                <w:iCs/>
                              </w:rPr>
                              <w:t>Estructura Organizativa</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27DFC49" id="_x0000_t202" coordsize="21600,21600" o:spt="202" path="m,l,21600r21600,l21600,xe">
                <v:stroke joinstyle="miter"/>
                <v:path gradientshapeok="t" o:connecttype="rect"/>
              </v:shapetype>
              <v:shape id="Text Box 1" o:spid="_x0000_s1026" type="#_x0000_t202" style="position:absolute;margin-left:3pt;margin-top:0;width:468.1pt;height:3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" stroked="f">
                <v:textbox inset="0,0,0,0">
                  <w:txbxContent>
                    <w:p w14:paraId="0C58841E" w14:textId="0936ACDA" w:rsidR="00A13F00" w:rsidRPr="00924518" w:rsidRDefault="00A13F00" w:rsidP="00A13F00">
                      <w:pPr>
                        <w:pStyle w:val="Caption"/>
                        <w:rPr>
                          <w:rFonts w:cs="Arial"/>
                          <w:noProof/>
                          <w:szCs w:val="22"/>
                        </w:rPr>
                      </w:pPr>
                      <w:bookmarkStart w:id="156" w:name="_Toc227937855"/>
                      <w:r>
                        <w:t xml:space="preserve">Figura </w:t>
                      </w:r>
                      <w:r>
                        <w:fldChar w:fldCharType="begin"/>
                      </w:r>
                      <w:r>
                        <w:instrText xml:space="preserve"> SEQ Figura \* ARABIC </w:instrText>
                      </w:r>
                      <w:r>
                        <w:fldChar w:fldCharType="separate"/>
                      </w:r>
                      <w:r>
                        <w:rPr>
                          <w:noProof/>
                        </w:rPr>
                        <w:t>1</w:t>
                      </w:r>
                      <w:r>
                        <w:rPr>
                          <w:noProof/>
                        </w:rPr>
                        <w:fldChar w:fldCharType="end"/>
                      </w:r>
                      <w:r>
                        <w:t xml:space="preserve"> </w:t>
                      </w:r>
                      <w:r w:rsidR="002A3B31">
                        <w:br/>
                      </w:r>
                      <w:r w:rsidRPr="002A3B31">
                        <w:rPr>
                          <w:b w:val="0"/>
                          <w:bCs/>
                          <w:i/>
                          <w:iCs/>
                        </w:rPr>
                        <w:t>Estructura Organizativa</w:t>
                      </w:r>
                      <w:bookmarkEnd w:id="156"/>
                    </w:p>
                  </w:txbxContent>
                </v:textbox>
                <w10:wrap type="tight"/>
              </v:shape>
            </w:pict>
          </mc:Fallback>
        </mc:AlternateContent>
      </w:r>
      <w:r w:rsidR="00111486" w:rsidRPr="00734D3B">
        <w:rPr>
          <w:rFonts w:cs="Arial"/>
          <w:noProof/>
          <w:color w:val="auto"/>
          <w:szCs w:val="22"/>
        </w:rPr>
        <w:drawing>
          <wp:anchor distT="0" distB="0" distL="114300" distR="114300" simplePos="0" relativeHeight="251655168" behindDoc="1" locked="0" layoutInCell="1" allowOverlap="1" wp14:anchorId="6838E02D" wp14:editId="236340E4">
            <wp:simplePos x="0" y="0"/>
            <wp:positionH relativeFrom="column">
              <wp:posOffset>38100</wp:posOffset>
            </wp:positionH>
            <wp:positionV relativeFrom="paragraph">
              <wp:posOffset>311785</wp:posOffset>
            </wp:positionV>
            <wp:extent cx="5944870" cy="4205605"/>
            <wp:effectExtent l="0" t="0" r="0" b="4445"/>
            <wp:wrapTight wrapText="bothSides">
              <wp:wrapPolygon edited="0">
                <wp:start x="0" y="0"/>
                <wp:lineTo x="0" y="21525"/>
                <wp:lineTo x="21526" y="21525"/>
                <wp:lineTo x="21526" y="0"/>
                <wp:lineTo x="0" y="0"/>
              </wp:wrapPolygon>
            </wp:wrapTight>
            <wp:docPr id="1075404080" name="Picture 1" descr="A screenshot of a company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04080" name="Picture 1" descr="A screenshot of a company structur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4870" cy="4205605"/>
                    </a:xfrm>
                    <a:prstGeom prst="rect">
                      <a:avLst/>
                    </a:prstGeom>
                  </pic:spPr>
                </pic:pic>
              </a:graphicData>
            </a:graphic>
          </wp:anchor>
        </w:drawing>
      </w:r>
      <w:bookmarkStart w:id="157" w:name="_Hlk215242144"/>
      <w:r w:rsidR="00264EEB" w:rsidRPr="00734D3B">
        <w:rPr>
          <w:rFonts w:cs="Arial"/>
          <w:b w:val="0"/>
          <w:bCs/>
          <w:i/>
          <w:iCs/>
          <w:color w:val="auto"/>
          <w:szCs w:val="22"/>
        </w:rPr>
        <w:t xml:space="preserve"> </w:t>
      </w:r>
      <w:bookmarkEnd w:id="157"/>
      <w:r w:rsidR="009454B2" w:rsidRPr="00734D3B">
        <w:rPr>
          <w:rFonts w:cs="Arial"/>
          <w:b w:val="0"/>
          <w:bCs/>
          <w:i/>
          <w:iCs/>
          <w:color w:val="auto"/>
          <w:szCs w:val="22"/>
        </w:rPr>
        <w:tab/>
      </w:r>
    </w:p>
    <w:p w14:paraId="6947FFA7" w14:textId="77777777" w:rsidR="009454B2" w:rsidRPr="00734D3B" w:rsidRDefault="009454B2" w:rsidP="00D7259E">
      <w:pPr>
        <w:pStyle w:val="Figura1"/>
        <w:ind w:firstLine="0"/>
        <w:rPr>
          <w:rFonts w:cs="Arial"/>
          <w:b w:val="0"/>
          <w:bCs/>
          <w:i/>
          <w:iCs/>
          <w:szCs w:val="22"/>
        </w:rPr>
      </w:pPr>
    </w:p>
    <w:p w14:paraId="5E261841" w14:textId="148E6542" w:rsidR="00264EEB" w:rsidRPr="00734D3B" w:rsidRDefault="000859FA" w:rsidP="009F45E8">
      <w:pPr>
        <w:pStyle w:val="Caption"/>
        <w:rPr>
          <w:color w:val="auto"/>
          <w:lang w:val="en-US"/>
        </w:rPr>
      </w:pPr>
      <w:r w:rsidRPr="00734D3B">
        <w:rPr>
          <w:i/>
          <w:iCs/>
          <w:color w:val="auto"/>
          <w:lang w:val="en-US"/>
        </w:rPr>
        <w:t>Nota.</w:t>
      </w:r>
      <w:r w:rsidRPr="00734D3B">
        <w:rPr>
          <w:color w:val="auto"/>
          <w:lang w:val="en-US"/>
        </w:rPr>
        <w:t xml:space="preserve"> </w:t>
      </w:r>
      <w:proofErr w:type="spellStart"/>
      <w:r w:rsidRPr="00734D3B">
        <w:rPr>
          <w:color w:val="auto"/>
          <w:lang w:val="en-US"/>
        </w:rPr>
        <w:t>Tomado</w:t>
      </w:r>
      <w:proofErr w:type="spellEnd"/>
      <w:r w:rsidRPr="00734D3B">
        <w:rPr>
          <w:color w:val="auto"/>
          <w:lang w:val="en-US"/>
        </w:rPr>
        <w:t xml:space="preserve"> de </w:t>
      </w:r>
      <w:r w:rsidRPr="00734D3B">
        <w:rPr>
          <w:i/>
          <w:iCs/>
          <w:color w:val="auto"/>
          <w:lang w:val="en-US"/>
        </w:rPr>
        <w:t>Organizational chart</w:t>
      </w:r>
      <w:r w:rsidRPr="00734D3B">
        <w:rPr>
          <w:color w:val="auto"/>
          <w:lang w:val="en-US"/>
        </w:rPr>
        <w:t xml:space="preserve"> </w:t>
      </w:r>
      <w:proofErr w:type="spellStart"/>
      <w:r w:rsidRPr="00734D3B">
        <w:rPr>
          <w:color w:val="auto"/>
          <w:lang w:val="en-US"/>
        </w:rPr>
        <w:t>por</w:t>
      </w:r>
      <w:proofErr w:type="spellEnd"/>
      <w:r w:rsidRPr="00734D3B">
        <w:rPr>
          <w:color w:val="auto"/>
          <w:lang w:val="en-US"/>
        </w:rPr>
        <w:t xml:space="preserve"> Switch Electric, 2025, </w:t>
      </w:r>
      <w:r w:rsidRPr="00734D3B">
        <w:rPr>
          <w:i/>
          <w:iCs/>
          <w:color w:val="auto"/>
          <w:lang w:val="en-US"/>
        </w:rPr>
        <w:t>The Org</w:t>
      </w:r>
      <w:r w:rsidRPr="00734D3B">
        <w:rPr>
          <w:color w:val="auto"/>
          <w:lang w:val="en-US"/>
        </w:rPr>
        <w:t xml:space="preserve"> (</w:t>
      </w:r>
      <w:r w:rsidR="00FF575D">
        <w:fldChar w:fldCharType="begin"/>
      </w:r>
      <w:r w:rsidR="00FF575D" w:rsidRPr="0026787D">
        <w:rPr>
          <w:lang w:val="en-US"/>
        </w:rPr>
        <w:instrText>HYPERLINK "https://theorg.com/org/switch-electric/org-chart/miguel-garcia"</w:instrText>
      </w:r>
      <w:r w:rsidR="00FF575D">
        <w:fldChar w:fldCharType="separate"/>
      </w:r>
      <w:r w:rsidR="00FF575D" w:rsidRPr="00734D3B">
        <w:rPr>
          <w:rStyle w:val="Hyperlink"/>
          <w:rFonts w:cs="Arial"/>
          <w:b w:val="0"/>
          <w:color w:val="auto"/>
          <w:szCs w:val="22"/>
          <w:lang w:val="en-US"/>
        </w:rPr>
        <w:t>https://theorg.com/org/switch-electric/org-chart/miguel-garcia</w:t>
      </w:r>
      <w:r w:rsidR="00FF575D">
        <w:fldChar w:fldCharType="end"/>
      </w:r>
      <w:r w:rsidRPr="00734D3B">
        <w:rPr>
          <w:color w:val="auto"/>
          <w:lang w:val="en-US"/>
        </w:rPr>
        <w:t>) Switch Electric.</w:t>
      </w:r>
    </w:p>
    <w:p w14:paraId="4664AC61" w14:textId="77777777" w:rsidR="000859FA" w:rsidRPr="00734D3B" w:rsidRDefault="000859FA" w:rsidP="000859FA">
      <w:pPr>
        <w:rPr>
          <w:lang w:val="en-US"/>
        </w:rPr>
      </w:pPr>
    </w:p>
    <w:p w14:paraId="38EBB3E0" w14:textId="77777777" w:rsidR="00E40DD3" w:rsidRPr="00734D3B" w:rsidRDefault="00E40DD3" w:rsidP="00E40DD3">
      <w:pPr>
        <w:contextualSpacing/>
        <w:rPr>
          <w:rFonts w:cs="Arial"/>
          <w:szCs w:val="22"/>
        </w:rPr>
      </w:pPr>
      <w:r w:rsidRPr="00734D3B">
        <w:rPr>
          <w:rFonts w:cs="Arial"/>
          <w:szCs w:val="22"/>
        </w:rPr>
        <w:t>El proyecto “Guía metodológica de gestión sostenible para contratistas eléctricos en proyectos de data centers” se desarrolla principalmente dentro del Departamento de Operaciones, bajo la supervisión directa de la Vicepresidencia de Operaciones, que es el área encargada de planificar, coordinar y ejecutar los proyectos eléctricos en el campo.</w:t>
      </w:r>
    </w:p>
    <w:p w14:paraId="4560628E" w14:textId="3E206966" w:rsidR="00E40DD3" w:rsidRPr="00734D3B" w:rsidRDefault="00E40DD3" w:rsidP="00E40DD3">
      <w:pPr>
        <w:contextualSpacing/>
        <w:rPr>
          <w:rFonts w:cs="Arial"/>
          <w:szCs w:val="22"/>
        </w:rPr>
      </w:pPr>
      <w:r w:rsidRPr="00734D3B">
        <w:rPr>
          <w:rFonts w:cs="Arial"/>
          <w:szCs w:val="22"/>
        </w:rPr>
        <w:lastRenderedPageBreak/>
        <w:t xml:space="preserve">Este departamento </w:t>
      </w:r>
      <w:r w:rsidR="00C21DB9" w:rsidRPr="00734D3B">
        <w:rPr>
          <w:rFonts w:cs="Arial"/>
          <w:szCs w:val="22"/>
        </w:rPr>
        <w:t xml:space="preserve">al </w:t>
      </w:r>
      <w:r w:rsidR="00275404" w:rsidRPr="00734D3B">
        <w:rPr>
          <w:rFonts w:cs="Arial"/>
          <w:szCs w:val="22"/>
        </w:rPr>
        <w:t>reunir las</w:t>
      </w:r>
      <w:r w:rsidRPr="00734D3B">
        <w:rPr>
          <w:rFonts w:cs="Arial"/>
          <w:szCs w:val="22"/>
        </w:rPr>
        <w:t xml:space="preserve"> funciones más importantes del trabajo operativo, como l</w:t>
      </w:r>
      <w:r w:rsidR="00C21DB9" w:rsidRPr="00734D3B">
        <w:rPr>
          <w:rFonts w:cs="Arial"/>
          <w:szCs w:val="22"/>
        </w:rPr>
        <w:t>o son</w:t>
      </w:r>
      <w:r w:rsidRPr="00734D3B">
        <w:rPr>
          <w:rFonts w:cs="Arial"/>
          <w:szCs w:val="22"/>
        </w:rPr>
        <w:t xml:space="preserve"> gestión del personal técnico, la supervisión de las obras y la aplicación de los procedimientos de </w:t>
      </w:r>
      <w:r w:rsidR="00EA5094" w:rsidRPr="00734D3B">
        <w:rPr>
          <w:rFonts w:cs="Arial"/>
          <w:szCs w:val="22"/>
        </w:rPr>
        <w:t>construcción</w:t>
      </w:r>
      <w:r w:rsidR="00C21DB9" w:rsidRPr="00734D3B">
        <w:rPr>
          <w:rFonts w:cs="Arial"/>
          <w:szCs w:val="22"/>
        </w:rPr>
        <w:t xml:space="preserve"> </w:t>
      </w:r>
      <w:r w:rsidRPr="00734D3B">
        <w:rPr>
          <w:rFonts w:cs="Arial"/>
          <w:szCs w:val="22"/>
        </w:rPr>
        <w:t>es el lugar más adecuado para poner en práctica las propuestas de sostenibilidad que se presentan en esta guía.</w:t>
      </w:r>
    </w:p>
    <w:p w14:paraId="04EB6B8F" w14:textId="433F700F" w:rsidR="00275404" w:rsidRPr="00734D3B" w:rsidRDefault="00787250" w:rsidP="00E40DD3">
      <w:pPr>
        <w:contextualSpacing/>
        <w:rPr>
          <w:rFonts w:cs="Arial"/>
          <w:szCs w:val="22"/>
        </w:rPr>
      </w:pPr>
      <w:r w:rsidRPr="00734D3B">
        <w:rPr>
          <w:rFonts w:cs="Arial"/>
          <w:szCs w:val="22"/>
        </w:rPr>
        <w:t>La guía metodológica ofrece herramientas simples y útiles para que los Gerentes de Proyecto puedan aplicar criterios de sostenibilidad</w:t>
      </w:r>
      <w:r w:rsidR="00920592" w:rsidRPr="00734D3B">
        <w:rPr>
          <w:rFonts w:cs="Arial"/>
          <w:szCs w:val="22"/>
        </w:rPr>
        <w:t xml:space="preserve">, </w:t>
      </w:r>
      <w:r w:rsidR="00041E01" w:rsidRPr="00734D3B">
        <w:rPr>
          <w:rFonts w:cs="Arial"/>
          <w:szCs w:val="22"/>
        </w:rPr>
        <w:t xml:space="preserve">tanto en la </w:t>
      </w:r>
      <w:r w:rsidR="00920592" w:rsidRPr="00734D3B">
        <w:rPr>
          <w:rFonts w:cs="Arial"/>
          <w:szCs w:val="22"/>
        </w:rPr>
        <w:t xml:space="preserve">planificación </w:t>
      </w:r>
      <w:r w:rsidR="00041E01" w:rsidRPr="00734D3B">
        <w:rPr>
          <w:rFonts w:cs="Arial"/>
          <w:szCs w:val="22"/>
        </w:rPr>
        <w:t xml:space="preserve">como en la </w:t>
      </w:r>
      <w:r w:rsidR="00920592" w:rsidRPr="00734D3B">
        <w:rPr>
          <w:rFonts w:cs="Arial"/>
          <w:szCs w:val="22"/>
        </w:rPr>
        <w:t>ejecución</w:t>
      </w:r>
      <w:r w:rsidRPr="00734D3B">
        <w:rPr>
          <w:rFonts w:cs="Arial"/>
          <w:szCs w:val="22"/>
        </w:rPr>
        <w:t xml:space="preserve">, </w:t>
      </w:r>
      <w:r w:rsidR="00920592" w:rsidRPr="00734D3B">
        <w:rPr>
          <w:rFonts w:cs="Arial"/>
          <w:szCs w:val="22"/>
        </w:rPr>
        <w:t>pero</w:t>
      </w:r>
      <w:r w:rsidR="000D0D35" w:rsidRPr="00734D3B">
        <w:rPr>
          <w:rFonts w:cs="Arial"/>
          <w:szCs w:val="22"/>
        </w:rPr>
        <w:t xml:space="preserve"> también se </w:t>
      </w:r>
      <w:r w:rsidR="00041E01" w:rsidRPr="00734D3B">
        <w:rPr>
          <w:rFonts w:cs="Arial"/>
          <w:szCs w:val="22"/>
        </w:rPr>
        <w:t>importante</w:t>
      </w:r>
      <w:r w:rsidR="000D0D35" w:rsidRPr="00734D3B">
        <w:rPr>
          <w:rFonts w:cs="Arial"/>
          <w:szCs w:val="22"/>
        </w:rPr>
        <w:t xml:space="preserve"> considerar el área departamento de construcción </w:t>
      </w:r>
      <w:r w:rsidR="00041E01" w:rsidRPr="00734D3B">
        <w:rPr>
          <w:rFonts w:cs="Arial"/>
          <w:szCs w:val="22"/>
        </w:rPr>
        <w:t>y</w:t>
      </w:r>
      <w:r w:rsidR="000D0D35" w:rsidRPr="00734D3B">
        <w:rPr>
          <w:rFonts w:cs="Arial"/>
          <w:szCs w:val="22"/>
        </w:rPr>
        <w:t xml:space="preserve"> </w:t>
      </w:r>
      <w:r w:rsidR="00041E01" w:rsidRPr="00734D3B">
        <w:rPr>
          <w:rFonts w:cs="Arial"/>
          <w:szCs w:val="22"/>
        </w:rPr>
        <w:t>los Superintendentes quienes son los encargados</w:t>
      </w:r>
      <w:r w:rsidR="000D0D35" w:rsidRPr="00734D3B">
        <w:rPr>
          <w:rFonts w:cs="Arial"/>
          <w:szCs w:val="22"/>
        </w:rPr>
        <w:t xml:space="preserve"> </w:t>
      </w:r>
      <w:r w:rsidR="00041E01" w:rsidRPr="00734D3B">
        <w:rPr>
          <w:rFonts w:cs="Arial"/>
          <w:szCs w:val="22"/>
        </w:rPr>
        <w:t>de</w:t>
      </w:r>
      <w:r w:rsidRPr="00734D3B">
        <w:rPr>
          <w:rFonts w:cs="Arial"/>
          <w:szCs w:val="22"/>
        </w:rPr>
        <w:t xml:space="preserve"> la separación de materiales, el control de residuos y el uso responsable de los recursos</w:t>
      </w:r>
      <w:r w:rsidR="00041E01" w:rsidRPr="00734D3B">
        <w:rPr>
          <w:rFonts w:cs="Arial"/>
          <w:szCs w:val="22"/>
        </w:rPr>
        <w:t xml:space="preserve"> en el día a día</w:t>
      </w:r>
      <w:r w:rsidR="00920592" w:rsidRPr="00734D3B">
        <w:rPr>
          <w:rFonts w:cs="Arial"/>
          <w:szCs w:val="22"/>
        </w:rPr>
        <w:t>.</w:t>
      </w:r>
    </w:p>
    <w:p w14:paraId="177D4452" w14:textId="27D6494E" w:rsidR="00B846F9" w:rsidRPr="00734D3B" w:rsidRDefault="00B846F9" w:rsidP="00B846F9">
      <w:pPr>
        <w:contextualSpacing/>
        <w:rPr>
          <w:rFonts w:cs="Arial"/>
          <w:szCs w:val="22"/>
        </w:rPr>
      </w:pPr>
      <w:r w:rsidRPr="00734D3B">
        <w:rPr>
          <w:rFonts w:cs="Arial"/>
          <w:szCs w:val="22"/>
        </w:rPr>
        <w:t xml:space="preserve">En resumen, el trabajo entre el Departamento de Operaciones en conjunto con las demás áreas de apoyo administrativo y técnico permiten que la guía metodológica se aplique de forma organizada dentro de </w:t>
      </w:r>
      <w:r w:rsidR="007720C5" w:rsidRPr="00734D3B">
        <w:rPr>
          <w:rFonts w:cs="Arial"/>
          <w:szCs w:val="22"/>
        </w:rPr>
        <w:t>una</w:t>
      </w:r>
      <w:r w:rsidRPr="00734D3B">
        <w:rPr>
          <w:rFonts w:cs="Arial"/>
          <w:szCs w:val="22"/>
        </w:rPr>
        <w:t xml:space="preserve"> empresa contratista eléctrica. De esta manera, el proyecto no solo mejora la gestión interna, sino que también ayuda a que la empresa se acerque a los estándares de calidad y sostenibilidad </w:t>
      </w:r>
      <w:r w:rsidR="00275404" w:rsidRPr="00734D3B">
        <w:rPr>
          <w:rFonts w:cs="Arial"/>
          <w:szCs w:val="22"/>
        </w:rPr>
        <w:t>plan</w:t>
      </w:r>
      <w:r w:rsidR="007720C5" w:rsidRPr="00734D3B">
        <w:rPr>
          <w:rFonts w:cs="Arial"/>
          <w:szCs w:val="22"/>
        </w:rPr>
        <w:t>teados.</w:t>
      </w:r>
    </w:p>
    <w:p w14:paraId="5194F6FD" w14:textId="77777777" w:rsidR="00264EEB" w:rsidRPr="00734D3B" w:rsidRDefault="00264EEB" w:rsidP="00AC4635">
      <w:pPr>
        <w:pStyle w:val="Heading3"/>
      </w:pPr>
      <w:bookmarkStart w:id="158" w:name="_Toc128542847"/>
      <w:bookmarkStart w:id="159" w:name="_Toc129687593"/>
      <w:bookmarkStart w:id="160" w:name="_Toc129762558"/>
      <w:bookmarkStart w:id="161" w:name="_Toc128545510"/>
      <w:bookmarkStart w:id="162" w:name="_Toc128550553"/>
      <w:bookmarkStart w:id="163" w:name="_Toc128550686"/>
      <w:bookmarkStart w:id="164" w:name="_Toc128543687"/>
      <w:bookmarkStart w:id="165" w:name="_Toc128550246"/>
      <w:bookmarkStart w:id="166" w:name="_Toc128550820"/>
      <w:bookmarkStart w:id="167" w:name="_Toc128550982"/>
      <w:bookmarkStart w:id="168" w:name="_Toc129078486"/>
      <w:bookmarkStart w:id="169" w:name="_Toc128544075"/>
      <w:bookmarkStart w:id="170" w:name="_Toc128545228"/>
      <w:bookmarkStart w:id="171" w:name="_Toc128550368"/>
      <w:bookmarkStart w:id="172" w:name="_Toc128552736"/>
      <w:bookmarkStart w:id="173" w:name="_Toc128544771"/>
      <w:bookmarkStart w:id="174" w:name="_Toc129078352"/>
      <w:bookmarkStart w:id="175" w:name="_Toc129077956"/>
      <w:bookmarkStart w:id="176" w:name="_Toc221407348"/>
      <w:bookmarkStart w:id="177" w:name="_Toc130342100"/>
      <w:bookmarkStart w:id="178" w:name="_Toc221368073"/>
      <w:bookmarkStart w:id="179" w:name="_Toc221759818"/>
      <w:bookmarkStart w:id="180" w:name="_Toc130340807"/>
      <w:bookmarkStart w:id="181" w:name="_Toc130342524"/>
      <w:bookmarkStart w:id="182" w:name="_Toc130343281"/>
      <w:bookmarkStart w:id="183" w:name="_Toc227936383"/>
      <w:r w:rsidRPr="00734D3B">
        <w:t>Productos y servicios que ofrece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A343ACF" w14:textId="26226BCE" w:rsidR="00F0788A" w:rsidRPr="00734D3B" w:rsidRDefault="00FA109F" w:rsidP="00F0788A">
      <w:r w:rsidRPr="00734D3B">
        <w:t>La industria de los contratistas eléctricos en Arizona representa</w:t>
      </w:r>
      <w:r w:rsidR="003B3479" w:rsidRPr="00734D3B">
        <w:t xml:space="preserve"> una parte muy importante del sector de la construcción en Estados Unidos, sobre todo en proyectos grandes como centros de datos, hospitales, fábricas </w:t>
      </w:r>
      <w:r w:rsidRPr="00734D3B">
        <w:t>de microprocesadores</w:t>
      </w:r>
      <w:r w:rsidR="003B3479" w:rsidRPr="00734D3B">
        <w:t xml:space="preserve"> y edificios públicos. Estas empresas no solo se encargan de hacer instalaciones eléctricas, sino que también ofrecen soluciones completas que incluyen ingeniería, prefabricación, automatización, control y manejo de proyectos, según las necesidades de los clientes (Asociación de Constructores y Contratistas [ABC], 2024)</w:t>
      </w:r>
      <w:r w:rsidR="00D831B2" w:rsidRPr="00734D3B">
        <w:t>, algunas de ellas se aborda</w:t>
      </w:r>
      <w:r w:rsidR="00F02F9B" w:rsidRPr="00734D3B">
        <w:t>n</w:t>
      </w:r>
      <w:r w:rsidR="00D831B2" w:rsidRPr="00734D3B">
        <w:t xml:space="preserve"> a continuación.</w:t>
      </w:r>
    </w:p>
    <w:p w14:paraId="5861CD58" w14:textId="29C931D7" w:rsidR="003B3479" w:rsidRPr="00734D3B" w:rsidRDefault="00C748F6" w:rsidP="00F0788A">
      <w:pPr>
        <w:rPr>
          <w:b/>
          <w:bCs/>
        </w:rPr>
      </w:pPr>
      <w:r w:rsidRPr="00734D3B">
        <w:rPr>
          <w:b/>
          <w:bCs/>
        </w:rPr>
        <w:t xml:space="preserve">1. </w:t>
      </w:r>
      <w:r w:rsidR="005807EC" w:rsidRPr="00734D3B">
        <w:rPr>
          <w:b/>
          <w:bCs/>
        </w:rPr>
        <w:t xml:space="preserve">Diseño y </w:t>
      </w:r>
      <w:r w:rsidR="009B6384" w:rsidRPr="00734D3B">
        <w:rPr>
          <w:b/>
          <w:bCs/>
        </w:rPr>
        <w:t>Pr</w:t>
      </w:r>
      <w:r w:rsidR="003B7B09" w:rsidRPr="00734D3B">
        <w:rPr>
          <w:b/>
          <w:bCs/>
        </w:rPr>
        <w:t>e</w:t>
      </w:r>
      <w:r w:rsidR="009B6384" w:rsidRPr="00734D3B">
        <w:rPr>
          <w:b/>
          <w:bCs/>
        </w:rPr>
        <w:t>construcción</w:t>
      </w:r>
    </w:p>
    <w:p w14:paraId="5A8C07E1" w14:textId="7C634272" w:rsidR="009B6384" w:rsidRPr="00734D3B" w:rsidRDefault="009B6384" w:rsidP="00F0788A">
      <w:r w:rsidRPr="00734D3B">
        <w:t>El primero de los servicios</w:t>
      </w:r>
      <w:r w:rsidR="003B7B09" w:rsidRPr="00734D3B">
        <w:t xml:space="preserve"> que regularmente se ofrecen,</w:t>
      </w:r>
      <w:r w:rsidRPr="00734D3B">
        <w:t xml:space="preserve"> </w:t>
      </w:r>
      <w:r w:rsidR="003B7B09" w:rsidRPr="00734D3B">
        <w:t xml:space="preserve">se da en la etapa de diseño y preconstrucción, donde los contratistas eléctricos trabajan junto con arquitectos, ingenieros y </w:t>
      </w:r>
      <w:r w:rsidR="003B7B09" w:rsidRPr="00734D3B">
        <w:lastRenderedPageBreak/>
        <w:t>contratistas principales para crear diseños eléctricos más eficientes. En esta parte del proceso se hacen modelos digitales (BIM), cálculos de carga, estudios de coordinación y propuestas técnicas que buscan mejorar el uso de la energía y cuidar el ambiente (Asociación Nacional de Contratistas Eléctricos [NECA], 2023).</w:t>
      </w:r>
      <w:r w:rsidR="004727A0" w:rsidRPr="00734D3B">
        <w:t xml:space="preserve"> El objetivo de este servicio es evitar errores en la construcción</w:t>
      </w:r>
      <w:r w:rsidR="0087428C" w:rsidRPr="00734D3B">
        <w:t xml:space="preserve"> o reprocesos lo que permite a su vez, </w:t>
      </w:r>
      <w:r w:rsidR="004727A0" w:rsidRPr="00734D3B">
        <w:t>reducir el desperdicio de materiales, logrando una mejor planificación del trabajo, el tiempo y los recursos.</w:t>
      </w:r>
    </w:p>
    <w:p w14:paraId="719A12DB" w14:textId="797F7570" w:rsidR="00E63E30" w:rsidRPr="00734D3B" w:rsidRDefault="00C748F6" w:rsidP="00F0788A">
      <w:pPr>
        <w:rPr>
          <w:b/>
          <w:bCs/>
        </w:rPr>
      </w:pPr>
      <w:r w:rsidRPr="00734D3B">
        <w:rPr>
          <w:b/>
          <w:bCs/>
        </w:rPr>
        <w:t xml:space="preserve">2. </w:t>
      </w:r>
      <w:r w:rsidR="00DF4722" w:rsidRPr="00734D3B">
        <w:rPr>
          <w:b/>
          <w:bCs/>
        </w:rPr>
        <w:t>Instalaciones eléctricas de media y baja tensión</w:t>
      </w:r>
    </w:p>
    <w:p w14:paraId="181FCEC2" w14:textId="54461535" w:rsidR="001677A4" w:rsidRPr="00734D3B" w:rsidRDefault="001677A4" w:rsidP="001677A4">
      <w:r w:rsidRPr="00734D3B">
        <w:t xml:space="preserve">Posteriormente, el servicio principal de esta industria que es la instalación eléctrica completa, que </w:t>
      </w:r>
      <w:r w:rsidR="007453C3" w:rsidRPr="00734D3B">
        <w:t>incluye</w:t>
      </w:r>
      <w:r w:rsidRPr="00734D3B">
        <w:t xml:space="preserve"> la conexión principal de energía</w:t>
      </w:r>
      <w:r w:rsidR="00F47FF5" w:rsidRPr="00734D3B">
        <w:t xml:space="preserve"> desde la estación</w:t>
      </w:r>
      <w:r w:rsidRPr="00734D3B">
        <w:t xml:space="preserve"> </w:t>
      </w:r>
      <w:r w:rsidR="00F47FF5" w:rsidRPr="00734D3B">
        <w:t xml:space="preserve">eléctrica, </w:t>
      </w:r>
      <w:r w:rsidRPr="00734D3B">
        <w:t xml:space="preserve">junto con la distribución de los sistemas de media y baja tensión, hasta la conexión de equipos </w:t>
      </w:r>
      <w:r w:rsidR="00F47FF5" w:rsidRPr="00734D3B">
        <w:t>importantes</w:t>
      </w:r>
      <w:r w:rsidRPr="00734D3B">
        <w:t xml:space="preserve"> y sistemas de respaldo dentro de los </w:t>
      </w:r>
      <w:r w:rsidR="007453C3" w:rsidRPr="00734D3B">
        <w:t>edificios (Colos) y</w:t>
      </w:r>
      <w:r w:rsidRPr="00734D3B">
        <w:t xml:space="preserve"> ajustado</w:t>
      </w:r>
      <w:r w:rsidR="007453C3" w:rsidRPr="00734D3B">
        <w:t>s</w:t>
      </w:r>
      <w:r w:rsidRPr="00734D3B">
        <w:t xml:space="preserve"> a la demanda de cada cliente.</w:t>
      </w:r>
    </w:p>
    <w:p w14:paraId="174BA58C" w14:textId="29B8BF4D" w:rsidR="001677A4" w:rsidRPr="00734D3B" w:rsidRDefault="001677A4" w:rsidP="001677A4">
      <w:r w:rsidRPr="00734D3B">
        <w:t xml:space="preserve">En los centros de datos, este trabajo </w:t>
      </w:r>
      <w:r w:rsidR="00BB358E" w:rsidRPr="00734D3B">
        <w:t xml:space="preserve">mayormente </w:t>
      </w:r>
      <w:r w:rsidRPr="00734D3B">
        <w:t xml:space="preserve">incluye la instalación de canalizaciones eléctricas </w:t>
      </w:r>
      <w:proofErr w:type="spellStart"/>
      <w:r w:rsidRPr="00734D3B">
        <w:t>busways</w:t>
      </w:r>
      <w:proofErr w:type="spellEnd"/>
      <w:r w:rsidRPr="00734D3B">
        <w:t xml:space="preserve">, cables tipo MC, bandejas </w:t>
      </w:r>
      <w:proofErr w:type="spellStart"/>
      <w:r w:rsidRPr="00734D3B">
        <w:t>portacables</w:t>
      </w:r>
      <w:proofErr w:type="spellEnd"/>
      <w:r w:rsidRPr="00734D3B">
        <w:t>, tableros eléctricos</w:t>
      </w:r>
      <w:r w:rsidR="002B419E" w:rsidRPr="00734D3B">
        <w:t xml:space="preserve">, </w:t>
      </w:r>
      <w:r w:rsidRPr="00734D3B">
        <w:t xml:space="preserve">sistemas UPS, generadores y conexiones a tierra, cumpliendo </w:t>
      </w:r>
      <w:r w:rsidR="002B419E" w:rsidRPr="00734D3B">
        <w:t>a cabalidad con las</w:t>
      </w:r>
      <w:r w:rsidRPr="00734D3B">
        <w:t xml:space="preserve"> normas de seguridad y electricidad establecidas por la NFPA 70 y la OSHA.</w:t>
      </w:r>
    </w:p>
    <w:p w14:paraId="16C26F18" w14:textId="577BA815" w:rsidR="00497973" w:rsidRPr="00734D3B" w:rsidRDefault="00874DE7" w:rsidP="00497973">
      <w:pPr>
        <w:rPr>
          <w:b/>
          <w:bCs/>
        </w:rPr>
      </w:pPr>
      <w:r w:rsidRPr="00734D3B">
        <w:rPr>
          <w:b/>
          <w:bCs/>
        </w:rPr>
        <w:t xml:space="preserve">3. </w:t>
      </w:r>
      <w:r w:rsidR="00497973" w:rsidRPr="00734D3B">
        <w:rPr>
          <w:b/>
          <w:bCs/>
        </w:rPr>
        <w:t xml:space="preserve">Sistemas especiales </w:t>
      </w:r>
      <w:r w:rsidR="006F4057" w:rsidRPr="00734D3B">
        <w:rPr>
          <w:b/>
          <w:bCs/>
        </w:rPr>
        <w:t xml:space="preserve">de seguridad </w:t>
      </w:r>
      <w:r w:rsidR="00497973" w:rsidRPr="00734D3B">
        <w:rPr>
          <w:b/>
          <w:bCs/>
        </w:rPr>
        <w:t>y automatización</w:t>
      </w:r>
    </w:p>
    <w:p w14:paraId="3C2CA663" w14:textId="52189F64" w:rsidR="00497973" w:rsidRPr="00734D3B" w:rsidRDefault="00497973" w:rsidP="00497973">
      <w:r w:rsidRPr="00734D3B">
        <w:t>Los contratistas eléctricos también trabajan con sistemas especiales de baja tensión, como el cableado estructurado, la detección y alarma contra incendios, el control de acceso, las cámaras de seguridad y los sistemas de automatización como BMS y SCADA.</w:t>
      </w:r>
    </w:p>
    <w:p w14:paraId="17F8066C" w14:textId="77777777" w:rsidR="00497973" w:rsidRPr="00734D3B" w:rsidRDefault="00497973" w:rsidP="00497973">
      <w:r w:rsidRPr="00734D3B">
        <w:t>Estos servicios son cada vez más importantes en edificios grandes o críticos, como los centros de datos, porque permiten conectar la parte eléctrica con sistemas inteligentes que ayudan a monitorear el consumo de energía, detectar fallas y mejorar la eficiencia energética.</w:t>
      </w:r>
    </w:p>
    <w:p w14:paraId="34D77BFD" w14:textId="77777777" w:rsidR="0080160F" w:rsidRPr="00734D3B" w:rsidRDefault="0080160F" w:rsidP="00497973"/>
    <w:p w14:paraId="5E00DC1E" w14:textId="77777777" w:rsidR="0080160F" w:rsidRPr="00734D3B" w:rsidRDefault="0080160F" w:rsidP="00497973"/>
    <w:p w14:paraId="6637999F" w14:textId="2DA15BA6" w:rsidR="00892133" w:rsidRPr="00734D3B" w:rsidRDefault="00874DE7" w:rsidP="00892133">
      <w:pPr>
        <w:rPr>
          <w:b/>
          <w:bCs/>
        </w:rPr>
      </w:pPr>
      <w:r w:rsidRPr="00734D3B">
        <w:rPr>
          <w:b/>
          <w:bCs/>
        </w:rPr>
        <w:lastRenderedPageBreak/>
        <w:t xml:space="preserve">4. </w:t>
      </w:r>
      <w:r w:rsidR="00892133" w:rsidRPr="00734D3B">
        <w:rPr>
          <w:b/>
          <w:bCs/>
        </w:rPr>
        <w:t>Prefabricación y logística</w:t>
      </w:r>
    </w:p>
    <w:p w14:paraId="7E0D534E" w14:textId="5A5D4088" w:rsidR="00892133" w:rsidRPr="00734D3B" w:rsidRDefault="00892133" w:rsidP="00892133">
      <w:r w:rsidRPr="00734D3B">
        <w:t xml:space="preserve">En los últimos años, </w:t>
      </w:r>
      <w:r w:rsidR="005363D8" w:rsidRPr="00734D3B">
        <w:t xml:space="preserve">por la </w:t>
      </w:r>
      <w:r w:rsidR="00A06575" w:rsidRPr="00734D3B">
        <w:t>tendencia</w:t>
      </w:r>
      <w:r w:rsidR="005363D8" w:rsidRPr="00734D3B">
        <w:t xml:space="preserve"> cada vez mayor de reducir lo</w:t>
      </w:r>
      <w:r w:rsidR="00A06575" w:rsidRPr="00734D3B">
        <w:t>s</w:t>
      </w:r>
      <w:r w:rsidR="005363D8" w:rsidRPr="00734D3B">
        <w:t xml:space="preserve"> tiempos de construcción</w:t>
      </w:r>
      <w:r w:rsidR="00A06575" w:rsidRPr="00734D3B">
        <w:t xml:space="preserve">, la </w:t>
      </w:r>
      <w:r w:rsidRPr="00734D3B">
        <w:t>prefabricación eléctrica se ha convertido en un servicio muy importante para los contratistas eléctricos en Arizona. Esta práctica consiste en construir con anticipación módulos eléctricos, bandejas, soportes y paneles en talleres controlados, para luego llevarlos a la obra listos para instalar (Instituto de Construcción Modular, 2024).</w:t>
      </w:r>
    </w:p>
    <w:p w14:paraId="6041E2C7" w14:textId="77777777" w:rsidR="00892133" w:rsidRPr="00734D3B" w:rsidRDefault="00892133" w:rsidP="00892133">
      <w:r w:rsidRPr="00734D3B">
        <w:t>El objetivo de este servicio es reducir el tiempo de trabajo en el campo, aprovechar mejor los materiales y disminuir la cantidad de residuos, ayudando directamente a cumplir con las metas de sostenibilidad y productividad.</w:t>
      </w:r>
    </w:p>
    <w:p w14:paraId="36C3B517" w14:textId="47836E3B" w:rsidR="00B85E42" w:rsidRPr="00734D3B" w:rsidRDefault="00B85E42" w:rsidP="00B85E42">
      <w:r w:rsidRPr="00734D3B">
        <w:t>En general, los productos y servicios que ofrecen los contratistas eléctricos van mucho más allá de solo hacer instalaciones eléctricas</w:t>
      </w:r>
      <w:r w:rsidR="00674561" w:rsidRPr="00734D3B">
        <w:t xml:space="preserve">, representan un trabajo </w:t>
      </w:r>
      <w:r w:rsidR="000318F6" w:rsidRPr="00734D3B">
        <w:t>en</w:t>
      </w:r>
      <w:r w:rsidRPr="00734D3B">
        <w:t xml:space="preserve"> conjunto de soluciones técnicas</w:t>
      </w:r>
      <w:r w:rsidR="00ED1A69" w:rsidRPr="00734D3B">
        <w:t xml:space="preserve"> y </w:t>
      </w:r>
      <w:r w:rsidRPr="00734D3B">
        <w:t xml:space="preserve">logísticas que ayudan a realizar proyectos grandes y complejos con eficiencia, </w:t>
      </w:r>
      <w:r w:rsidR="00ED1A69" w:rsidRPr="00734D3B">
        <w:t xml:space="preserve">y </w:t>
      </w:r>
      <w:r w:rsidRPr="00734D3B">
        <w:t>seguridad.</w:t>
      </w:r>
    </w:p>
    <w:p w14:paraId="0D0709E7" w14:textId="4CCB5E72" w:rsidR="00B85E42" w:rsidRPr="00734D3B" w:rsidRDefault="00B85E42" w:rsidP="00B85E42">
      <w:pPr>
        <w:rPr>
          <w:b/>
          <w:bCs/>
        </w:rPr>
      </w:pPr>
      <w:r w:rsidRPr="00734D3B">
        <w:t xml:space="preserve">En Arizona, donde la industria de los centros de datos sigue creciendo, estos servicios se están adaptando </w:t>
      </w:r>
      <w:r w:rsidR="00D939CC" w:rsidRPr="00734D3B">
        <w:t xml:space="preserve">poco a poco </w:t>
      </w:r>
      <w:r w:rsidRPr="00734D3B">
        <w:t xml:space="preserve">a nuevos estándares de sostenibilidad, y ahorro de energía. Esto crea un escenario ideal para aplicar la guía metodológica que se propone en este PFG, la cual </w:t>
      </w:r>
      <w:r w:rsidR="001518B9" w:rsidRPr="00734D3B">
        <w:t>tiene como fin</w:t>
      </w:r>
      <w:r w:rsidRPr="00734D3B">
        <w:t xml:space="preserve"> mejorar las prácticas ambientales y fortalecer la gestión de los contratistas eléctricos</w:t>
      </w:r>
      <w:r w:rsidRPr="00734D3B">
        <w:rPr>
          <w:b/>
          <w:bCs/>
        </w:rPr>
        <w:t>.</w:t>
      </w:r>
    </w:p>
    <w:p w14:paraId="6D56A7B2" w14:textId="4EAD4322" w:rsidR="00AA7605" w:rsidRPr="00734D3B" w:rsidRDefault="00264EEB" w:rsidP="000A2B76">
      <w:pPr>
        <w:pStyle w:val="Heading2"/>
      </w:pPr>
      <w:bookmarkStart w:id="184" w:name="_Toc354770519"/>
      <w:bookmarkStart w:id="185" w:name="_Toc221368082"/>
      <w:bookmarkStart w:id="186" w:name="_Toc221407357"/>
      <w:bookmarkStart w:id="187" w:name="_Toc221759827"/>
      <w:bookmarkStart w:id="188" w:name="_Toc227936384"/>
      <w:r w:rsidRPr="00734D3B">
        <w:t>Teoría de Administración de Proyectos</w:t>
      </w:r>
      <w:bookmarkEnd w:id="184"/>
      <w:bookmarkEnd w:id="185"/>
      <w:bookmarkEnd w:id="186"/>
      <w:bookmarkEnd w:id="187"/>
      <w:bookmarkEnd w:id="188"/>
    </w:p>
    <w:p w14:paraId="0D7DAC68" w14:textId="26F9B913" w:rsidR="00A557D0" w:rsidRPr="00734D3B" w:rsidRDefault="00A557D0" w:rsidP="00D7259E">
      <w:r w:rsidRPr="00734D3B">
        <w:t>Esta sección tiene como objetivo desarrollar los cimientos teóricos que sustentan la administración de proyectos. Su propósito es mostrar los elementos que permiten planificar, ejecutar, monitorear y controlar las actividades de</w:t>
      </w:r>
      <w:r w:rsidR="0071696D" w:rsidRPr="00734D3B">
        <w:t xml:space="preserve"> una</w:t>
      </w:r>
      <w:r w:rsidRPr="00734D3B">
        <w:t xml:space="preserve"> manera </w:t>
      </w:r>
      <w:r w:rsidR="00DD0A5E" w:rsidRPr="00734D3B">
        <w:t xml:space="preserve">más </w:t>
      </w:r>
      <w:r w:rsidRPr="00734D3B">
        <w:t xml:space="preserve">eficiente, siempre con el fin de alcanzar los objetivos establecidos. Considerando lo anterior, se presentan los conceptos principales sobre qué es un proyecto, cómo se desarrolla su ciclo de vida y cuáles son los grupos de procesos y áreas de conocimiento que el Project Management Institute (PMI) los </w:t>
      </w:r>
      <w:r w:rsidRPr="00734D3B">
        <w:lastRenderedPageBreak/>
        <w:t>describe como base para una gestión integral. Estos principios</w:t>
      </w:r>
      <w:r w:rsidR="00DD0A5E" w:rsidRPr="00734D3B">
        <w:t xml:space="preserve"> por su naturaleza</w:t>
      </w:r>
      <w:r w:rsidRPr="00734D3B">
        <w:t xml:space="preserve"> resultan replicables a diferentes industrias, entre ellas, la construcción eléctrica.</w:t>
      </w:r>
    </w:p>
    <w:p w14:paraId="597116F1" w14:textId="77777777" w:rsidR="00A557D0" w:rsidRPr="00734D3B" w:rsidRDefault="00A557D0" w:rsidP="00D7259E">
      <w:pPr>
        <w:ind w:firstLine="706"/>
      </w:pPr>
      <w:r w:rsidRPr="00734D3B">
        <w:t>La administración de proyectos se ha convertido en una disciplina clave ya que permite unir la capacidad técnica con la capacidad gerencial unido con la toma de decisiones. Su correcta aplicación promueve la mejor utilización de los recursos disponibles, reducir los riesgos y mantener la calidad de los resultados (Project Management Institute, 2021). En el caso de la construcción eléctrica, estos principios son particularmente importantes por la complejidad de las tareas, la cantidad de actores involucrados y las exigencias continuas de tiempo, costo y alcance que caracterizan los proyectos constructivos de desarrollo tecnológico, como los centros de datos.</w:t>
      </w:r>
    </w:p>
    <w:p w14:paraId="35D2DA84" w14:textId="3B1DACE0" w:rsidR="00597010" w:rsidRPr="00734D3B" w:rsidRDefault="00A557D0" w:rsidP="00D7259E">
      <w:pPr>
        <w:ind w:firstLine="706"/>
      </w:pPr>
      <w:r w:rsidRPr="00734D3B">
        <w:t xml:space="preserve">Desde esta perspectiva, se trata de identificar cómo los contratistas eléctricos pueden incorporar los principios de la gestión de proyectos para incluir criterios de sostenibilidad en todas las etapas del ciclo de vida sus proyectos, desde la planificación hasta el cierre. </w:t>
      </w:r>
      <w:r w:rsidR="00025655" w:rsidRPr="00734D3B">
        <w:t>Con ello</w:t>
      </w:r>
      <w:r w:rsidRPr="00734D3B">
        <w:t>, la gestión deja de verse solo como un conjunto de procedimientos técnicos y se convierte en un medio para fomentar la eficiencia energética, el uso responsable de los materiales y la disminución de los impactos ambientales durante la</w:t>
      </w:r>
      <w:r w:rsidR="00D56B4B" w:rsidRPr="00734D3B">
        <w:t>s etapas de</w:t>
      </w:r>
      <w:r w:rsidRPr="00734D3B">
        <w:t xml:space="preserve"> ejecución.</w:t>
      </w:r>
    </w:p>
    <w:p w14:paraId="029A837E" w14:textId="1315E59E" w:rsidR="00D76AF1" w:rsidRPr="00734D3B" w:rsidRDefault="00D76AF1" w:rsidP="00D7259E">
      <w:pPr>
        <w:ind w:firstLine="706"/>
      </w:pPr>
      <w:r w:rsidRPr="00734D3B">
        <w:t xml:space="preserve">Finalmente, se establece la relación entre los grupos de procesos descritos en la Guía de los Fundamentos para la Dirección de Proyectos (PMBOK, Séptima Edición) del Project Management Institute (2021) y las estrategias de sostenibilidad aplicadas en los proyectos de construcción eléctrica para centros de datos. De esta manera, se refuerza la importancia de integrar la gestión ambiental dentro de los procesos de planificación, ejecución, control y cierre, asegurando que las actividades eléctricas como la instalación de alimentadores, sistemas de respaldo, canalizaciones y cableado se realicen con criterios de eficiencia, seguridad y responsabilidad ambiental. Este enfoque permite </w:t>
      </w:r>
      <w:r w:rsidR="00472184" w:rsidRPr="00734D3B">
        <w:t>mantener</w:t>
      </w:r>
      <w:r w:rsidRPr="00734D3B">
        <w:t xml:space="preserve"> la </w:t>
      </w:r>
      <w:r w:rsidR="00472184" w:rsidRPr="00734D3B">
        <w:t>eficiencia</w:t>
      </w:r>
      <w:r w:rsidRPr="00734D3B">
        <w:t xml:space="preserve"> técnica promoviendo </w:t>
      </w:r>
      <w:r w:rsidR="002C20FD" w:rsidRPr="00734D3B">
        <w:lastRenderedPageBreak/>
        <w:t xml:space="preserve">que los </w:t>
      </w:r>
      <w:r w:rsidRPr="00734D3B">
        <w:t xml:space="preserve">proyectos sean eficientes en su operación, viables </w:t>
      </w:r>
      <w:r w:rsidR="002C20FD" w:rsidRPr="00734D3B">
        <w:t>económicamente,</w:t>
      </w:r>
      <w:r w:rsidRPr="00734D3B">
        <w:t xml:space="preserve"> </w:t>
      </w:r>
      <w:r w:rsidR="00472184" w:rsidRPr="00734D3B">
        <w:t>pero sin sacrificar</w:t>
      </w:r>
      <w:r w:rsidRPr="00734D3B">
        <w:t xml:space="preserve"> </w:t>
      </w:r>
      <w:r w:rsidR="00472184" w:rsidRPr="00734D3B">
        <w:t>el compromiso con el medio ambiente</w:t>
      </w:r>
      <w:r w:rsidRPr="00734D3B">
        <w:t>.</w:t>
      </w:r>
    </w:p>
    <w:p w14:paraId="77B7A11F" w14:textId="77777777" w:rsidR="00264EEB" w:rsidRPr="00734D3B" w:rsidRDefault="00264EEB" w:rsidP="00AC4635">
      <w:pPr>
        <w:pStyle w:val="Heading3"/>
      </w:pPr>
      <w:bookmarkStart w:id="189" w:name="_Toc227936385"/>
      <w:bookmarkStart w:id="190" w:name="_Toc221407358"/>
      <w:bookmarkStart w:id="191" w:name="_Toc221759828"/>
      <w:bookmarkStart w:id="192" w:name="_Toc221368083"/>
      <w:r w:rsidRPr="00734D3B">
        <w:t>Principios de la dirección de proyectos</w:t>
      </w:r>
      <w:bookmarkEnd w:id="189"/>
    </w:p>
    <w:p w14:paraId="584058A5" w14:textId="58FD7F43" w:rsidR="008F1826" w:rsidRPr="00734D3B" w:rsidRDefault="008B55D3" w:rsidP="00D7259E">
      <w:pPr>
        <w:rPr>
          <w:highlight w:val="red"/>
        </w:rPr>
      </w:pPr>
      <w:r w:rsidRPr="00734D3B">
        <w:t>Según el Estándar para la Dirección de Proyectos del Project Management Institute (PMI, 2021), los principios de la dirección de proyectos son guías fundamentales que</w:t>
      </w:r>
      <w:r w:rsidR="00E0566A" w:rsidRPr="00734D3B">
        <w:t xml:space="preserve"> deben</w:t>
      </w:r>
      <w:r w:rsidRPr="00734D3B">
        <w:t xml:space="preserve"> orienta</w:t>
      </w:r>
      <w:r w:rsidR="00E0566A" w:rsidRPr="00734D3B">
        <w:t xml:space="preserve">r </w:t>
      </w:r>
      <w:r w:rsidRPr="00734D3B">
        <w:t xml:space="preserve">la forma en que las personas actúan y toman decisiones dentro de un proyecto. No se refieren únicamente a herramientas o procesos, sino a valores, actitudes y comportamientos que definen la práctica profesional del director de proyecto y </w:t>
      </w:r>
      <w:r w:rsidR="000104F4" w:rsidRPr="00734D3B">
        <w:t>otros participantes en el proyecto</w:t>
      </w:r>
    </w:p>
    <w:p w14:paraId="356C5783" w14:textId="765AF495" w:rsidR="00EE6AB7" w:rsidRPr="00734D3B" w:rsidRDefault="003B2847" w:rsidP="00D7259E">
      <w:r w:rsidRPr="00734D3B">
        <w:t xml:space="preserve">El objetivo </w:t>
      </w:r>
      <w:r w:rsidR="0069333C" w:rsidRPr="00734D3B">
        <w:t xml:space="preserve">de estos principios es contribuir con </w:t>
      </w:r>
      <w:r w:rsidR="00A70750" w:rsidRPr="00734D3B">
        <w:t>una base</w:t>
      </w:r>
      <w:r w:rsidR="0069333C" w:rsidRPr="00734D3B">
        <w:t xml:space="preserve"> ética y profesional </w:t>
      </w:r>
      <w:r w:rsidR="008B4C94" w:rsidRPr="00734D3B">
        <w:t xml:space="preserve">de las personas que participan </w:t>
      </w:r>
      <w:r w:rsidR="00A70750" w:rsidRPr="00734D3B">
        <w:t xml:space="preserve">en los proyectos que a su vez fomenten la coherencia, la responsabilidad y la colaboración en </w:t>
      </w:r>
      <w:r w:rsidR="006C03B0" w:rsidRPr="00734D3B">
        <w:t>su</w:t>
      </w:r>
      <w:r w:rsidR="00A70750" w:rsidRPr="00734D3B">
        <w:t xml:space="preserve"> entorno</w:t>
      </w:r>
      <w:r w:rsidR="001D4F8F" w:rsidRPr="00734D3B">
        <w:t xml:space="preserve">. </w:t>
      </w:r>
      <w:r w:rsidR="00DF6A36" w:rsidRPr="00734D3B">
        <w:t xml:space="preserve">En los proyectos </w:t>
      </w:r>
      <w:r w:rsidR="0023300C" w:rsidRPr="00734D3B">
        <w:t>de construcción</w:t>
      </w:r>
      <w:r w:rsidR="00201173" w:rsidRPr="00734D3B">
        <w:t xml:space="preserve"> eléctrica</w:t>
      </w:r>
      <w:r w:rsidR="00DF6A36" w:rsidRPr="00734D3B">
        <w:t xml:space="preserve">, como los de centros de datos, estos principios son muy importantes porque ayudan a aplicar prácticas sostenibles, a trabajar de forma segura y a mantener una comunicación clara y honesta entre todos los </w:t>
      </w:r>
      <w:r w:rsidR="00E0566A" w:rsidRPr="00734D3B">
        <w:t>involucrados.</w:t>
      </w:r>
    </w:p>
    <w:p w14:paraId="2746A530" w14:textId="2E00C4B2" w:rsidR="00E0566A" w:rsidRPr="00734D3B" w:rsidRDefault="001A1DC7" w:rsidP="00111C56">
      <w:pPr>
        <w:ind w:firstLine="706"/>
      </w:pPr>
      <w:r w:rsidRPr="00734D3B">
        <w:t xml:space="preserve">A continuación, se presentan los doce principios establecidos por el </w:t>
      </w:r>
      <w:r w:rsidRPr="00734D3B">
        <w:rPr>
          <w:i/>
          <w:iCs/>
        </w:rPr>
        <w:t>Project Management Institute</w:t>
      </w:r>
      <w:r w:rsidRPr="00734D3B">
        <w:t xml:space="preserve"> (PMI, 2021) y su aplicación en los proyectos de construcción eléctrica de </w:t>
      </w:r>
      <w:r w:rsidRPr="00734D3B">
        <w:rPr>
          <w:i/>
          <w:iCs/>
        </w:rPr>
        <w:t>data centers</w:t>
      </w:r>
      <w:r w:rsidRPr="00734D3B">
        <w:t xml:space="preserve"> en Arizona, considerando el rol de los contratistas eléctricos y su contribución a una gestión más eficiente y sostenible</w:t>
      </w:r>
    </w:p>
    <w:p w14:paraId="6F0C07EA" w14:textId="6191FAFF" w:rsidR="00C8056E" w:rsidRPr="00734D3B" w:rsidRDefault="00C8056E" w:rsidP="00D7259E">
      <w:pPr>
        <w:rPr>
          <w:b/>
          <w:bCs/>
        </w:rPr>
      </w:pPr>
      <w:r w:rsidRPr="00734D3B">
        <w:rPr>
          <w:b/>
          <w:bCs/>
        </w:rPr>
        <w:t xml:space="preserve">1. Ser </w:t>
      </w:r>
      <w:r w:rsidR="003E772C" w:rsidRPr="00734D3B">
        <w:rPr>
          <w:b/>
          <w:bCs/>
        </w:rPr>
        <w:t xml:space="preserve">un administrador </w:t>
      </w:r>
      <w:r w:rsidRPr="00734D3B">
        <w:rPr>
          <w:b/>
          <w:bCs/>
        </w:rPr>
        <w:t>diligente, respetuoso y cuidadoso</w:t>
      </w:r>
      <w:r w:rsidR="003E772C" w:rsidRPr="00734D3B">
        <w:rPr>
          <w:b/>
          <w:bCs/>
        </w:rPr>
        <w:t>.</w:t>
      </w:r>
    </w:p>
    <w:p w14:paraId="3B9887E8" w14:textId="6A0B531B" w:rsidR="00C8056E" w:rsidRPr="00734D3B" w:rsidRDefault="00C8056E" w:rsidP="00D7259E">
      <w:r w:rsidRPr="00734D3B">
        <w:t xml:space="preserve">Este principio </w:t>
      </w:r>
      <w:r w:rsidR="00AB3A3D" w:rsidRPr="00734D3B">
        <w:t>sugiere</w:t>
      </w:r>
      <w:r w:rsidRPr="00734D3B">
        <w:t xml:space="preserve"> actuar con responsabilidad, ética y profesionalismo en todo momento</w:t>
      </w:r>
      <w:r w:rsidR="00677E42" w:rsidRPr="00734D3B">
        <w:t xml:space="preserve">. Lo que implica que el director de proyecto y su equipo deben proteger los recursos, cumplir normas y tomar decisiones honestas y transparentes en todo momento. </w:t>
      </w:r>
    </w:p>
    <w:p w14:paraId="0FF4E205" w14:textId="59F654D1" w:rsidR="00677E42" w:rsidRPr="00734D3B" w:rsidRDefault="00677E42" w:rsidP="00677E42">
      <w:pPr>
        <w:jc w:val="both"/>
      </w:pPr>
      <w:r w:rsidRPr="00734D3B">
        <w:t xml:space="preserve">Aplicación a los proyectos de construcción eléctrica de Data Center: la gerencia de proyectos y los mandos operativos de la obra </w:t>
      </w:r>
      <w:r w:rsidR="000A1BFD" w:rsidRPr="00734D3B">
        <w:t xml:space="preserve">debe </w:t>
      </w:r>
      <w:r w:rsidR="00DD639B" w:rsidRPr="00734D3B">
        <w:t>actuar</w:t>
      </w:r>
      <w:r w:rsidRPr="00734D3B">
        <w:t xml:space="preserve"> como custodios de la seguridad, el </w:t>
      </w:r>
      <w:r w:rsidRPr="00734D3B">
        <w:lastRenderedPageBreak/>
        <w:t>ambiente y los recursos del cliente: cumplimiento NEC/NFPA/OSHA, trazabilidad de residuos, integridad en compras y reporte honesto de avances e incidentes.</w:t>
      </w:r>
    </w:p>
    <w:p w14:paraId="65A29856" w14:textId="0C92F359" w:rsidR="00C8056E" w:rsidRPr="00734D3B" w:rsidRDefault="00C8056E" w:rsidP="00D7259E">
      <w:pPr>
        <w:rPr>
          <w:b/>
          <w:bCs/>
        </w:rPr>
      </w:pPr>
      <w:r w:rsidRPr="00734D3B">
        <w:rPr>
          <w:b/>
          <w:bCs/>
        </w:rPr>
        <w:t>2. Crear un entorno de colabor</w:t>
      </w:r>
      <w:r w:rsidR="003E772C" w:rsidRPr="00734D3B">
        <w:rPr>
          <w:b/>
          <w:bCs/>
        </w:rPr>
        <w:t>ativo del equipo del proyecto</w:t>
      </w:r>
    </w:p>
    <w:p w14:paraId="29BAF8E7" w14:textId="30074839" w:rsidR="00C8056E" w:rsidRPr="00734D3B" w:rsidRDefault="00C8056E" w:rsidP="00D7259E">
      <w:r w:rsidRPr="00734D3B">
        <w:t xml:space="preserve">Se trata de trabajar en equipo, comunicarse bien y cooperar con los demás. </w:t>
      </w:r>
      <w:r w:rsidR="00C1512D" w:rsidRPr="00734D3B">
        <w:t>Se trata de construir un ambiente donde el equipo trabaje unido, se comunique bien y confíe entre sí para lograr los objetivos del proyecto.</w:t>
      </w:r>
    </w:p>
    <w:p w14:paraId="4C1B3D5A" w14:textId="7993B566" w:rsidR="00C1512D" w:rsidRPr="00734D3B" w:rsidRDefault="00C1512D" w:rsidP="00C1512D">
      <w:r w:rsidRPr="00734D3B">
        <w:t xml:space="preserve">Aplicación a los proyectos de construcción eléctrica de Data Center: los gerentes de proyecto, superintendentes y jefes de operaciones </w:t>
      </w:r>
      <w:r w:rsidR="00DD639B" w:rsidRPr="00734D3B">
        <w:t>promueven</w:t>
      </w:r>
      <w:r w:rsidRPr="00734D3B">
        <w:t xml:space="preserve"> una comunicación interna clara directa por medio de charlas cortas (</w:t>
      </w:r>
      <w:proofErr w:type="spellStart"/>
      <w:r w:rsidRPr="00734D3B">
        <w:t>toolbox</w:t>
      </w:r>
      <w:proofErr w:type="spellEnd"/>
      <w:r w:rsidRPr="00734D3B">
        <w:t xml:space="preserve"> </w:t>
      </w:r>
      <w:proofErr w:type="spellStart"/>
      <w:r w:rsidRPr="00734D3B">
        <w:t>talks</w:t>
      </w:r>
      <w:proofErr w:type="spellEnd"/>
      <w:r w:rsidRPr="00734D3B">
        <w:t xml:space="preserve">) que </w:t>
      </w:r>
      <w:r w:rsidR="000A1BFD" w:rsidRPr="00734D3B">
        <w:t xml:space="preserve">permita </w:t>
      </w:r>
      <w:r w:rsidRPr="00734D3B">
        <w:t xml:space="preserve">fomentar la responsabilidad compartida y facilitar la resolución rápida de interferencias con otros contratistas y el contratista general. Además, se </w:t>
      </w:r>
      <w:r w:rsidR="000A1BFD" w:rsidRPr="00734D3B">
        <w:t xml:space="preserve">reconoce </w:t>
      </w:r>
      <w:r w:rsidRPr="00734D3B">
        <w:t xml:space="preserve">semanalmente las buenas prácticas para mantener la moral y el desempeño de los equipos. </w:t>
      </w:r>
    </w:p>
    <w:p w14:paraId="04EB91B6" w14:textId="2FCEAD4E" w:rsidR="00C8056E" w:rsidRPr="00734D3B" w:rsidRDefault="00C8056E" w:rsidP="00D7259E">
      <w:pPr>
        <w:rPr>
          <w:b/>
          <w:bCs/>
        </w:rPr>
      </w:pPr>
      <w:r w:rsidRPr="00734D3B">
        <w:rPr>
          <w:b/>
          <w:bCs/>
        </w:rPr>
        <w:t xml:space="preserve">3. </w:t>
      </w:r>
      <w:r w:rsidR="003E772C" w:rsidRPr="00734D3B">
        <w:rPr>
          <w:b/>
          <w:bCs/>
        </w:rPr>
        <w:t>Involucrarse eficazmente con los interesados</w:t>
      </w:r>
    </w:p>
    <w:p w14:paraId="07396A78" w14:textId="66457A9E" w:rsidR="00C1512D" w:rsidRPr="00734D3B" w:rsidRDefault="00C8056E" w:rsidP="00D7259E">
      <w:r w:rsidRPr="00734D3B">
        <w:t xml:space="preserve">Este principio </w:t>
      </w:r>
      <w:r w:rsidR="00A36168" w:rsidRPr="00734D3B">
        <w:t>enfatiza</w:t>
      </w:r>
      <w:r w:rsidRPr="00734D3B">
        <w:t xml:space="preserve"> </w:t>
      </w:r>
      <w:r w:rsidR="00A36168" w:rsidRPr="00734D3B">
        <w:t>lo importante que es</w:t>
      </w:r>
      <w:r w:rsidRPr="00734D3B">
        <w:t xml:space="preserve"> escuchar y entender las expectativas de todas las personas involucradas</w:t>
      </w:r>
      <w:r w:rsidR="008B64F8" w:rsidRPr="00734D3B">
        <w:t xml:space="preserve"> de manera proactiva</w:t>
      </w:r>
      <w:r w:rsidR="00C1512D" w:rsidRPr="00734D3B">
        <w:t>, implica identificar a todas las personas o grupos afectados por el proyecto, ya se</w:t>
      </w:r>
      <w:r w:rsidR="0003638B" w:rsidRPr="00734D3B">
        <w:t>a</w:t>
      </w:r>
      <w:r w:rsidR="00C1512D" w:rsidRPr="00734D3B">
        <w:t xml:space="preserve"> </w:t>
      </w:r>
      <w:r w:rsidR="0003638B" w:rsidRPr="00734D3B">
        <w:t xml:space="preserve">de una </w:t>
      </w:r>
      <w:r w:rsidR="00C1512D" w:rsidRPr="00734D3B">
        <w:t>manera positiva o negativa, y mantenerlos informados, escuchando sus necesidades y expectativas.</w:t>
      </w:r>
    </w:p>
    <w:p w14:paraId="70ACE91D" w14:textId="5EDCE804" w:rsidR="00C1512D" w:rsidRPr="00734D3B" w:rsidRDefault="00C1512D" w:rsidP="00D7259E">
      <w:r w:rsidRPr="00734D3B">
        <w:t>Aplicación a los proyectos de construcción eléctrica de Data Center:</w:t>
      </w:r>
      <w:r w:rsidR="005F2A81" w:rsidRPr="00734D3B">
        <w:t xml:space="preserve"> Se mapean y</w:t>
      </w:r>
      <w:r w:rsidR="0003638B" w:rsidRPr="00734D3B">
        <w:t xml:space="preserve"> se ejecuta un</w:t>
      </w:r>
      <w:r w:rsidR="005F2A81" w:rsidRPr="00734D3B">
        <w:t xml:space="preserve"> plan de gestión de </w:t>
      </w:r>
      <w:r w:rsidR="0003638B" w:rsidRPr="00734D3B">
        <w:t xml:space="preserve">los </w:t>
      </w:r>
      <w:r w:rsidR="005F2A81" w:rsidRPr="00734D3B">
        <w:t xml:space="preserve">interesados: cliente </w:t>
      </w:r>
      <w:proofErr w:type="spellStart"/>
      <w:r w:rsidR="005F2A81" w:rsidRPr="00734D3B">
        <w:t>hyperscale</w:t>
      </w:r>
      <w:proofErr w:type="spellEnd"/>
      <w:r w:rsidR="005F2A81" w:rsidRPr="00734D3B">
        <w:t xml:space="preserve">, GC, AHJ/inspectores municipales, inspector de incendios, proveedores, comunidad. Reuniones de coordinación y de </w:t>
      </w:r>
      <w:r w:rsidR="0003638B" w:rsidRPr="00734D3B">
        <w:t>seguimiento para</w:t>
      </w:r>
      <w:r w:rsidR="005F2A81" w:rsidRPr="00734D3B">
        <w:t xml:space="preserve"> temas críticos como cierres temporales de carreteras, </w:t>
      </w:r>
      <w:r w:rsidR="0003638B" w:rsidRPr="00734D3B">
        <w:t>prerrequisitos, logística</w:t>
      </w:r>
      <w:r w:rsidR="005F2A81" w:rsidRPr="00734D3B">
        <w:t xml:space="preserve"> interna, </w:t>
      </w:r>
      <w:r w:rsidR="0003638B" w:rsidRPr="00734D3B">
        <w:t xml:space="preserve">avances de la obra y seguimiento de incidentes. </w:t>
      </w:r>
    </w:p>
    <w:p w14:paraId="5ACF675A" w14:textId="2BAC2CA4" w:rsidR="00C8056E" w:rsidRPr="00734D3B" w:rsidRDefault="00C8056E" w:rsidP="00D7259E">
      <w:pPr>
        <w:rPr>
          <w:b/>
          <w:bCs/>
        </w:rPr>
      </w:pPr>
      <w:r w:rsidRPr="00734D3B">
        <w:rPr>
          <w:b/>
          <w:bCs/>
        </w:rPr>
        <w:t xml:space="preserve">4. </w:t>
      </w:r>
      <w:r w:rsidR="003E772C" w:rsidRPr="00734D3B">
        <w:rPr>
          <w:b/>
          <w:bCs/>
        </w:rPr>
        <w:t>Enfocarse en el valor</w:t>
      </w:r>
    </w:p>
    <w:p w14:paraId="61BCBFA9" w14:textId="531B6B92" w:rsidR="00C8056E" w:rsidRPr="00734D3B" w:rsidRDefault="00C8056E" w:rsidP="00D7259E">
      <w:r w:rsidRPr="00734D3B">
        <w:t>Busca que el proyecto aporte beneficios reales, no solo económicos, sino también sociales y ambientales.</w:t>
      </w:r>
      <w:r w:rsidR="00923A6A" w:rsidRPr="00734D3B">
        <w:t xml:space="preserve"> Este principio promueve una visión de largo plazo, donde la relación </w:t>
      </w:r>
      <w:r w:rsidR="00923A6A" w:rsidRPr="00734D3B">
        <w:lastRenderedPageBreak/>
        <w:t>con el cliente no se limita a la entrega de un producto funcional, sino al fortalecimiento de la confianza y la responsabilidad social corporativa.</w:t>
      </w:r>
    </w:p>
    <w:p w14:paraId="4761BC3A" w14:textId="046F75F9" w:rsidR="00923A6A" w:rsidRPr="00734D3B" w:rsidRDefault="0003638B" w:rsidP="00D7259E">
      <w:r w:rsidRPr="00734D3B">
        <w:t xml:space="preserve">Aplicación a los proyectos de construcción eléctrica de Data Center: </w:t>
      </w:r>
      <w:r w:rsidR="000A1BFD" w:rsidRPr="00734D3B">
        <w:t>Se prioriza</w:t>
      </w:r>
      <w:r w:rsidR="00DD639B" w:rsidRPr="00734D3B">
        <w:t xml:space="preserve">n las </w:t>
      </w:r>
      <w:r w:rsidR="000A1BFD" w:rsidRPr="00734D3B">
        <w:t xml:space="preserve">actividades que contribuyan a generar mayor valor para el cliente y el entorno, como la prefabricación de componentes eléctricos, la planificación de kits por zona y la implementación de compras </w:t>
      </w:r>
      <w:r w:rsidR="001958F6" w:rsidRPr="00734D3B">
        <w:t>justo a tiempo.</w:t>
      </w:r>
      <w:r w:rsidR="000A1BFD" w:rsidRPr="00734D3B">
        <w:t xml:space="preserve"> Estas prácticas permit</w:t>
      </w:r>
      <w:r w:rsidR="00DD639B" w:rsidRPr="00734D3B">
        <w:t>en</w:t>
      </w:r>
      <w:r w:rsidR="000A1BFD" w:rsidRPr="00734D3B">
        <w:t xml:space="preserve"> reducir retrabajos, minimizar desperdicios y mejorar la calidad de las terminaciones, logrando así una mayor eficiencia operativa y ambiental dentro del proyecto.</w:t>
      </w:r>
    </w:p>
    <w:p w14:paraId="211199AD" w14:textId="459B0891" w:rsidR="00C8056E" w:rsidRPr="00734D3B" w:rsidRDefault="00C8056E" w:rsidP="00D7259E">
      <w:pPr>
        <w:rPr>
          <w:b/>
          <w:bCs/>
        </w:rPr>
      </w:pPr>
      <w:r w:rsidRPr="00734D3B">
        <w:rPr>
          <w:b/>
          <w:bCs/>
        </w:rPr>
        <w:t xml:space="preserve">5. Reconocer, evaluar y responder a </w:t>
      </w:r>
      <w:r w:rsidR="008B64F8" w:rsidRPr="00734D3B">
        <w:rPr>
          <w:b/>
          <w:bCs/>
        </w:rPr>
        <w:t>las interacciones</w:t>
      </w:r>
      <w:r w:rsidR="003E772C" w:rsidRPr="00734D3B">
        <w:rPr>
          <w:b/>
          <w:bCs/>
        </w:rPr>
        <w:t xml:space="preserve"> del sistema</w:t>
      </w:r>
    </w:p>
    <w:p w14:paraId="3B414F2D" w14:textId="0F25CBEC" w:rsidR="00C8056E" w:rsidRPr="00734D3B" w:rsidRDefault="00C8056E" w:rsidP="00D7259E">
      <w:r w:rsidRPr="00734D3B">
        <w:t xml:space="preserve">Los proyectos </w:t>
      </w:r>
      <w:r w:rsidR="000D1689" w:rsidRPr="00734D3B">
        <w:t>combinan</w:t>
      </w:r>
      <w:r w:rsidRPr="00734D3B">
        <w:t xml:space="preserve"> muchos factores, técnico</w:t>
      </w:r>
      <w:r w:rsidR="000D1689" w:rsidRPr="00734D3B">
        <w:t>s</w:t>
      </w:r>
      <w:r w:rsidRPr="00734D3B">
        <w:t>, social</w:t>
      </w:r>
      <w:r w:rsidR="000D1689" w:rsidRPr="00734D3B">
        <w:t xml:space="preserve">es </w:t>
      </w:r>
      <w:r w:rsidRPr="00734D3B">
        <w:t>y ambiental</w:t>
      </w:r>
      <w:r w:rsidR="000D1689" w:rsidRPr="00734D3B">
        <w:t>es</w:t>
      </w:r>
      <w:r w:rsidR="007C14F2" w:rsidRPr="00734D3B">
        <w:t>, lo que hace s</w:t>
      </w:r>
      <w:r w:rsidR="000D1689" w:rsidRPr="00734D3B">
        <w:t xml:space="preserve">u desarrollo se de en </w:t>
      </w:r>
      <w:r w:rsidR="007C14F2" w:rsidRPr="00734D3B">
        <w:t>entornos complejos</w:t>
      </w:r>
      <w:r w:rsidR="008B64F8" w:rsidRPr="00734D3B">
        <w:t>, el pensamiento sistémico consiste en ver el proyecto como parte de un sistema más grande, donde cada decisión afecta a otras áreas, al entorno y a los resultados globales.</w:t>
      </w:r>
    </w:p>
    <w:p w14:paraId="615F9979" w14:textId="558058E7" w:rsidR="008B64F8" w:rsidRPr="00734D3B" w:rsidRDefault="00456BCF" w:rsidP="00D7259E">
      <w:r w:rsidRPr="00734D3B">
        <w:t>En proyectos de gran escala, como los data centers, el pensamiento sistémico facilita la coordinación entre disciplinas y mejora la planificación integral, contribuyendo a la reducción del desperdicio y al cumplimiento de los objetivos.</w:t>
      </w:r>
    </w:p>
    <w:p w14:paraId="53873635" w14:textId="77777777" w:rsidR="00C8056E" w:rsidRPr="00734D3B" w:rsidRDefault="00C8056E" w:rsidP="00D7259E">
      <w:pPr>
        <w:rPr>
          <w:b/>
          <w:bCs/>
        </w:rPr>
      </w:pPr>
      <w:r w:rsidRPr="00734D3B">
        <w:rPr>
          <w:b/>
          <w:bCs/>
        </w:rPr>
        <w:t>6. Demostrar liderazgo</w:t>
      </w:r>
    </w:p>
    <w:p w14:paraId="05376653" w14:textId="393D2640" w:rsidR="00C8056E" w:rsidRPr="00734D3B" w:rsidRDefault="00C8056E" w:rsidP="00D7259E">
      <w:r w:rsidRPr="00734D3B">
        <w:t>El liderazgo consiste en guiar e inspirar con responsabilidad y ética</w:t>
      </w:r>
      <w:r w:rsidR="00BB1590" w:rsidRPr="00734D3B">
        <w:t>. Se espera que el director de proyecto guíe, motive y apoye al equipo. Un buen líder comunica con claridad, da ejemplo y mantiene la moral y el enfoque en los objetivos.</w:t>
      </w:r>
    </w:p>
    <w:p w14:paraId="53128AE9" w14:textId="1CF3F164" w:rsidR="00BB1590" w:rsidRPr="00734D3B" w:rsidRDefault="00BB1590" w:rsidP="00D7259E">
      <w:r w:rsidRPr="00734D3B">
        <w:t>En el contexto de un proyecto de data center, el liderazgo efectivo promueve la responsabilidad compartida y la búsqueda de soluciones innovadoras frente a desafíos técnicos o ambientales. Un líder sostenible influye positivamente en la moral del equipo y asegura que las decisiones reflejen tanto el cumplimiento operativo como el compromiso ambiental de la organización.</w:t>
      </w:r>
    </w:p>
    <w:p w14:paraId="395D342D" w14:textId="54107AF6" w:rsidR="00C8056E" w:rsidRPr="00734D3B" w:rsidRDefault="00C8056E" w:rsidP="00D7259E">
      <w:pPr>
        <w:rPr>
          <w:b/>
          <w:bCs/>
        </w:rPr>
      </w:pPr>
      <w:r w:rsidRPr="00734D3B">
        <w:rPr>
          <w:b/>
          <w:bCs/>
        </w:rPr>
        <w:lastRenderedPageBreak/>
        <w:t xml:space="preserve">7. </w:t>
      </w:r>
      <w:r w:rsidR="003E772C" w:rsidRPr="00734D3B">
        <w:rPr>
          <w:b/>
          <w:bCs/>
        </w:rPr>
        <w:t>Adaptar en función del contexto</w:t>
      </w:r>
    </w:p>
    <w:p w14:paraId="47A77AC3" w14:textId="370E0D42" w:rsidR="00C8056E" w:rsidRPr="00734D3B" w:rsidRDefault="00C8056E" w:rsidP="00D7259E">
      <w:r w:rsidRPr="00734D3B">
        <w:t>Los proyectos cambian constantemente</w:t>
      </w:r>
      <w:r w:rsidR="009D09E1" w:rsidRPr="00734D3B">
        <w:t xml:space="preserve"> y esto puede </w:t>
      </w:r>
      <w:r w:rsidR="00F70092" w:rsidRPr="00734D3B">
        <w:t>aumentar</w:t>
      </w:r>
      <w:r w:rsidR="009D09E1" w:rsidRPr="00734D3B">
        <w:t xml:space="preserve"> los niveles de incertidumbre</w:t>
      </w:r>
      <w:r w:rsidR="00F70092" w:rsidRPr="00734D3B">
        <w:t>, por</w:t>
      </w:r>
      <w:r w:rsidR="00EC2641" w:rsidRPr="00734D3B">
        <w:t xml:space="preserve"> lo que </w:t>
      </w:r>
      <w:r w:rsidR="00F70092" w:rsidRPr="00734D3B">
        <w:t>es importante tener la</w:t>
      </w:r>
      <w:r w:rsidR="00EC2641" w:rsidRPr="00734D3B">
        <w:t xml:space="preserve"> capacidad de </w:t>
      </w:r>
      <w:r w:rsidRPr="00734D3B">
        <w:t>ser flexible y adaptarse</w:t>
      </w:r>
      <w:r w:rsidR="00BB1590" w:rsidRPr="00734D3B">
        <w:t xml:space="preserve">. No todos los proyectos se manejan igual, por lo tanto, se debe estar alerta para ajustar los métodos, procesos y herramientas según las características del proyecto y del equipo lo requieran. </w:t>
      </w:r>
    </w:p>
    <w:p w14:paraId="7BE31D38" w14:textId="20BE4055" w:rsidR="00BB1590" w:rsidRPr="00734D3B" w:rsidRDefault="00BB1590" w:rsidP="00D7259E">
      <w:r w:rsidRPr="00734D3B">
        <w:t>Cada proyecto eléctrico presenta condiciones únicas: normativas, climáticas, logísticas y contractuales. Este principio resalta la importancia de ajustar los procesos, herramientas y metodologías a la realidad del entorno. En Arizona, por ejemplo, las condiciones ambientales extremas exigen estrategias específicas para el manejo de materiales, la gestión del polvo y la seguridad del personal. Adaptar el enfoque permite equilibrar la eficiencia técnica con la sostenibilidad.</w:t>
      </w:r>
    </w:p>
    <w:p w14:paraId="7F1D7190" w14:textId="31D731FF" w:rsidR="00C8056E" w:rsidRPr="00734D3B" w:rsidRDefault="00C8056E" w:rsidP="00D7259E">
      <w:pPr>
        <w:rPr>
          <w:b/>
          <w:bCs/>
        </w:rPr>
      </w:pPr>
      <w:r w:rsidRPr="00734D3B">
        <w:rPr>
          <w:b/>
          <w:bCs/>
        </w:rPr>
        <w:t xml:space="preserve">8. </w:t>
      </w:r>
      <w:r w:rsidR="003E772C" w:rsidRPr="00734D3B">
        <w:rPr>
          <w:b/>
          <w:bCs/>
        </w:rPr>
        <w:t xml:space="preserve">Incorporar la calidad en los procesos y los entregable. </w:t>
      </w:r>
    </w:p>
    <w:p w14:paraId="2B398599" w14:textId="1B7919E3" w:rsidR="000D07DC" w:rsidRPr="00734D3B" w:rsidRDefault="000D07DC" w:rsidP="000D07DC">
      <w:r w:rsidRPr="00734D3B">
        <w:t>La calidad implica satisfacer las expectativas de los interesados, por medio del cumplimiento de los objetivos del proyecto. La calidad no se revisa solo al final; debe incluirse y planificarse desde el inicio del proyecto en cada fase y cada entrega.</w:t>
      </w:r>
    </w:p>
    <w:p w14:paraId="58C704A4" w14:textId="77777777" w:rsidR="000D07DC" w:rsidRPr="00734D3B" w:rsidRDefault="000D07DC" w:rsidP="000D07DC">
      <w:r w:rsidRPr="00734D3B">
        <w:t>En la industria eléctrica, la calidad incluye tanto el cumplimiento de códigos eléctricos (NEC, NFPA) como la adopción de prácticas sostenibles en la gestión de materiales. Asegurar la trazabilidad de los residuos, mantener registros de reciclaje y verificar proveedores certificados son ejemplos de control de calidad sostenible. La integración de la calidad en los procesos contribuye a una ejecución más segura, responsable y eficiente.</w:t>
      </w:r>
    </w:p>
    <w:p w14:paraId="725E34D5" w14:textId="0C9B2FA9" w:rsidR="00C8056E" w:rsidRPr="00734D3B" w:rsidRDefault="00C8056E" w:rsidP="00D7259E">
      <w:pPr>
        <w:rPr>
          <w:b/>
          <w:bCs/>
        </w:rPr>
      </w:pPr>
      <w:r w:rsidRPr="00734D3B">
        <w:rPr>
          <w:b/>
          <w:bCs/>
        </w:rPr>
        <w:t xml:space="preserve">9. </w:t>
      </w:r>
      <w:r w:rsidR="003E772C" w:rsidRPr="00734D3B">
        <w:rPr>
          <w:b/>
          <w:bCs/>
        </w:rPr>
        <w:t>Navegar en la complejidad</w:t>
      </w:r>
    </w:p>
    <w:p w14:paraId="43A35CFF" w14:textId="7C51C491" w:rsidR="00677DD0" w:rsidRPr="00734D3B" w:rsidRDefault="00195EA0" w:rsidP="00677DD0">
      <w:pPr>
        <w:rPr>
          <w:b/>
          <w:bCs/>
        </w:rPr>
      </w:pPr>
      <w:r w:rsidRPr="00734D3B">
        <w:t xml:space="preserve">Los proyectos son complejos por la cantidad de tareas, personas y condiciones cambiantes. </w:t>
      </w:r>
      <w:r w:rsidR="0004099B" w:rsidRPr="00734D3B">
        <w:t xml:space="preserve">Este principio reconoce que la complejidad surge de la interacción constante entre múltiples variables: plazos ajustados, secuencias críticas de instalación, cambios de diseño, requisitos del cliente y normativas </w:t>
      </w:r>
      <w:r w:rsidR="0013117C" w:rsidRPr="00734D3B">
        <w:t>locales</w:t>
      </w:r>
      <w:r w:rsidR="00677DD0" w:rsidRPr="00734D3B">
        <w:t xml:space="preserve">, se impulsa a reconocer la complejidad como parte </w:t>
      </w:r>
      <w:r w:rsidR="00677DD0" w:rsidRPr="00734D3B">
        <w:lastRenderedPageBreak/>
        <w:t>inherente del proyecto y gestionarla de manera proactiva. La planificación detallada, la comunicación constante y la documentación precisa son esenciales para evitar errores y retrasos.</w:t>
      </w:r>
    </w:p>
    <w:p w14:paraId="7BEEC175" w14:textId="58C7876A" w:rsidR="00294235" w:rsidRPr="00734D3B" w:rsidRDefault="00294235" w:rsidP="00D7259E">
      <w:r w:rsidRPr="00734D3B">
        <w:t xml:space="preserve">Los proyectos eléctricos en data centers son altamente complejos por la cantidad de sistemas interconectados, contratistas involucrados y requisitos técnicos. </w:t>
      </w:r>
      <w:r w:rsidR="00C059AB" w:rsidRPr="00734D3B">
        <w:t>Los contratistas eléctricos gestionan esta complejidad mediante una planificación detallada, el uso de herramientas digitales como BIM, tableros visuales y software de coordinación, que permiten anticipar conflictos y optimizar recursos.</w:t>
      </w:r>
    </w:p>
    <w:p w14:paraId="48330A27" w14:textId="5A5391A8" w:rsidR="00C8056E" w:rsidRPr="00734D3B" w:rsidRDefault="00C8056E" w:rsidP="00D7259E">
      <w:pPr>
        <w:rPr>
          <w:b/>
          <w:bCs/>
        </w:rPr>
      </w:pPr>
      <w:r w:rsidRPr="00734D3B">
        <w:rPr>
          <w:b/>
          <w:bCs/>
        </w:rPr>
        <w:t xml:space="preserve">10. </w:t>
      </w:r>
      <w:r w:rsidR="003E772C" w:rsidRPr="00734D3B">
        <w:rPr>
          <w:b/>
          <w:bCs/>
        </w:rPr>
        <w:t xml:space="preserve">Optimizar las respuestas a los riesgos </w:t>
      </w:r>
    </w:p>
    <w:p w14:paraId="5E649637" w14:textId="33ECA332" w:rsidR="00513DBE" w:rsidRPr="00734D3B" w:rsidRDefault="00513DBE" w:rsidP="00D7259E">
      <w:r w:rsidRPr="00734D3B">
        <w:t>Todo proyecto implica riesgos, desde fallas técnicas hasta impactos ambientales. Este principio promueve una gestión preventiva mediante la identificación, evaluación y mitigación de amenazas</w:t>
      </w:r>
      <w:r w:rsidR="006F0ABE" w:rsidRPr="00734D3B">
        <w:t xml:space="preserve"> para así </w:t>
      </w:r>
      <w:r w:rsidR="00FC1321" w:rsidRPr="00734D3B">
        <w:t>minimizar</w:t>
      </w:r>
      <w:r w:rsidR="006F0ABE" w:rsidRPr="00734D3B">
        <w:t xml:space="preserve"> los impactos negativos.</w:t>
      </w:r>
    </w:p>
    <w:p w14:paraId="462D0DB2" w14:textId="43C913BB" w:rsidR="00513DBE" w:rsidRPr="00734D3B" w:rsidRDefault="00513DBE" w:rsidP="00D7259E">
      <w:pPr>
        <w:rPr>
          <w:b/>
          <w:bCs/>
        </w:rPr>
      </w:pPr>
      <w:r w:rsidRPr="00734D3B">
        <w:t xml:space="preserve"> En el caso de los contratistas eléctricos, los riesgos pueden incluir accidentes laborales, incumplimiento </w:t>
      </w:r>
      <w:r w:rsidR="00862D5E" w:rsidRPr="00734D3B">
        <w:t>técnico</w:t>
      </w:r>
      <w:r w:rsidRPr="00734D3B">
        <w:t xml:space="preserve"> o </w:t>
      </w:r>
      <w:r w:rsidR="005E1D5B" w:rsidRPr="00734D3B">
        <w:t>ambiental</w:t>
      </w:r>
      <w:r w:rsidRPr="00734D3B">
        <w:t>. Un enfoque estructurado en la gestión del riesgo fortalece la capacidad de los contratistas para adaptarse a cambios normativos asegurando la confianza del cliente.</w:t>
      </w:r>
    </w:p>
    <w:p w14:paraId="09A4DA54" w14:textId="28881998" w:rsidR="00C8056E" w:rsidRPr="00734D3B" w:rsidRDefault="00C8056E" w:rsidP="00D7259E">
      <w:pPr>
        <w:rPr>
          <w:b/>
          <w:bCs/>
        </w:rPr>
      </w:pPr>
      <w:r w:rsidRPr="00734D3B">
        <w:rPr>
          <w:b/>
          <w:bCs/>
        </w:rPr>
        <w:t xml:space="preserve">11. </w:t>
      </w:r>
      <w:r w:rsidR="003E772C" w:rsidRPr="00734D3B">
        <w:rPr>
          <w:b/>
          <w:bCs/>
        </w:rPr>
        <w:t xml:space="preserve">Adoptar la adaptabilidad y la </w:t>
      </w:r>
      <w:r w:rsidR="00111C56" w:rsidRPr="00734D3B">
        <w:rPr>
          <w:b/>
          <w:bCs/>
        </w:rPr>
        <w:t>resiliencia</w:t>
      </w:r>
    </w:p>
    <w:p w14:paraId="145876AD" w14:textId="35360928" w:rsidR="00C8056E" w:rsidRPr="00734D3B" w:rsidRDefault="00C8056E" w:rsidP="00D7259E">
      <w:r w:rsidRPr="00734D3B">
        <w:t>Reconoce que los proyectos enfrentan cambios y situaciones inciertas</w:t>
      </w:r>
      <w:r w:rsidR="008C076E" w:rsidRPr="00734D3B">
        <w:t xml:space="preserve"> y que el éxito depende de la agilidad </w:t>
      </w:r>
      <w:r w:rsidR="00B34D96" w:rsidRPr="00734D3B">
        <w:t>p</w:t>
      </w:r>
      <w:r w:rsidR="008C076E" w:rsidRPr="00734D3B">
        <w:t xml:space="preserve">ara gestionar la </w:t>
      </w:r>
      <w:r w:rsidR="00B34D96" w:rsidRPr="00734D3B">
        <w:t>ambigüedad</w:t>
      </w:r>
      <w:r w:rsidR="00CB706B" w:rsidRPr="00734D3B">
        <w:t>, el principio enseña a responder de forma flexible ante los cambios sin comprometer la calidad ni los valores organizacionales</w:t>
      </w:r>
    </w:p>
    <w:p w14:paraId="263BC798" w14:textId="2BA87CF4" w:rsidR="006B775F" w:rsidRPr="00734D3B" w:rsidRDefault="00DB5678" w:rsidP="00D7259E">
      <w:r w:rsidRPr="00734D3B">
        <w:t>Los</w:t>
      </w:r>
      <w:r w:rsidR="00FE4DDD" w:rsidRPr="00734D3B">
        <w:t xml:space="preserve"> proyectos de data centers, enfrentan entornos cambiantes: precios de materiales, disponibilidad de personal, regulaciones o condiciones climáticas</w:t>
      </w:r>
      <w:r w:rsidR="00E4541C" w:rsidRPr="00734D3B">
        <w:t>.</w:t>
      </w:r>
      <w:r w:rsidR="00FE4DDD" w:rsidRPr="00734D3B">
        <w:t xml:space="preserve"> </w:t>
      </w:r>
      <w:r w:rsidR="00E4541C" w:rsidRPr="00734D3B">
        <w:t>L</w:t>
      </w:r>
      <w:r w:rsidR="00FE4DDD" w:rsidRPr="00734D3B">
        <w:t>a adaptabilidad se refleja en la adaptación rápida ante cambios de diseño, en la gestión de contratistas secundarios o en la reprogramación por retrasos logísticos.</w:t>
      </w:r>
    </w:p>
    <w:p w14:paraId="1BFA51AB" w14:textId="77777777" w:rsidR="0080160F" w:rsidRPr="00734D3B" w:rsidRDefault="0080160F" w:rsidP="00D7259E"/>
    <w:p w14:paraId="20CD7A21" w14:textId="7B76B843" w:rsidR="00C8056E" w:rsidRPr="00734D3B" w:rsidRDefault="00C8056E" w:rsidP="00D7259E">
      <w:pPr>
        <w:rPr>
          <w:b/>
          <w:bCs/>
        </w:rPr>
      </w:pPr>
      <w:r w:rsidRPr="00734D3B">
        <w:rPr>
          <w:b/>
          <w:bCs/>
        </w:rPr>
        <w:lastRenderedPageBreak/>
        <w:t xml:space="preserve">12. </w:t>
      </w:r>
      <w:r w:rsidR="003E772C" w:rsidRPr="00734D3B">
        <w:rPr>
          <w:b/>
          <w:bCs/>
        </w:rPr>
        <w:t xml:space="preserve">Permitir el cambio para lograr el estado futuro previsto </w:t>
      </w:r>
    </w:p>
    <w:p w14:paraId="4664E6F7" w14:textId="12C5FE30" w:rsidR="00C8056E" w:rsidRPr="00734D3B" w:rsidRDefault="00285290" w:rsidP="00D7259E">
      <w:r w:rsidRPr="00734D3B">
        <w:t>Todo proyecto debe generar transformación, y este principio impulsa a que el cambio sea beneficioso para la organización, los empleados y su entorn</w:t>
      </w:r>
      <w:r w:rsidR="002050E8" w:rsidRPr="00734D3B">
        <w:t>o, busca que cada proyecto contribuya al bienestar colectivo, reduciendo impactos negativos y fortaleciendo la responsabilidad social y ambiental del sector.</w:t>
      </w:r>
    </w:p>
    <w:p w14:paraId="4ADA6D33" w14:textId="1D1DF5B1" w:rsidR="004229ED" w:rsidRPr="00734D3B" w:rsidRDefault="004229ED" w:rsidP="00DF05CF">
      <w:r w:rsidRPr="00734D3B">
        <w:t>En el ámbito de construcción eléctrica, fomentar el cambio positivo significa adoptar nuevas tecnologías, métodos de trabajo más limpios y prácticas responsables con el medio ambiente.</w:t>
      </w:r>
      <w:r w:rsidRPr="00734D3B">
        <w:tab/>
      </w:r>
    </w:p>
    <w:p w14:paraId="3E32AB03" w14:textId="2CA4AA8E" w:rsidR="00264EEB" w:rsidRPr="00734D3B" w:rsidRDefault="00264EEB" w:rsidP="00AC4635">
      <w:pPr>
        <w:pStyle w:val="Heading3"/>
      </w:pPr>
      <w:bookmarkStart w:id="193" w:name="_Toc227936386"/>
      <w:r w:rsidRPr="00734D3B">
        <w:t>Dominios de desempeño del proyecto</w:t>
      </w:r>
      <w:bookmarkEnd w:id="193"/>
      <w:r w:rsidRPr="00734D3B">
        <w:t xml:space="preserve"> </w:t>
      </w:r>
    </w:p>
    <w:p w14:paraId="3288347E" w14:textId="2D643C7E" w:rsidR="008B4EFD" w:rsidRPr="00734D3B" w:rsidRDefault="00CA29B1" w:rsidP="00D7259E">
      <w:pPr>
        <w:ind w:firstLine="706"/>
      </w:pPr>
      <w:r w:rsidRPr="00734D3B">
        <w:t>S</w:t>
      </w:r>
      <w:r w:rsidR="007857AA" w:rsidRPr="00734D3B">
        <w:t>egún</w:t>
      </w:r>
      <w:r w:rsidR="008B4EFD" w:rsidRPr="00734D3B">
        <w:t xml:space="preserve"> la Guía de los Fundamentos para la Dirección de Proyectos (PMBOK Guide Séptima Edición) del Project Management Institute (PMI, 2021), los dominios de desempeño </w:t>
      </w:r>
      <w:r w:rsidR="00881847" w:rsidRPr="00734D3B">
        <w:t>son</w:t>
      </w:r>
      <w:r w:rsidR="008B4EFD" w:rsidRPr="00734D3B">
        <w:t xml:space="preserve"> las actividades que </w:t>
      </w:r>
      <w:r w:rsidR="00881847" w:rsidRPr="00734D3B">
        <w:t>están</w:t>
      </w:r>
      <w:r w:rsidR="008B4EFD" w:rsidRPr="00734D3B">
        <w:t xml:space="preserve"> relacionan entre sí y que </w:t>
      </w:r>
      <w:r w:rsidR="00881847" w:rsidRPr="00734D3B">
        <w:t>se tornan</w:t>
      </w:r>
      <w:r w:rsidR="008B4EFD" w:rsidRPr="00734D3B">
        <w:t xml:space="preserve"> esenciales para alcanzar los resultados esperados de un proyecto. Cada uno </w:t>
      </w:r>
      <w:r w:rsidRPr="00734D3B">
        <w:t>se enfoca en</w:t>
      </w:r>
      <w:r w:rsidR="008B4EFD" w:rsidRPr="00734D3B">
        <w:t xml:space="preserve"> un aspecto particular de la gestión y funciona como guía práctica </w:t>
      </w:r>
      <w:r w:rsidR="00262DB3" w:rsidRPr="00734D3B">
        <w:t>que</w:t>
      </w:r>
      <w:r w:rsidR="008B4EFD" w:rsidRPr="00734D3B">
        <w:t xml:space="preserve"> orienta las decisiones, el liderazgo y la coordinación durante todo el ciclo de vida del proyecto.</w:t>
      </w:r>
    </w:p>
    <w:p w14:paraId="3032B932" w14:textId="7B0176D5" w:rsidR="008B4EFD" w:rsidRPr="00734D3B" w:rsidRDefault="003B5742" w:rsidP="00D7259E">
      <w:pPr>
        <w:ind w:firstLine="706"/>
      </w:pPr>
      <w:r w:rsidRPr="00734D3B">
        <w:t>Los</w:t>
      </w:r>
      <w:r w:rsidR="008B4EFD" w:rsidRPr="00734D3B">
        <w:t xml:space="preserve"> dominios</w:t>
      </w:r>
      <w:r w:rsidRPr="00734D3B">
        <w:t xml:space="preserve">, además de proporcionar un marco </w:t>
      </w:r>
      <w:r w:rsidR="003C2BA0" w:rsidRPr="00734D3B">
        <w:t>metodológico,</w:t>
      </w:r>
      <w:r w:rsidR="008B4EFD" w:rsidRPr="00734D3B">
        <w:t xml:space="preserve"> buscan brindar una visión </w:t>
      </w:r>
      <w:r w:rsidR="003C2BA0" w:rsidRPr="00734D3B">
        <w:t>completa</w:t>
      </w:r>
      <w:r w:rsidR="008B4EFD" w:rsidRPr="00734D3B">
        <w:t xml:space="preserve"> de los factores que influyen en el éxito de los proyectos. Esto </w:t>
      </w:r>
      <w:r w:rsidR="003C2BA0" w:rsidRPr="00734D3B">
        <w:t>abarca</w:t>
      </w:r>
      <w:r w:rsidR="008B4EFD" w:rsidRPr="00734D3B">
        <w:t xml:space="preserve"> no solo los procesos técnicos, sino también los </w:t>
      </w:r>
      <w:r w:rsidR="000D0944" w:rsidRPr="00734D3B">
        <w:t>elementos de factor</w:t>
      </w:r>
      <w:r w:rsidR="008B4EFD" w:rsidRPr="00734D3B">
        <w:t xml:space="preserve"> human</w:t>
      </w:r>
      <w:r w:rsidR="000D0944" w:rsidRPr="00734D3B">
        <w:t>o</w:t>
      </w:r>
      <w:r w:rsidR="008B4EFD" w:rsidRPr="00734D3B">
        <w:t xml:space="preserve">, estratégicos y </w:t>
      </w:r>
      <w:r w:rsidR="00AD4D36" w:rsidRPr="00734D3B">
        <w:t>ambientales</w:t>
      </w:r>
      <w:r w:rsidR="008B4EFD" w:rsidRPr="00734D3B">
        <w:t xml:space="preserve"> que </w:t>
      </w:r>
      <w:r w:rsidR="00F7656B" w:rsidRPr="00734D3B">
        <w:t>influyen directamente en</w:t>
      </w:r>
      <w:r w:rsidR="008B4EFD" w:rsidRPr="00734D3B">
        <w:t xml:space="preserve"> </w:t>
      </w:r>
      <w:r w:rsidR="0061215F" w:rsidRPr="00734D3B">
        <w:t xml:space="preserve">una </w:t>
      </w:r>
      <w:r w:rsidR="008B4EFD" w:rsidRPr="00734D3B">
        <w:t>ejecución</w:t>
      </w:r>
      <w:r w:rsidR="0061215F" w:rsidRPr="00734D3B">
        <w:t xml:space="preserve"> exitosa</w:t>
      </w:r>
      <w:r w:rsidR="008B4EFD" w:rsidRPr="00734D3B">
        <w:t xml:space="preserve">. En el caso de los proyectos </w:t>
      </w:r>
      <w:r w:rsidR="00874785" w:rsidRPr="00734D3B">
        <w:t>de</w:t>
      </w:r>
      <w:r w:rsidR="008B4EFD" w:rsidRPr="00734D3B">
        <w:t xml:space="preserve"> construcción </w:t>
      </w:r>
      <w:r w:rsidR="00874785" w:rsidRPr="00734D3B">
        <w:t xml:space="preserve">eléctricos enfocados en </w:t>
      </w:r>
      <w:r w:rsidR="008B4EFD" w:rsidRPr="00734D3B">
        <w:t xml:space="preserve">centros de datos, estos dominios </w:t>
      </w:r>
      <w:r w:rsidR="00206696" w:rsidRPr="00734D3B">
        <w:t>ocupan</w:t>
      </w:r>
      <w:r w:rsidR="008B4EFD" w:rsidRPr="00734D3B">
        <w:t xml:space="preserve"> un papel fundamental, </w:t>
      </w:r>
      <w:r w:rsidR="003131F2" w:rsidRPr="00734D3B">
        <w:t>ya que</w:t>
      </w:r>
      <w:r w:rsidR="00206696" w:rsidRPr="00734D3B">
        <w:t xml:space="preserve"> </w:t>
      </w:r>
      <w:r w:rsidR="007E4EE1" w:rsidRPr="00734D3B">
        <w:t>permiten unir</w:t>
      </w:r>
      <w:r w:rsidR="008B4EFD" w:rsidRPr="00734D3B">
        <w:t xml:space="preserve"> la gestión técnica con los principios de sostenibilidad, la seguridad </w:t>
      </w:r>
      <w:r w:rsidR="00FB7B8C" w:rsidRPr="00734D3B">
        <w:t xml:space="preserve">sin dejar de lado </w:t>
      </w:r>
      <w:r w:rsidR="008B4EFD" w:rsidRPr="00734D3B">
        <w:t xml:space="preserve">la </w:t>
      </w:r>
      <w:r w:rsidR="00CE1A5A" w:rsidRPr="00734D3B">
        <w:t>calidad</w:t>
      </w:r>
      <w:r w:rsidR="008B4EFD" w:rsidRPr="00734D3B">
        <w:t xml:space="preserve"> </w:t>
      </w:r>
      <w:r w:rsidR="003131F2" w:rsidRPr="00734D3B">
        <w:t>técnica</w:t>
      </w:r>
      <w:r w:rsidR="007E4EE1" w:rsidRPr="00734D3B">
        <w:t>-</w:t>
      </w:r>
      <w:r w:rsidR="008B4EFD" w:rsidRPr="00734D3B">
        <w:t xml:space="preserve">operativa. </w:t>
      </w:r>
      <w:r w:rsidR="00CE1A5A" w:rsidRPr="00734D3B">
        <w:t xml:space="preserve">Favoreciendo </w:t>
      </w:r>
      <w:r w:rsidR="00DF2B58" w:rsidRPr="00734D3B">
        <w:t>así, la</w:t>
      </w:r>
      <w:r w:rsidR="008B4EFD" w:rsidRPr="00734D3B">
        <w:t xml:space="preserve"> reducción de impactos ambientales </w:t>
      </w:r>
      <w:r w:rsidR="00DF2B58" w:rsidRPr="00734D3B">
        <w:t xml:space="preserve">e incrementado </w:t>
      </w:r>
      <w:r w:rsidR="008B4EFD" w:rsidRPr="00734D3B">
        <w:t>la responsabilidad social corporativa de los contratistas eléctricos que participan en este tipo de obras.</w:t>
      </w:r>
    </w:p>
    <w:p w14:paraId="660A2467" w14:textId="61215BD9" w:rsidR="008B4EFD" w:rsidRPr="00734D3B" w:rsidRDefault="00E5645E" w:rsidP="00D7259E">
      <w:pPr>
        <w:ind w:firstLine="706"/>
      </w:pPr>
      <w:r w:rsidRPr="00734D3B">
        <w:lastRenderedPageBreak/>
        <w:t xml:space="preserve">Tomando como punto de partida esta base teórica, en </w:t>
      </w:r>
      <w:r w:rsidR="00DD76AD" w:rsidRPr="00734D3B">
        <w:t>la tabla siguiente</w:t>
      </w:r>
      <w:r w:rsidRPr="00734D3B">
        <w:t xml:space="preserve"> se analizan los ocho dominios de desempeño </w:t>
      </w:r>
      <w:r w:rsidR="00FB7B8C" w:rsidRPr="00734D3B">
        <w:t>determinados</w:t>
      </w:r>
      <w:r w:rsidRPr="00734D3B">
        <w:t xml:space="preserve"> por el PMI (2021) y su </w:t>
      </w:r>
      <w:r w:rsidR="002C0372" w:rsidRPr="00734D3B">
        <w:t>aplicación</w:t>
      </w:r>
      <w:r w:rsidRPr="00734D3B">
        <w:t xml:space="preserve"> con </w:t>
      </w:r>
      <w:r w:rsidR="00874DE7" w:rsidRPr="00734D3B">
        <w:t xml:space="preserve">la finalidad del </w:t>
      </w:r>
      <w:r w:rsidRPr="00734D3B">
        <w:t>proyecto desarrollado en este estudio.</w:t>
      </w:r>
    </w:p>
    <w:p w14:paraId="0AD29CB4" w14:textId="2F56FBF1" w:rsidR="00C618E3" w:rsidRPr="00734D3B" w:rsidRDefault="008A2B11" w:rsidP="009F45E8">
      <w:pPr>
        <w:pStyle w:val="Caption"/>
        <w:rPr>
          <w:b w:val="0"/>
          <w:bCs/>
          <w:i/>
          <w:iCs/>
          <w:color w:val="auto"/>
        </w:rPr>
      </w:pPr>
      <w:bookmarkStart w:id="194" w:name="_Toc211451752"/>
      <w:bookmarkStart w:id="195" w:name="_Toc228342081"/>
      <w:r w:rsidRPr="00734D3B">
        <w:rPr>
          <w:color w:val="auto"/>
        </w:rPr>
        <w:t xml:space="preserve">Tabla </w:t>
      </w:r>
      <w:r w:rsidR="002D1419" w:rsidRPr="00734D3B">
        <w:rPr>
          <w:color w:val="auto"/>
        </w:rPr>
        <w:fldChar w:fldCharType="begin"/>
      </w:r>
      <w:r w:rsidR="002D1419" w:rsidRPr="00734D3B">
        <w:rPr>
          <w:color w:val="auto"/>
        </w:rPr>
        <w:instrText xml:space="preserve"> SEQ Tabla \* ARABIC </w:instrText>
      </w:r>
      <w:r w:rsidR="002D1419" w:rsidRPr="00734D3B">
        <w:rPr>
          <w:color w:val="auto"/>
        </w:rPr>
        <w:fldChar w:fldCharType="separate"/>
      </w:r>
      <w:r w:rsidR="00374D60" w:rsidRPr="00734D3B">
        <w:rPr>
          <w:noProof/>
          <w:color w:val="auto"/>
        </w:rPr>
        <w:t>1</w:t>
      </w:r>
      <w:bookmarkEnd w:id="194"/>
      <w:r w:rsidR="002D1419" w:rsidRPr="00734D3B">
        <w:rPr>
          <w:noProof/>
          <w:color w:val="auto"/>
        </w:rPr>
        <w:fldChar w:fldCharType="end"/>
      </w:r>
      <w:r w:rsidRPr="00734D3B">
        <w:rPr>
          <w:color w:val="auto"/>
        </w:rPr>
        <w:t xml:space="preserve"> </w:t>
      </w:r>
      <w:r w:rsidR="005D27CF" w:rsidRPr="00734D3B">
        <w:rPr>
          <w:color w:val="auto"/>
        </w:rPr>
        <w:br/>
      </w:r>
      <w:r w:rsidRPr="00734D3B">
        <w:rPr>
          <w:b w:val="0"/>
          <w:bCs/>
          <w:i/>
          <w:iCs/>
          <w:color w:val="auto"/>
        </w:rPr>
        <w:t>Dominios de desempeño del proyecto y su aplicación en la gestión sostenible de contratistas eléctricos</w:t>
      </w:r>
      <w:r w:rsidR="007A0FF6" w:rsidRPr="00734D3B">
        <w:rPr>
          <w:b w:val="0"/>
          <w:bCs/>
          <w:i/>
          <w:iCs/>
          <w:color w:val="auto"/>
        </w:rPr>
        <w:t>.</w:t>
      </w:r>
      <w:bookmarkEnd w:id="195"/>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7"/>
        <w:gridCol w:w="3118"/>
      </w:tblGrid>
      <w:tr w:rsidR="00734D3B" w:rsidRPr="00734D3B" w14:paraId="43D36F15" w14:textId="77777777" w:rsidTr="00DB7462">
        <w:tc>
          <w:tcPr>
            <w:tcW w:w="3117" w:type="dxa"/>
            <w:tcBorders>
              <w:top w:val="single" w:sz="4" w:space="0" w:color="auto"/>
              <w:bottom w:val="single" w:sz="4" w:space="0" w:color="auto"/>
            </w:tcBorders>
          </w:tcPr>
          <w:p w14:paraId="22E6BCB0" w14:textId="39A29D03" w:rsidR="000C3E3B" w:rsidRPr="00734D3B" w:rsidRDefault="000C3E3B" w:rsidP="002E0FAE">
            <w:pPr>
              <w:ind w:firstLine="0"/>
              <w:jc w:val="center"/>
            </w:pPr>
            <w:r w:rsidRPr="00734D3B">
              <w:t>Dominio de desempeño</w:t>
            </w:r>
          </w:p>
        </w:tc>
        <w:tc>
          <w:tcPr>
            <w:tcW w:w="3117" w:type="dxa"/>
            <w:tcBorders>
              <w:top w:val="single" w:sz="4" w:space="0" w:color="auto"/>
              <w:bottom w:val="single" w:sz="4" w:space="0" w:color="auto"/>
            </w:tcBorders>
          </w:tcPr>
          <w:p w14:paraId="378D5DB5" w14:textId="249558FD" w:rsidR="000C3E3B" w:rsidRPr="00734D3B" w:rsidRDefault="000C3E3B" w:rsidP="002E0FAE">
            <w:pPr>
              <w:ind w:firstLine="0"/>
              <w:jc w:val="center"/>
            </w:pPr>
            <w:r w:rsidRPr="00734D3B">
              <w:t>Objetivo</w:t>
            </w:r>
          </w:p>
        </w:tc>
        <w:tc>
          <w:tcPr>
            <w:tcW w:w="3118" w:type="dxa"/>
            <w:tcBorders>
              <w:top w:val="single" w:sz="4" w:space="0" w:color="auto"/>
              <w:bottom w:val="single" w:sz="4" w:space="0" w:color="auto"/>
            </w:tcBorders>
          </w:tcPr>
          <w:p w14:paraId="4550B242" w14:textId="4CE57D6A" w:rsidR="000C3E3B" w:rsidRPr="00734D3B" w:rsidRDefault="00C90EA9" w:rsidP="009E5642">
            <w:pPr>
              <w:ind w:firstLine="0"/>
              <w:jc w:val="center"/>
            </w:pPr>
            <w:r w:rsidRPr="00734D3B">
              <w:t>Aplicación</w:t>
            </w:r>
            <w:r w:rsidR="00FF2172" w:rsidRPr="00734D3B">
              <w:t xml:space="preserve"> </w:t>
            </w:r>
            <w:r w:rsidR="009E5642" w:rsidRPr="00734D3B">
              <w:t>con la finalidad</w:t>
            </w:r>
          </w:p>
        </w:tc>
      </w:tr>
      <w:tr w:rsidR="00734D3B" w:rsidRPr="00734D3B" w14:paraId="0C42C233" w14:textId="77777777" w:rsidTr="00DB7462">
        <w:tc>
          <w:tcPr>
            <w:tcW w:w="3117" w:type="dxa"/>
            <w:tcBorders>
              <w:top w:val="single" w:sz="4" w:space="0" w:color="auto"/>
            </w:tcBorders>
          </w:tcPr>
          <w:p w14:paraId="2FE60788" w14:textId="1695D128" w:rsidR="00AC2864" w:rsidRPr="00734D3B" w:rsidRDefault="006B751C" w:rsidP="00D7259E">
            <w:pPr>
              <w:ind w:firstLine="0"/>
            </w:pPr>
            <w:r w:rsidRPr="00734D3B">
              <w:t>1.</w:t>
            </w:r>
            <w:r w:rsidR="00AC2864" w:rsidRPr="00734D3B">
              <w:t>Equipo</w:t>
            </w:r>
          </w:p>
        </w:tc>
        <w:tc>
          <w:tcPr>
            <w:tcW w:w="3117" w:type="dxa"/>
            <w:tcBorders>
              <w:top w:val="single" w:sz="4" w:space="0" w:color="auto"/>
            </w:tcBorders>
          </w:tcPr>
          <w:p w14:paraId="74AB9F2D" w14:textId="77777777" w:rsidR="00AC2864" w:rsidRPr="00734D3B" w:rsidRDefault="00AC2864" w:rsidP="00D7259E">
            <w:pPr>
              <w:spacing w:line="240" w:lineRule="auto"/>
              <w:ind w:firstLine="0"/>
            </w:pPr>
            <w:r w:rsidRPr="00734D3B">
              <w:t>Desarrollar y mantener un equipo eficaz y comprometido que contribuya al éxito del proyecto.</w:t>
            </w:r>
          </w:p>
          <w:p w14:paraId="7D137C5D" w14:textId="627EB493" w:rsidR="00C74F54" w:rsidRPr="00734D3B" w:rsidRDefault="00C74F54" w:rsidP="00D7259E">
            <w:pPr>
              <w:spacing w:line="240" w:lineRule="auto"/>
              <w:ind w:firstLine="0"/>
            </w:pPr>
          </w:p>
        </w:tc>
        <w:tc>
          <w:tcPr>
            <w:tcW w:w="3118" w:type="dxa"/>
            <w:tcBorders>
              <w:top w:val="single" w:sz="4" w:space="0" w:color="auto"/>
            </w:tcBorders>
          </w:tcPr>
          <w:p w14:paraId="34C06383" w14:textId="26752869" w:rsidR="004E66F7" w:rsidRPr="00734D3B" w:rsidRDefault="00212429" w:rsidP="00A00D99">
            <w:pPr>
              <w:spacing w:line="240" w:lineRule="auto"/>
              <w:ind w:firstLine="0"/>
            </w:pPr>
            <w:r w:rsidRPr="00734D3B">
              <w:t>Los contratistas eléctricos se dividen en equipos especializadas y fomentan la capacitación continua en seguridad, sostenibilidad y procedimientos técnicos para mantener la productividad y la calidad del trabajo.</w:t>
            </w:r>
          </w:p>
          <w:p w14:paraId="6F96EE59" w14:textId="526604C0" w:rsidR="00212429" w:rsidRPr="00734D3B" w:rsidRDefault="00212429" w:rsidP="00A00D99">
            <w:pPr>
              <w:spacing w:line="240" w:lineRule="auto"/>
              <w:ind w:firstLine="0"/>
            </w:pPr>
          </w:p>
        </w:tc>
      </w:tr>
      <w:tr w:rsidR="00734D3B" w:rsidRPr="00734D3B" w14:paraId="2160A0D4" w14:textId="77777777" w:rsidTr="00DB7462">
        <w:tc>
          <w:tcPr>
            <w:tcW w:w="3117" w:type="dxa"/>
          </w:tcPr>
          <w:p w14:paraId="3B72BDAB" w14:textId="7CE444E3" w:rsidR="00AC2864" w:rsidRPr="00734D3B" w:rsidRDefault="006B751C" w:rsidP="00D7259E">
            <w:pPr>
              <w:ind w:firstLine="0"/>
            </w:pPr>
            <w:r w:rsidRPr="00734D3B">
              <w:t>2.</w:t>
            </w:r>
            <w:r w:rsidR="00AC2864" w:rsidRPr="00734D3B">
              <w:t xml:space="preserve">Interesados </w:t>
            </w:r>
          </w:p>
        </w:tc>
        <w:tc>
          <w:tcPr>
            <w:tcW w:w="3117" w:type="dxa"/>
          </w:tcPr>
          <w:p w14:paraId="4C99D2F1" w14:textId="77777777" w:rsidR="00AC2864" w:rsidRPr="00734D3B" w:rsidRDefault="00AC2864" w:rsidP="00D7259E">
            <w:pPr>
              <w:spacing w:line="240" w:lineRule="auto"/>
              <w:ind w:firstLine="0"/>
            </w:pPr>
            <w:r w:rsidRPr="00734D3B">
              <w:t>Identificar, analizar y gestionar las expectativas de los interesados.</w:t>
            </w:r>
          </w:p>
          <w:p w14:paraId="1C8D1467" w14:textId="31E2520E" w:rsidR="00C74F54" w:rsidRPr="00734D3B" w:rsidRDefault="00C74F54" w:rsidP="00D7259E">
            <w:pPr>
              <w:spacing w:line="240" w:lineRule="auto"/>
              <w:ind w:firstLine="0"/>
            </w:pPr>
          </w:p>
        </w:tc>
        <w:tc>
          <w:tcPr>
            <w:tcW w:w="3118" w:type="dxa"/>
          </w:tcPr>
          <w:p w14:paraId="7CBD0B13" w14:textId="5528FF01" w:rsidR="00C53A25" w:rsidRPr="00734D3B" w:rsidRDefault="007D71E4" w:rsidP="00D7259E">
            <w:pPr>
              <w:spacing w:line="240" w:lineRule="auto"/>
              <w:ind w:firstLine="0"/>
            </w:pPr>
            <w:r w:rsidRPr="00734D3B">
              <w:t>Se mantienen comunicaciones constantes con el cliente, el contratista general y las autoridades locales, alineando los requerimientos con las políticas del proyecto.</w:t>
            </w:r>
          </w:p>
          <w:p w14:paraId="6B54702F" w14:textId="3C9F77F0" w:rsidR="007D71E4" w:rsidRPr="00734D3B" w:rsidRDefault="007D71E4" w:rsidP="00D7259E">
            <w:pPr>
              <w:spacing w:line="240" w:lineRule="auto"/>
              <w:ind w:firstLine="0"/>
            </w:pPr>
          </w:p>
        </w:tc>
      </w:tr>
      <w:tr w:rsidR="00734D3B" w:rsidRPr="00734D3B" w14:paraId="62D66BD0" w14:textId="77777777" w:rsidTr="00DB7462">
        <w:tc>
          <w:tcPr>
            <w:tcW w:w="3117" w:type="dxa"/>
          </w:tcPr>
          <w:p w14:paraId="0A4D2DE0" w14:textId="469C7150" w:rsidR="00AC2864" w:rsidRPr="00734D3B" w:rsidRDefault="006B751C" w:rsidP="00D7259E">
            <w:pPr>
              <w:ind w:firstLine="0"/>
            </w:pPr>
            <w:r w:rsidRPr="00734D3B">
              <w:t>3.</w:t>
            </w:r>
            <w:r w:rsidR="00AC2864" w:rsidRPr="00734D3B">
              <w:t>Enfoque y ciclo de vida del proyecto</w:t>
            </w:r>
          </w:p>
        </w:tc>
        <w:tc>
          <w:tcPr>
            <w:tcW w:w="3117" w:type="dxa"/>
          </w:tcPr>
          <w:p w14:paraId="23F4E447" w14:textId="77777777" w:rsidR="00AC2864" w:rsidRPr="00734D3B" w:rsidRDefault="00AC2864" w:rsidP="00D7259E">
            <w:pPr>
              <w:spacing w:line="240" w:lineRule="auto"/>
              <w:ind w:firstLine="0"/>
            </w:pPr>
            <w:r w:rsidRPr="00734D3B">
              <w:t>Definir el enfoque de gestión y las fases que guían el desarrollo del proyecto.</w:t>
            </w:r>
          </w:p>
          <w:p w14:paraId="02F1BEF6" w14:textId="5272B714" w:rsidR="00C74F54" w:rsidRPr="00734D3B" w:rsidRDefault="00C74F54" w:rsidP="00D7259E">
            <w:pPr>
              <w:spacing w:line="240" w:lineRule="auto"/>
              <w:ind w:firstLine="0"/>
            </w:pPr>
          </w:p>
        </w:tc>
        <w:tc>
          <w:tcPr>
            <w:tcW w:w="3118" w:type="dxa"/>
          </w:tcPr>
          <w:p w14:paraId="3FF6AF8C" w14:textId="3F347B5F" w:rsidR="00AC2864" w:rsidRPr="00734D3B" w:rsidRDefault="00F83C2F" w:rsidP="00D7259E">
            <w:pPr>
              <w:spacing w:line="240" w:lineRule="auto"/>
              <w:ind w:firstLine="0"/>
            </w:pPr>
            <w:r w:rsidRPr="00734D3B">
              <w:t>Los proyectos siguen un ciclo predictivo con fases claras de diseño, instalación y pruebas, aplicando controles de calidad, seguridad y sostenibilidad en cada etapa</w:t>
            </w:r>
            <w:r w:rsidR="00A00D99" w:rsidRPr="00734D3B">
              <w:t>.</w:t>
            </w:r>
          </w:p>
          <w:p w14:paraId="0F379832" w14:textId="166FC086" w:rsidR="00C53A25" w:rsidRPr="00734D3B" w:rsidRDefault="00C53A25" w:rsidP="00D7259E">
            <w:pPr>
              <w:spacing w:line="240" w:lineRule="auto"/>
              <w:ind w:firstLine="0"/>
            </w:pPr>
          </w:p>
        </w:tc>
      </w:tr>
      <w:tr w:rsidR="00734D3B" w:rsidRPr="00734D3B" w14:paraId="311E1D8A" w14:textId="77777777" w:rsidTr="00DB7462">
        <w:tc>
          <w:tcPr>
            <w:tcW w:w="3117" w:type="dxa"/>
          </w:tcPr>
          <w:p w14:paraId="623CCE47" w14:textId="12952842" w:rsidR="00AC2864" w:rsidRPr="00734D3B" w:rsidRDefault="006B751C" w:rsidP="00D7259E">
            <w:pPr>
              <w:ind w:firstLine="0"/>
            </w:pPr>
            <w:r w:rsidRPr="00734D3B">
              <w:t>4.</w:t>
            </w:r>
            <w:r w:rsidR="00AC2864" w:rsidRPr="00734D3B">
              <w:t>Planificación</w:t>
            </w:r>
          </w:p>
        </w:tc>
        <w:tc>
          <w:tcPr>
            <w:tcW w:w="3117" w:type="dxa"/>
          </w:tcPr>
          <w:p w14:paraId="0F66ED1A" w14:textId="77777777" w:rsidR="00AC2864" w:rsidRPr="00734D3B" w:rsidRDefault="00AC2864" w:rsidP="00D7259E">
            <w:pPr>
              <w:spacing w:line="240" w:lineRule="auto"/>
              <w:ind w:firstLine="0"/>
            </w:pPr>
            <w:r w:rsidRPr="00734D3B">
              <w:t>Establecer la estrategia y los componentes necesarios para cumplir los objetivos del proyecto.</w:t>
            </w:r>
          </w:p>
          <w:p w14:paraId="42F409C4" w14:textId="15E66BDC" w:rsidR="00C74F54" w:rsidRPr="00734D3B" w:rsidRDefault="00C74F54" w:rsidP="00D7259E">
            <w:pPr>
              <w:spacing w:line="240" w:lineRule="auto"/>
              <w:ind w:firstLine="0"/>
            </w:pPr>
          </w:p>
        </w:tc>
        <w:tc>
          <w:tcPr>
            <w:tcW w:w="3118" w:type="dxa"/>
          </w:tcPr>
          <w:p w14:paraId="1EC5107A" w14:textId="77777777" w:rsidR="00992EC0" w:rsidRPr="00734D3B" w:rsidRDefault="002E6B4A" w:rsidP="00D7259E">
            <w:pPr>
              <w:spacing w:line="240" w:lineRule="auto"/>
              <w:ind w:firstLine="0"/>
            </w:pPr>
            <w:r w:rsidRPr="00734D3B">
              <w:t>Se elaboran cronogramas detallados, se asignan recursos y se integran planes de manejo ambiental y de residuos para optimizar tiempos y reducir desperdicios.</w:t>
            </w:r>
          </w:p>
          <w:p w14:paraId="27277E1E" w14:textId="27362060" w:rsidR="002E6B4A" w:rsidRPr="00734D3B" w:rsidRDefault="002E6B4A" w:rsidP="00D7259E">
            <w:pPr>
              <w:spacing w:line="240" w:lineRule="auto"/>
              <w:ind w:firstLine="0"/>
            </w:pPr>
          </w:p>
        </w:tc>
      </w:tr>
      <w:tr w:rsidR="00734D3B" w:rsidRPr="00734D3B" w14:paraId="5C5EDBF7" w14:textId="77777777" w:rsidTr="00DB7462">
        <w:tc>
          <w:tcPr>
            <w:tcW w:w="3117" w:type="dxa"/>
          </w:tcPr>
          <w:p w14:paraId="00C768F0" w14:textId="5BA36854" w:rsidR="00AC2864" w:rsidRPr="00734D3B" w:rsidRDefault="006B751C" w:rsidP="00D7259E">
            <w:pPr>
              <w:ind w:firstLine="0"/>
            </w:pPr>
            <w:r w:rsidRPr="00734D3B">
              <w:lastRenderedPageBreak/>
              <w:t>5.</w:t>
            </w:r>
            <w:r w:rsidR="00AC2864" w:rsidRPr="00734D3B">
              <w:t>Desempeño del trabajo del proyecto</w:t>
            </w:r>
          </w:p>
        </w:tc>
        <w:tc>
          <w:tcPr>
            <w:tcW w:w="3117" w:type="dxa"/>
          </w:tcPr>
          <w:p w14:paraId="4DC185B8" w14:textId="77777777" w:rsidR="00AC2864" w:rsidRPr="00734D3B" w:rsidRDefault="00AC2864" w:rsidP="00D7259E">
            <w:pPr>
              <w:spacing w:line="240" w:lineRule="auto"/>
              <w:ind w:firstLine="0"/>
            </w:pPr>
            <w:r w:rsidRPr="00734D3B">
              <w:t>Coordinar las actividades para producir los entregables según el plan.</w:t>
            </w:r>
          </w:p>
          <w:p w14:paraId="5EC89A04" w14:textId="43C4987C" w:rsidR="00C74F54" w:rsidRPr="00734D3B" w:rsidRDefault="00C74F54" w:rsidP="00D7259E">
            <w:pPr>
              <w:spacing w:line="240" w:lineRule="auto"/>
              <w:ind w:firstLine="0"/>
            </w:pPr>
          </w:p>
        </w:tc>
        <w:tc>
          <w:tcPr>
            <w:tcW w:w="3118" w:type="dxa"/>
          </w:tcPr>
          <w:p w14:paraId="40F64275" w14:textId="316C2A80" w:rsidR="00992EC0" w:rsidRPr="00734D3B" w:rsidRDefault="002E6B4A" w:rsidP="00D7259E">
            <w:pPr>
              <w:spacing w:line="240" w:lineRule="auto"/>
              <w:ind w:firstLine="0"/>
            </w:pPr>
            <w:r w:rsidRPr="00734D3B">
              <w:t>Los supervisores controlan el avance mediante reportes, reuniones diarias y herramientas digitales, asegurando cumplimiento técnico y eficiencia operativa.</w:t>
            </w:r>
          </w:p>
          <w:p w14:paraId="50C97A1F" w14:textId="6C584681" w:rsidR="002E6B4A" w:rsidRPr="00734D3B" w:rsidRDefault="002E6B4A" w:rsidP="00D7259E">
            <w:pPr>
              <w:spacing w:line="240" w:lineRule="auto"/>
              <w:ind w:firstLine="0"/>
            </w:pPr>
          </w:p>
        </w:tc>
      </w:tr>
      <w:tr w:rsidR="00734D3B" w:rsidRPr="00734D3B" w14:paraId="7383242D" w14:textId="77777777" w:rsidTr="00DB7462">
        <w:tc>
          <w:tcPr>
            <w:tcW w:w="3117" w:type="dxa"/>
          </w:tcPr>
          <w:p w14:paraId="159F377A" w14:textId="68D34F51" w:rsidR="00AC2864" w:rsidRPr="00734D3B" w:rsidRDefault="006B751C" w:rsidP="00D7259E">
            <w:pPr>
              <w:ind w:firstLine="0"/>
            </w:pPr>
            <w:r w:rsidRPr="00734D3B">
              <w:t>6.</w:t>
            </w:r>
            <w:r w:rsidR="00AC2864" w:rsidRPr="00734D3B">
              <w:t>Entregables</w:t>
            </w:r>
          </w:p>
        </w:tc>
        <w:tc>
          <w:tcPr>
            <w:tcW w:w="3117" w:type="dxa"/>
          </w:tcPr>
          <w:p w14:paraId="1E6E465B" w14:textId="77777777" w:rsidR="00AC2864" w:rsidRPr="00734D3B" w:rsidRDefault="00AC2864" w:rsidP="00D7259E">
            <w:pPr>
              <w:spacing w:line="240" w:lineRule="auto"/>
              <w:ind w:firstLine="0"/>
            </w:pPr>
            <w:r w:rsidRPr="00734D3B">
              <w:t>Garantizar que los productos o servicios cumplan con los requisitos y estándares definidos.</w:t>
            </w:r>
          </w:p>
          <w:p w14:paraId="2C09BC31" w14:textId="681AA469" w:rsidR="00C74F54" w:rsidRPr="00734D3B" w:rsidRDefault="00C74F54" w:rsidP="00D7259E">
            <w:pPr>
              <w:spacing w:line="240" w:lineRule="auto"/>
              <w:ind w:firstLine="0"/>
            </w:pPr>
          </w:p>
        </w:tc>
        <w:tc>
          <w:tcPr>
            <w:tcW w:w="3118" w:type="dxa"/>
          </w:tcPr>
          <w:p w14:paraId="5B9E6D2A" w14:textId="58A38D0B" w:rsidR="00ED0250" w:rsidRPr="00734D3B" w:rsidRDefault="00ED7E4D" w:rsidP="00D7259E">
            <w:pPr>
              <w:spacing w:line="240" w:lineRule="auto"/>
              <w:ind w:firstLine="0"/>
            </w:pPr>
            <w:r w:rsidRPr="00734D3B">
              <w:t>Se entregan instalaciones certificadas que cumplen con</w:t>
            </w:r>
            <w:r w:rsidR="008B2918" w:rsidRPr="00734D3B">
              <w:t xml:space="preserve"> l</w:t>
            </w:r>
            <w:r w:rsidRPr="00734D3B">
              <w:t>a</w:t>
            </w:r>
            <w:r w:rsidR="008B2918" w:rsidRPr="00734D3B">
              <w:t>s</w:t>
            </w:r>
            <w:r w:rsidRPr="00734D3B">
              <w:t xml:space="preserve"> normas NEC, NFPA, y las especificaciones del cliente. </w:t>
            </w:r>
          </w:p>
          <w:p w14:paraId="0C855E66" w14:textId="0778043C" w:rsidR="00ED7E4D" w:rsidRPr="00734D3B" w:rsidRDefault="00ED7E4D" w:rsidP="00D7259E">
            <w:pPr>
              <w:spacing w:line="240" w:lineRule="auto"/>
              <w:ind w:firstLine="0"/>
            </w:pPr>
          </w:p>
        </w:tc>
      </w:tr>
      <w:tr w:rsidR="00734D3B" w:rsidRPr="00734D3B" w14:paraId="4AB2D6DF" w14:textId="77777777" w:rsidTr="00DB7462">
        <w:tc>
          <w:tcPr>
            <w:tcW w:w="3117" w:type="dxa"/>
          </w:tcPr>
          <w:p w14:paraId="73AE1FDE" w14:textId="69BE2952" w:rsidR="00AC2864" w:rsidRPr="00734D3B" w:rsidRDefault="006B751C" w:rsidP="00D7259E">
            <w:pPr>
              <w:ind w:firstLine="0"/>
            </w:pPr>
            <w:r w:rsidRPr="00734D3B">
              <w:t>7.</w:t>
            </w:r>
            <w:r w:rsidR="00AC2864" w:rsidRPr="00734D3B">
              <w:t>Medición</w:t>
            </w:r>
          </w:p>
        </w:tc>
        <w:tc>
          <w:tcPr>
            <w:tcW w:w="3117" w:type="dxa"/>
          </w:tcPr>
          <w:p w14:paraId="54588CDA" w14:textId="61224867" w:rsidR="00AC2864" w:rsidRPr="00734D3B" w:rsidRDefault="00AC2864" w:rsidP="00D7259E">
            <w:pPr>
              <w:spacing w:line="240" w:lineRule="auto"/>
              <w:ind w:firstLine="0"/>
            </w:pPr>
            <w:r w:rsidRPr="00734D3B">
              <w:t>Evaluar el progreso y el desempeño del proyecto frente a los objetivos establecidos.</w:t>
            </w:r>
          </w:p>
        </w:tc>
        <w:tc>
          <w:tcPr>
            <w:tcW w:w="3118" w:type="dxa"/>
          </w:tcPr>
          <w:p w14:paraId="19942B51" w14:textId="4DEC23FF" w:rsidR="008B2918" w:rsidRPr="00734D3B" w:rsidRDefault="008B2918" w:rsidP="00D7259E">
            <w:pPr>
              <w:spacing w:line="240" w:lineRule="auto"/>
              <w:ind w:firstLine="0"/>
            </w:pPr>
            <w:r w:rsidRPr="00734D3B">
              <w:t>Se aplican indicadores de productividad</w:t>
            </w:r>
            <w:r w:rsidR="00B40E3C" w:rsidRPr="00734D3B">
              <w:t xml:space="preserve"> y </w:t>
            </w:r>
            <w:r w:rsidRPr="00734D3B">
              <w:t>seguridad para evaluar el avance y tomar acciones correctivas oportunas.</w:t>
            </w:r>
          </w:p>
          <w:p w14:paraId="64206AEC" w14:textId="35DF5BBD" w:rsidR="008956DC" w:rsidRPr="00734D3B" w:rsidRDefault="008956DC" w:rsidP="00D7259E">
            <w:pPr>
              <w:spacing w:line="240" w:lineRule="auto"/>
              <w:ind w:firstLine="0"/>
            </w:pPr>
          </w:p>
        </w:tc>
      </w:tr>
      <w:tr w:rsidR="00734D3B" w:rsidRPr="00734D3B" w14:paraId="1B4EE067" w14:textId="77777777" w:rsidTr="00DB7462">
        <w:tc>
          <w:tcPr>
            <w:tcW w:w="3117" w:type="dxa"/>
            <w:tcBorders>
              <w:bottom w:val="single" w:sz="4" w:space="0" w:color="auto"/>
            </w:tcBorders>
          </w:tcPr>
          <w:p w14:paraId="69312ED4" w14:textId="32BDBB20" w:rsidR="00AC2864" w:rsidRPr="00734D3B" w:rsidRDefault="006B751C" w:rsidP="00D7259E">
            <w:pPr>
              <w:ind w:firstLine="0"/>
            </w:pPr>
            <w:r w:rsidRPr="00734D3B">
              <w:t>8.</w:t>
            </w:r>
            <w:r w:rsidR="00AC2864" w:rsidRPr="00734D3B">
              <w:t>Incertidumbre</w:t>
            </w:r>
          </w:p>
        </w:tc>
        <w:tc>
          <w:tcPr>
            <w:tcW w:w="3117" w:type="dxa"/>
            <w:tcBorders>
              <w:bottom w:val="single" w:sz="4" w:space="0" w:color="auto"/>
            </w:tcBorders>
          </w:tcPr>
          <w:p w14:paraId="4E33E683" w14:textId="7B4085B6" w:rsidR="00AC2864" w:rsidRPr="00734D3B" w:rsidRDefault="00AC2864" w:rsidP="00D7259E">
            <w:pPr>
              <w:spacing w:line="240" w:lineRule="auto"/>
              <w:ind w:firstLine="0"/>
            </w:pPr>
            <w:r w:rsidRPr="00734D3B">
              <w:t>Identificar y gestionar los riesgos y oportunidades que pueden afectar los resultados.</w:t>
            </w:r>
          </w:p>
        </w:tc>
        <w:tc>
          <w:tcPr>
            <w:tcW w:w="3118" w:type="dxa"/>
            <w:tcBorders>
              <w:bottom w:val="single" w:sz="4" w:space="0" w:color="auto"/>
            </w:tcBorders>
          </w:tcPr>
          <w:p w14:paraId="381F13FF" w14:textId="67E99B30" w:rsidR="00AC2864" w:rsidRPr="00734D3B" w:rsidRDefault="00B40E3C" w:rsidP="00D7259E">
            <w:pPr>
              <w:spacing w:line="240" w:lineRule="auto"/>
              <w:ind w:firstLine="0"/>
            </w:pPr>
            <w:r w:rsidRPr="00734D3B">
              <w:t>Se anticipan riesgos logísticos, técnicos y ambientales mediante reuniones de coordinación y planes de contingencia que aseguran continuidad y cumplimiento.</w:t>
            </w:r>
          </w:p>
        </w:tc>
      </w:tr>
    </w:tbl>
    <w:p w14:paraId="10ED51BF" w14:textId="3282DB8C" w:rsidR="007A0FF6" w:rsidRPr="00734D3B" w:rsidRDefault="00027951" w:rsidP="00B11195">
      <w:pPr>
        <w:jc w:val="right"/>
      </w:pPr>
      <w:r w:rsidRPr="00734D3B">
        <w:rPr>
          <w:i/>
          <w:iCs/>
        </w:rPr>
        <w:t>Nota.</w:t>
      </w:r>
      <w:r w:rsidRPr="00734D3B">
        <w:t xml:space="preserve"> Elaboración propia a partir de Project Management Institute (2021).</w:t>
      </w:r>
    </w:p>
    <w:p w14:paraId="32F98C3A" w14:textId="77777777" w:rsidR="000F5C88" w:rsidRPr="00734D3B" w:rsidRDefault="000F5C88" w:rsidP="00D7259E"/>
    <w:p w14:paraId="39299418" w14:textId="2571138B" w:rsidR="00264EEB" w:rsidRPr="00734D3B" w:rsidRDefault="00F9723C" w:rsidP="00AC4635">
      <w:pPr>
        <w:pStyle w:val="Heading3"/>
      </w:pPr>
      <w:bookmarkStart w:id="196" w:name="_Toc227936387"/>
      <w:r w:rsidRPr="00734D3B">
        <w:t>Enfoques de desarrollo y ciclo de vida de los proyectos.</w:t>
      </w:r>
      <w:bookmarkEnd w:id="196"/>
    </w:p>
    <w:p w14:paraId="31FEFB5C" w14:textId="77777777" w:rsidR="00BF477B" w:rsidRPr="00734D3B" w:rsidRDefault="00BF477B" w:rsidP="00BF477B">
      <w:pPr>
        <w:rPr>
          <w:rFonts w:cs="Arial"/>
        </w:rPr>
      </w:pPr>
      <w:r w:rsidRPr="00734D3B">
        <w:rPr>
          <w:rFonts w:cs="Arial"/>
        </w:rPr>
        <w:t>Los enfoques de desarrollo en la administración de proyectos son los métodos que se usan para transformar una necesidad en un producto, servicio o resultado. Según el Project Management Institute (2021), un enfoque de desarrollo explica cómo se planifica, ejecuta y entrega el trabajo del proyecto, y define el nivel de control, predicción y flexibilidad que se usará durante todo su proceso. La elección del enfoque depende del nivel de claridad en los objetivos, los recursos disponibles, el tipo de entorno de trabajo y la capacidad de adaptación al cambio.</w:t>
      </w:r>
    </w:p>
    <w:p w14:paraId="2A1F8C8D" w14:textId="77777777" w:rsidR="00BF477B" w:rsidRPr="00734D3B" w:rsidRDefault="00BF477B" w:rsidP="00BF477B">
      <w:pPr>
        <w:rPr>
          <w:rFonts w:cs="Arial"/>
        </w:rPr>
      </w:pPr>
      <w:r w:rsidRPr="00734D3B">
        <w:rPr>
          <w:rFonts w:cs="Arial"/>
        </w:rPr>
        <w:t>De acuerdo con el PMI (2021), los enfoques de desarrollo se dividen en tres tipos principales: predictivo, adaptativo e híbrido.</w:t>
      </w:r>
    </w:p>
    <w:p w14:paraId="52CA527C" w14:textId="1C604F70" w:rsidR="00BF477B" w:rsidRPr="00734D3B" w:rsidRDefault="00BF477B" w:rsidP="00BF477B">
      <w:pPr>
        <w:rPr>
          <w:rFonts w:cs="Arial"/>
        </w:rPr>
      </w:pPr>
      <w:r w:rsidRPr="00734D3B">
        <w:rPr>
          <w:rFonts w:cs="Arial"/>
        </w:rPr>
        <w:lastRenderedPageBreak/>
        <w:t>El enfoque predictivo, también llamado tradicional o en cascada, se basa en una planificación detallada desde el inicio del proyecto. En este modelo, el alcance, el tiempo y los costos se definen con bastante anticipación, y las fases se realizan de manera secuencial después de otra. Su estructura es rígida, lo que ayuda a mantener un mayor control y seguimiento. Es ideal para proyectos donde los requisitos son claros y estables desde el inicio.</w:t>
      </w:r>
    </w:p>
    <w:p w14:paraId="2D40EEEA" w14:textId="7EF1F37A" w:rsidR="00BF477B" w:rsidRPr="00734D3B" w:rsidRDefault="00BF477B" w:rsidP="00BF477B">
      <w:pPr>
        <w:rPr>
          <w:rFonts w:cs="Arial"/>
        </w:rPr>
      </w:pPr>
      <w:r w:rsidRPr="00734D3B">
        <w:rPr>
          <w:rFonts w:cs="Arial"/>
        </w:rPr>
        <w:t>El enfoque adaptativo se caracteriza por ser más flexible ante los cambios. Incluye métodos iterativos, incrementales y ágiles, que permiten ajustar el trabajo y los resultados a medida que el proyecto avanza. Este tipo de enfoque se usa en proyectos donde hay más incertidumbre y se necesita retroalimentación constante</w:t>
      </w:r>
      <w:r w:rsidR="00124327" w:rsidRPr="00734D3B">
        <w:rPr>
          <w:rFonts w:cs="Arial"/>
        </w:rPr>
        <w:t>, ajustes</w:t>
      </w:r>
      <w:r w:rsidRPr="00734D3B">
        <w:rPr>
          <w:rFonts w:cs="Arial"/>
        </w:rPr>
        <w:t xml:space="preserve"> y colaboración entre los equipos para lograr buenos resultados.</w:t>
      </w:r>
    </w:p>
    <w:p w14:paraId="30371FEA" w14:textId="77777777" w:rsidR="00124327" w:rsidRPr="00734D3B" w:rsidRDefault="00BF477B" w:rsidP="00BF477B">
      <w:pPr>
        <w:rPr>
          <w:rFonts w:cs="Arial"/>
        </w:rPr>
      </w:pPr>
      <w:r w:rsidRPr="00734D3B">
        <w:rPr>
          <w:rFonts w:cs="Arial"/>
        </w:rPr>
        <w:t>Por último, el enfoque híbrido combina lo mejor del predictivo y el adaptativo. Este enfoque mantiene el control inicial de la planificación, pero también permite hacer cambios cuando es necesario. Es útil en proyectos donde unas partes están bien definidas y otras cambian con frecuencia, ya que equilibra la organización con la flexibilidad, ayudando a lograr mejores resultados.</w:t>
      </w:r>
    </w:p>
    <w:p w14:paraId="29D17633" w14:textId="23167945" w:rsidR="007614CA" w:rsidRPr="00734D3B" w:rsidRDefault="00B655D0" w:rsidP="00BF477B">
      <w:r w:rsidRPr="00734D3B">
        <w:t xml:space="preserve">Hoy en día </w:t>
      </w:r>
      <w:r w:rsidR="00DC3B80" w:rsidRPr="00734D3B">
        <w:t xml:space="preserve">muchos proyectos </w:t>
      </w:r>
      <w:r w:rsidRPr="00734D3B">
        <w:t>modernos</w:t>
      </w:r>
      <w:r w:rsidR="00DC3B80" w:rsidRPr="00734D3B">
        <w:t xml:space="preserve"> combinan elementos de varios enfoques, </w:t>
      </w:r>
      <w:r w:rsidR="008C455D" w:rsidRPr="00734D3B">
        <w:t>creando así</w:t>
      </w:r>
      <w:r w:rsidR="00DC3B80" w:rsidRPr="00734D3B">
        <w:t xml:space="preserve"> </w:t>
      </w:r>
      <w:r w:rsidR="003A428A" w:rsidRPr="00734D3B">
        <w:t>los proyectos</w:t>
      </w:r>
      <w:r w:rsidR="00DC3B80" w:rsidRPr="00734D3B">
        <w:t xml:space="preserve"> híbridos que equilibran planificación y flexibilidad (Kerzner, 2022). En proyectos de construcción de centros de datos, los contratistas eléctricos suelen aplicar un enfoque predictivo con componentes iterativos, ya que las fases constructivas siguen una secuencia </w:t>
      </w:r>
      <w:r w:rsidR="0069399D" w:rsidRPr="00734D3B">
        <w:t>previamente definida</w:t>
      </w:r>
      <w:r w:rsidR="00DC3B80" w:rsidRPr="00734D3B">
        <w:t xml:space="preserve">, pero requieren ajustes continuos por parte de los equipos de diseño, ingeniería y sostenibilidad conforme se identifican </w:t>
      </w:r>
      <w:r w:rsidR="0069399D" w:rsidRPr="00734D3B">
        <w:t xml:space="preserve">la realidad del campo, </w:t>
      </w:r>
      <w:r w:rsidR="00831443" w:rsidRPr="00734D3B">
        <w:t>desviaciones atrasados o inclusive mejoras.</w:t>
      </w:r>
      <w:r w:rsidR="00DC3B80" w:rsidRPr="00734D3B">
        <w:t xml:space="preserve"> </w:t>
      </w:r>
    </w:p>
    <w:p w14:paraId="773CF7C1" w14:textId="6FD43A58" w:rsidR="00E91207" w:rsidRPr="00734D3B" w:rsidRDefault="00610588" w:rsidP="00D7259E">
      <w:r w:rsidRPr="00734D3B">
        <w:t xml:space="preserve">Los ciclos de vida del proyecto representan las fases sucesivas que recorre un proyecto desde su inicio hasta su cierre. Según el </w:t>
      </w:r>
      <w:r w:rsidRPr="00734D3B">
        <w:rPr>
          <w:i/>
          <w:iCs/>
        </w:rPr>
        <w:t>Project Management Institute</w:t>
      </w:r>
      <w:r w:rsidRPr="00734D3B">
        <w:t xml:space="preserve"> (PMI, 2021), estos ciclos se componen de fases estructuradas que facilitan la </w:t>
      </w:r>
      <w:r w:rsidR="003E327D" w:rsidRPr="00734D3B">
        <w:t xml:space="preserve">organización, la coordinación y el control </w:t>
      </w:r>
      <w:r w:rsidR="003E327D" w:rsidRPr="00734D3B">
        <w:lastRenderedPageBreak/>
        <w:t xml:space="preserve">del trabajo. Cada tipo de ciclo se asocia con un enfoque de desarrollo: los proyectos de carácter predictivo suelen seguir una secuencia lineal, mientras que los iterativos o incrementales se organizan en repeticiones o entregas parciales. Sin embargo, independientemente del enfoque </w:t>
      </w:r>
      <w:r w:rsidR="00594578" w:rsidRPr="00734D3B">
        <w:t>utilizado</w:t>
      </w:r>
      <w:r w:rsidR="003E327D" w:rsidRPr="00734D3B">
        <w:t>, todas las fases del ciclo de vida: inicio, planificación, ejecución y cierre</w:t>
      </w:r>
      <w:r w:rsidR="00E91207" w:rsidRPr="00734D3B">
        <w:t>,</w:t>
      </w:r>
      <w:r w:rsidR="003E327D" w:rsidRPr="00734D3B">
        <w:t xml:space="preserve"> están siempre presentes en la gestión de</w:t>
      </w:r>
      <w:r w:rsidR="00594578" w:rsidRPr="00734D3B">
        <w:t xml:space="preserve"> un </w:t>
      </w:r>
      <w:r w:rsidR="003E327D" w:rsidRPr="00734D3B">
        <w:t>proyecto</w:t>
      </w:r>
      <w:r w:rsidR="00E91207" w:rsidRPr="00734D3B">
        <w:t>.</w:t>
      </w:r>
    </w:p>
    <w:p w14:paraId="3008EFAE" w14:textId="77777777" w:rsidR="00132CCE" w:rsidRPr="00734D3B" w:rsidRDefault="00132CCE" w:rsidP="00D7259E">
      <w:r w:rsidRPr="00734D3B">
        <w:t>De igual forma los grupos de procesos del PMI (2021) se vinculan estrechamente con el ciclo de vida, pues representan las medidas de gestión que se llevan a cabo dentro de cada fase.</w:t>
      </w:r>
    </w:p>
    <w:p w14:paraId="61BB31C8" w14:textId="2C0D4BEF" w:rsidR="00B9340B" w:rsidRPr="00734D3B" w:rsidRDefault="00B9340B" w:rsidP="00B9340B">
      <w:r w:rsidRPr="00734D3B">
        <w:t>En los proyectos de instalaciones eléctricas para centros de datos, el ciclo de vida del proyecto normalmente sigue un enfoque predictivo, ya que las etapas de planificación, instalación, pruebas y puesta en marcha se realizan de forma ordenada y controlada. Cada fase tiene entregables definidos, como planos aprobados, reportes de avance, pruebas de calidad y documentación final. El progreso de una etapa depende de la finalización de la anterior, lo que ayuda a mantener el control y el cumplimiento de las normas.</w:t>
      </w:r>
    </w:p>
    <w:p w14:paraId="65719DB2" w14:textId="3BDDDD8E" w:rsidR="00B9340B" w:rsidRPr="00734D3B" w:rsidRDefault="00B9340B" w:rsidP="00B9340B">
      <w:r w:rsidRPr="00734D3B">
        <w:t xml:space="preserve">Sin embargo, este modelo también puede incluir elementos iterativos, sobre todo en las etapas de coordinación técnica y </w:t>
      </w:r>
      <w:r w:rsidR="00A4485A" w:rsidRPr="00734D3B">
        <w:t>de puestas en marcha</w:t>
      </w:r>
      <w:r w:rsidRPr="00734D3B">
        <w:t xml:space="preserve">, donde a veces es necesario hacer ajustes en el diseño o la ejecución para adaptarse a las condiciones del sitio, los cambios del cliente o mejoras en la eficiencia energética. Esta mezcla entre estructura planificada </w:t>
      </w:r>
      <w:r w:rsidR="00A4485A" w:rsidRPr="00734D3B">
        <w:t xml:space="preserve">con cierta </w:t>
      </w:r>
      <w:r w:rsidRPr="00734D3B">
        <w:t>flexibilidad permite mantener la calidad técnica, optimizar los recursos y asegurar la confiabilidad de los sistemas eléctricos en proyectos de alta exigencia como los data centers.</w:t>
      </w:r>
    </w:p>
    <w:p w14:paraId="5B96210D" w14:textId="77777777" w:rsidR="00B769EF" w:rsidRPr="00734D3B" w:rsidRDefault="00E75BF9" w:rsidP="00B769EF">
      <w:r w:rsidRPr="00734D3B">
        <w:t>En la figura se representan las cuatro fases del ciclo de vida de un proyecto de instalaciones eléctricas aplicado a centros de datos. Estas fases permiten planificar, ejecutar y cerrar las actividades de manera ordenada y controlada, asegurando calidad, seguridad y cumplimiento con los plazos establecidos.</w:t>
      </w:r>
    </w:p>
    <w:p w14:paraId="042C1B44" w14:textId="77777777" w:rsidR="00B769EF" w:rsidRPr="00734D3B" w:rsidRDefault="00B769EF" w:rsidP="00B769EF"/>
    <w:p w14:paraId="55BE8257" w14:textId="5FCDD867" w:rsidR="00992667" w:rsidRPr="00734D3B" w:rsidRDefault="007C665D" w:rsidP="00C94C51">
      <w:pPr>
        <w:ind w:firstLine="0"/>
        <w:rPr>
          <w:b/>
          <w:bCs/>
        </w:rPr>
      </w:pPr>
      <w:bookmarkStart w:id="197" w:name="_Toc227937856"/>
      <w:r w:rsidRPr="00734D3B">
        <w:rPr>
          <w:b/>
          <w:bCs/>
        </w:rPr>
        <w:lastRenderedPageBreak/>
        <w:t xml:space="preserve">Figura </w:t>
      </w:r>
      <w:r w:rsidR="00A13F00" w:rsidRPr="00734D3B">
        <w:rPr>
          <w:b/>
          <w:bCs/>
        </w:rPr>
        <w:fldChar w:fldCharType="begin"/>
      </w:r>
      <w:r w:rsidR="00A13F00" w:rsidRPr="00734D3B">
        <w:rPr>
          <w:b/>
          <w:bCs/>
        </w:rPr>
        <w:instrText xml:space="preserve"> SEQ Figura \* ARABIC </w:instrText>
      </w:r>
      <w:r w:rsidR="00A13F00" w:rsidRPr="00734D3B">
        <w:rPr>
          <w:b/>
          <w:bCs/>
        </w:rPr>
        <w:fldChar w:fldCharType="separate"/>
      </w:r>
      <w:r w:rsidR="00A13F00" w:rsidRPr="00734D3B">
        <w:rPr>
          <w:b/>
          <w:bCs/>
          <w:noProof/>
        </w:rPr>
        <w:t>2</w:t>
      </w:r>
      <w:r w:rsidR="00A13F00" w:rsidRPr="00734D3B">
        <w:rPr>
          <w:b/>
          <w:bCs/>
        </w:rPr>
        <w:fldChar w:fldCharType="end"/>
      </w:r>
      <w:r w:rsidR="00C94C51" w:rsidRPr="00734D3B">
        <w:rPr>
          <w:b/>
          <w:bCs/>
        </w:rPr>
        <w:br/>
      </w:r>
      <w:r w:rsidR="003B1312" w:rsidRPr="00734D3B">
        <w:rPr>
          <w:i/>
          <w:iCs/>
        </w:rPr>
        <w:t>Ciclo de vida del proyecto de instalaciones eléctricas en data centers</w:t>
      </w:r>
      <w:r w:rsidR="00BA0EEB" w:rsidRPr="00734D3B">
        <w:rPr>
          <w:i/>
          <w:iCs/>
        </w:rPr>
        <w:t>.</w:t>
      </w:r>
      <w:bookmarkEnd w:id="197"/>
    </w:p>
    <w:p w14:paraId="20631D9C" w14:textId="176E34AB" w:rsidR="004E2437" w:rsidRPr="00734D3B" w:rsidRDefault="005A0449" w:rsidP="00D7259E">
      <w:r w:rsidRPr="00734D3B">
        <w:rPr>
          <w:i/>
          <w:iCs/>
          <w:noProof/>
        </w:rPr>
        <w:drawing>
          <wp:anchor distT="0" distB="0" distL="114300" distR="114300" simplePos="0" relativeHeight="251657216" behindDoc="0" locked="0" layoutInCell="1" allowOverlap="1" wp14:anchorId="6C25CD85" wp14:editId="6EBB975E">
            <wp:simplePos x="0" y="0"/>
            <wp:positionH relativeFrom="column">
              <wp:posOffset>628650</wp:posOffset>
            </wp:positionH>
            <wp:positionV relativeFrom="paragraph">
              <wp:posOffset>76835</wp:posOffset>
            </wp:positionV>
            <wp:extent cx="4133850" cy="2644922"/>
            <wp:effectExtent l="0" t="0" r="0" b="3175"/>
            <wp:wrapNone/>
            <wp:docPr id="1247691360" name="Picture 1" descr="A diagram of a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91360" name="Picture 1" descr="A diagram of a process"/>
                    <pic:cNvPicPr/>
                  </pic:nvPicPr>
                  <pic:blipFill>
                    <a:blip r:embed="rId13">
                      <a:extLst>
                        <a:ext uri="{28A0092B-C50C-407E-A947-70E740481C1C}">
                          <a14:useLocalDpi xmlns:a14="http://schemas.microsoft.com/office/drawing/2010/main" val="0"/>
                        </a:ext>
                      </a:extLst>
                    </a:blip>
                    <a:stretch>
                      <a:fillRect/>
                    </a:stretch>
                  </pic:blipFill>
                  <pic:spPr>
                    <a:xfrm>
                      <a:off x="0" y="0"/>
                      <a:ext cx="4133850" cy="2644922"/>
                    </a:xfrm>
                    <a:prstGeom prst="rect">
                      <a:avLst/>
                    </a:prstGeom>
                  </pic:spPr>
                </pic:pic>
              </a:graphicData>
            </a:graphic>
            <wp14:sizeRelH relativeFrom="margin">
              <wp14:pctWidth>0</wp14:pctWidth>
            </wp14:sizeRelH>
            <wp14:sizeRelV relativeFrom="margin">
              <wp14:pctHeight>0</wp14:pctHeight>
            </wp14:sizeRelV>
          </wp:anchor>
        </w:drawing>
      </w:r>
    </w:p>
    <w:p w14:paraId="66A1AF29" w14:textId="77777777" w:rsidR="003B7030" w:rsidRPr="00734D3B" w:rsidRDefault="003B7030" w:rsidP="00D7259E">
      <w:pPr>
        <w:rPr>
          <w:i/>
          <w:iCs/>
        </w:rPr>
      </w:pPr>
    </w:p>
    <w:p w14:paraId="49F967AA" w14:textId="1E79C78A" w:rsidR="003B7030" w:rsidRPr="00734D3B" w:rsidRDefault="003B7030" w:rsidP="00D7259E">
      <w:pPr>
        <w:rPr>
          <w:i/>
          <w:iCs/>
        </w:rPr>
      </w:pPr>
    </w:p>
    <w:p w14:paraId="354D7BA1" w14:textId="77777777" w:rsidR="003B7030" w:rsidRPr="00734D3B" w:rsidRDefault="003B7030" w:rsidP="00D7259E">
      <w:pPr>
        <w:rPr>
          <w:i/>
          <w:iCs/>
        </w:rPr>
      </w:pPr>
    </w:p>
    <w:p w14:paraId="44D35726" w14:textId="7FA7037C" w:rsidR="003B7030" w:rsidRPr="00734D3B" w:rsidRDefault="003B7030" w:rsidP="00D7259E">
      <w:pPr>
        <w:rPr>
          <w:i/>
          <w:iCs/>
        </w:rPr>
      </w:pPr>
    </w:p>
    <w:p w14:paraId="6304A9BC" w14:textId="77777777" w:rsidR="005A0449" w:rsidRPr="00734D3B" w:rsidRDefault="005A0449" w:rsidP="00D7259E">
      <w:pPr>
        <w:rPr>
          <w:i/>
          <w:iCs/>
        </w:rPr>
      </w:pPr>
    </w:p>
    <w:p w14:paraId="046895AD" w14:textId="77777777" w:rsidR="005A0449" w:rsidRPr="00734D3B" w:rsidRDefault="005A0449" w:rsidP="00D7259E">
      <w:pPr>
        <w:rPr>
          <w:i/>
          <w:iCs/>
        </w:rPr>
      </w:pPr>
    </w:p>
    <w:p w14:paraId="0D388539" w14:textId="77777777" w:rsidR="005A0449" w:rsidRPr="00734D3B" w:rsidRDefault="005A0449" w:rsidP="00D7259E">
      <w:pPr>
        <w:rPr>
          <w:i/>
          <w:iCs/>
        </w:rPr>
      </w:pPr>
    </w:p>
    <w:p w14:paraId="1B4CF66C" w14:textId="77777777" w:rsidR="00B35D06" w:rsidRPr="00734D3B" w:rsidRDefault="00B35D06" w:rsidP="00D7259E">
      <w:pPr>
        <w:rPr>
          <w:i/>
          <w:iCs/>
        </w:rPr>
      </w:pPr>
    </w:p>
    <w:p w14:paraId="31D609C5" w14:textId="77777777" w:rsidR="00784036" w:rsidRPr="00734D3B" w:rsidRDefault="00527929" w:rsidP="00433E2C">
      <w:pPr>
        <w:spacing w:before="100" w:beforeAutospacing="1" w:after="100" w:afterAutospacing="1"/>
        <w:ind w:firstLine="706"/>
      </w:pPr>
      <w:r w:rsidRPr="00734D3B">
        <w:rPr>
          <w:i/>
          <w:iCs/>
        </w:rPr>
        <w:t>Nota</w:t>
      </w:r>
      <w:r w:rsidR="00830243" w:rsidRPr="00734D3B">
        <w:t xml:space="preserve">. Elaboración propia a partir del </w:t>
      </w:r>
      <w:r w:rsidR="00830243" w:rsidRPr="00734D3B">
        <w:rPr>
          <w:i/>
          <w:iCs/>
        </w:rPr>
        <w:t>PMBOK Guide</w:t>
      </w:r>
      <w:r w:rsidR="00830243" w:rsidRPr="00734D3B">
        <w:t xml:space="preserve"> (7th ed.), por PMI (2021).</w:t>
      </w:r>
    </w:p>
    <w:p w14:paraId="056ED1A5" w14:textId="7B41A2D4" w:rsidR="0012726F" w:rsidRPr="00734D3B" w:rsidRDefault="00D46C39" w:rsidP="006E2D67">
      <w:pPr>
        <w:spacing w:before="100" w:beforeAutospacing="1" w:after="100" w:afterAutospacing="1"/>
        <w:ind w:firstLine="706"/>
      </w:pPr>
      <w:r w:rsidRPr="00734D3B">
        <w:t>Para concluir</w:t>
      </w:r>
      <w:r w:rsidR="0012726F" w:rsidRPr="00734D3B">
        <w:t>, este ciclo de vida mantiene un enfoque predictivo con componentes iterativos, ya que las actividades se planifican de manera secuencial, pero con revisiones periódicas de diseño y coordinación técnica que permiten ajustes antes de la entrega final. Este enfoque asegura eficiencia operativa, confiabilidad eléctrica y cumplimiento de los estándares internacionales de construcción y sostenibilidad.</w:t>
      </w:r>
    </w:p>
    <w:p w14:paraId="5F55D01D" w14:textId="77777777" w:rsidR="00264EEB" w:rsidRPr="00734D3B" w:rsidRDefault="00264EEB" w:rsidP="00C95693">
      <w:pPr>
        <w:pStyle w:val="Heading3"/>
      </w:pPr>
      <w:bookmarkStart w:id="198" w:name="_Toc227936388"/>
      <w:r w:rsidRPr="00734D3B">
        <w:t>Administración, dirección o gerencia de proyectos</w:t>
      </w:r>
      <w:bookmarkEnd w:id="190"/>
      <w:bookmarkEnd w:id="191"/>
      <w:bookmarkEnd w:id="192"/>
      <w:bookmarkEnd w:id="198"/>
    </w:p>
    <w:p w14:paraId="758C71D6" w14:textId="7FBDBFB0" w:rsidR="00E91840" w:rsidRPr="00734D3B" w:rsidRDefault="00E91840" w:rsidP="00D7259E">
      <w:pPr>
        <w:ind w:firstLine="706"/>
      </w:pPr>
      <w:r w:rsidRPr="00734D3B">
        <w:t xml:space="preserve">La administración o dirección de proyectos es la disciplina que aplica conocimientos, habilidades, herramientas y técnicas para cumplir los objetivos de un proyecto y generar valor. Según el Project Management Institute (2021), consiste en usar de forma integrada diferentes prácticas que permiten equilibrar el alcance, el tiempo, el costo, la calidad y los recursos. El propósito principal es asegurar que cada proyecto se gestione de manera eficiente, ética y </w:t>
      </w:r>
      <w:r w:rsidRPr="00734D3B">
        <w:lastRenderedPageBreak/>
        <w:t>sostenible, tomando en cuenta tanto los resultados técnicos como los impactos sociales y ambientales</w:t>
      </w:r>
      <w:r w:rsidR="000004F7" w:rsidRPr="00734D3B">
        <w:t xml:space="preserve"> que puedan generar</w:t>
      </w:r>
      <w:r w:rsidRPr="00734D3B">
        <w:t>.</w:t>
      </w:r>
    </w:p>
    <w:p w14:paraId="27F81475" w14:textId="77777777" w:rsidR="00E91840" w:rsidRPr="00734D3B" w:rsidRDefault="00E91840" w:rsidP="00D7259E">
      <w:pPr>
        <w:ind w:firstLine="706"/>
      </w:pPr>
      <w:r w:rsidRPr="00734D3B">
        <w:t>De acuerdo con Kerzner (2022), la dirección de proyectos es una función estratégica que combina lo técnico con lo humano para transformar ideas en resultados concretos. Este autor explica que el liderazgo, la comunicación y la capacidad de pensar de forma global son esenciales, ya que los proyectos se desarrollan en entornos cada vez más complejos. Además, destaca que dirigir un proyecto no solo implica controlar el cronograma o los costos, sino también anticipar riesgos, manejar la incertidumbre y adaptarse a los cambios.</w:t>
      </w:r>
    </w:p>
    <w:p w14:paraId="73358DC3" w14:textId="7A9F9590" w:rsidR="00E91840" w:rsidRPr="00734D3B" w:rsidRDefault="00E91840" w:rsidP="00D7259E">
      <w:pPr>
        <w:ind w:firstLine="706"/>
      </w:pPr>
      <w:r w:rsidRPr="00734D3B">
        <w:t xml:space="preserve">Por su parte, </w:t>
      </w:r>
      <w:r w:rsidR="00C9409B" w:rsidRPr="00734D3B">
        <w:t xml:space="preserve">Project Management Institute (2021), </w:t>
      </w:r>
      <w:r w:rsidRPr="00734D3B">
        <w:t xml:space="preserve">define la dirección de proyectos como </w:t>
      </w:r>
      <w:r w:rsidR="004B25AA" w:rsidRPr="00734D3B">
        <w:t>la aplicación de conocimientos, habilidades, herramientas y técnicas a las actividades del proyecto para cumplir con sus requisitos</w:t>
      </w:r>
      <w:r w:rsidRPr="00734D3B">
        <w:t>. Esta labor requiere equilibrio entre los aspectos técnicos y la gestión de las personas, por lo que el director se convierte más en un facilitador del trabajo en equipo que en un simple supervisor.</w:t>
      </w:r>
    </w:p>
    <w:p w14:paraId="688C7A0F" w14:textId="14B027BD" w:rsidR="00E91840" w:rsidRPr="00734D3B" w:rsidRDefault="00E91840" w:rsidP="00D7259E">
      <w:pPr>
        <w:ind w:firstLine="706"/>
      </w:pPr>
      <w:r w:rsidRPr="00734D3B">
        <w:t xml:space="preserve">Wysocki (2019) agrega que la dirección de proyectos combina arte, ciencia y disciplina. </w:t>
      </w:r>
      <w:r w:rsidR="001D4DD9" w:rsidRPr="00734D3B">
        <w:t>En el</w:t>
      </w:r>
      <w:r w:rsidR="00A465FB" w:rsidRPr="00734D3B">
        <w:t xml:space="preserve"> entorno de los data centers, esta combinación se evidencia en la gestión de cronogramas complejos, la administración del personal especializado y la aplicación de </w:t>
      </w:r>
      <w:r w:rsidR="001D4DD9" w:rsidRPr="00734D3B">
        <w:t>diferentes metodologías.</w:t>
      </w:r>
      <w:r w:rsidR="00A465FB" w:rsidRPr="00734D3B">
        <w:t xml:space="preserve"> </w:t>
      </w:r>
      <w:r w:rsidRPr="00734D3B">
        <w:t xml:space="preserve">En la práctica, esto </w:t>
      </w:r>
      <w:r w:rsidR="001D4DD9" w:rsidRPr="00734D3B">
        <w:t>representa</w:t>
      </w:r>
      <w:r w:rsidRPr="00734D3B">
        <w:t xml:space="preserve"> que el éxito de un proyecto depende no solo de aplicar herramientas correctamente, sino también de la capacidad del equipo para colaborar</w:t>
      </w:r>
      <w:r w:rsidR="007A0E69" w:rsidRPr="00734D3B">
        <w:t xml:space="preserve"> entre </w:t>
      </w:r>
      <w:r w:rsidR="00997D20" w:rsidRPr="00734D3B">
        <w:t>involucrados</w:t>
      </w:r>
      <w:r w:rsidRPr="00734D3B">
        <w:t>, aprender y adaptarse a diferentes entornos.</w:t>
      </w:r>
    </w:p>
    <w:p w14:paraId="4913A1E8" w14:textId="58D363EC" w:rsidR="00721E5E" w:rsidRPr="00734D3B" w:rsidRDefault="00721E5E" w:rsidP="00D7259E">
      <w:r w:rsidRPr="00734D3B">
        <w:t>En el contexto de los proyectos de construcción eléctrica para data centers, la dirección de proyectos se concibe como un proceso integral que coordina la gestión técnica, administrativa y humana para garantizar que cada instalación cumpla con los estándares de calidad, seguridad y sostenibilidad establecidos. Este proceso une la planificación detallada, la ejecución controlada y el aseguramiento de los entregables, tales como alimentadores principales</w:t>
      </w:r>
      <w:r w:rsidR="00C76700" w:rsidRPr="00734D3B">
        <w:t xml:space="preserve"> de medio voltaje</w:t>
      </w:r>
      <w:r w:rsidRPr="00734D3B">
        <w:t xml:space="preserve">, sistemas de respaldo, tableros de distribución, iluminación de </w:t>
      </w:r>
      <w:r w:rsidRPr="00734D3B">
        <w:lastRenderedPageBreak/>
        <w:t>emergencia y sistemas de puesta a tierra, asegurando que cada componente cumpla con las normativas locales y los requisitos del cliente.</w:t>
      </w:r>
    </w:p>
    <w:p w14:paraId="6DAD37C5" w14:textId="7DD769E2" w:rsidR="007E4173" w:rsidRPr="00734D3B" w:rsidRDefault="007E4173" w:rsidP="00D7259E">
      <w:r w:rsidRPr="00734D3B">
        <w:t xml:space="preserve">Desde un enfoque sostenible, </w:t>
      </w:r>
      <w:r w:rsidR="002F5CB6" w:rsidRPr="00734D3B">
        <w:t xml:space="preserve">Silvius, Schipper, &amp; Huemann (2024). </w:t>
      </w:r>
      <w:r w:rsidRPr="00734D3B">
        <w:t xml:space="preserve">plantean que la gestión moderna debe considerar no solo los resultados técnicos y financieros, sino también los impactos ambientales y sociales. En los proyectos de data centers, esto se traduce en el uso de materiales reciclables, la eficiencia energética de las instalaciones eléctricas, la reducción de residuos y la capacitación del personal en prácticas responsables. </w:t>
      </w:r>
      <w:r w:rsidR="005B78A6" w:rsidRPr="00734D3B">
        <w:t>Por lo tanto</w:t>
      </w:r>
      <w:r w:rsidRPr="00734D3B">
        <w:t>, la dirección de proyectos se alinea con los principios del desarrollo sostenible, contribuyendo a una industria más resiliente y responsable.</w:t>
      </w:r>
    </w:p>
    <w:p w14:paraId="2FBD15B0" w14:textId="171E3975" w:rsidR="0009417A" w:rsidRPr="00734D3B" w:rsidRDefault="00FC25B6" w:rsidP="00D7259E">
      <w:r w:rsidRPr="00734D3B">
        <w:t xml:space="preserve">De esta forma, la dirección de proyectos no se limita a la entrega técnica de una instalación, sino que se convierte en un proceso estratégico orientado a generar valor para el cliente, el equipo de trabajo y la comunidad. En el ámbito de los data centers, donde </w:t>
      </w:r>
      <w:r w:rsidR="00C60DA8" w:rsidRPr="00734D3B">
        <w:t>la calidad</w:t>
      </w:r>
      <w:r w:rsidRPr="00734D3B">
        <w:t xml:space="preserve"> eléctrica es crítica, una dirección de proyectos efectiva permite garantizar continuidad operativa, cumplimiento </w:t>
      </w:r>
      <w:r w:rsidR="00461F65" w:rsidRPr="00734D3B">
        <w:t>con la normatividad</w:t>
      </w:r>
      <w:r w:rsidRPr="00734D3B">
        <w:t xml:space="preserve"> y contribución al desarrollo del sector.</w:t>
      </w:r>
    </w:p>
    <w:p w14:paraId="64B93765" w14:textId="2B8E3B9B" w:rsidR="00264EEB" w:rsidRPr="00734D3B" w:rsidRDefault="00894E53" w:rsidP="00AC4635">
      <w:pPr>
        <w:pStyle w:val="Heading3"/>
      </w:pPr>
      <w:bookmarkStart w:id="199" w:name="_Toc227936389"/>
      <w:r w:rsidRPr="00734D3B">
        <w:t>Grupos de</w:t>
      </w:r>
      <w:r w:rsidR="00264EEB" w:rsidRPr="00734D3B">
        <w:t xml:space="preserve"> procesos de la </w:t>
      </w:r>
      <w:r w:rsidR="00B71530" w:rsidRPr="00734D3B">
        <w:t>dirección</w:t>
      </w:r>
      <w:r w:rsidR="00264EEB" w:rsidRPr="00734D3B">
        <w:t xml:space="preserve"> de proyectos</w:t>
      </w:r>
      <w:bookmarkEnd w:id="199"/>
    </w:p>
    <w:p w14:paraId="3714142D" w14:textId="21A3DFEA" w:rsidR="00062FB4" w:rsidRPr="00734D3B" w:rsidRDefault="00062FB4" w:rsidP="00D7259E">
      <w:r w:rsidRPr="00734D3B">
        <w:t xml:space="preserve">En la dirección de proyectos, los procesos </w:t>
      </w:r>
      <w:r w:rsidR="00C22B02" w:rsidRPr="00734D3B">
        <w:t>se definen como un</w:t>
      </w:r>
      <w:r w:rsidRPr="00734D3B">
        <w:t xml:space="preserve"> conjunto de acciones y decisiones que se realizan para lograr un resultado o entregable. Según el Project Management Institute (2023), cada proceso usa herramientas, técnicas y habilidades específicas para transformar insumos en </w:t>
      </w:r>
      <w:r w:rsidR="00A718C9" w:rsidRPr="00734D3B">
        <w:t xml:space="preserve">los </w:t>
      </w:r>
      <w:r w:rsidRPr="00734D3B">
        <w:t xml:space="preserve">resultados planificados. En otras palabras, los procesos forman la </w:t>
      </w:r>
      <w:r w:rsidR="00A718C9" w:rsidRPr="00734D3B">
        <w:t>guía</w:t>
      </w:r>
      <w:r w:rsidRPr="00734D3B">
        <w:t xml:space="preserve"> que permite ejecutar el trabajo de forma ordenada, controlada </w:t>
      </w:r>
      <w:r w:rsidR="006A2A96" w:rsidRPr="00734D3B">
        <w:t>y siempre</w:t>
      </w:r>
      <w:r w:rsidRPr="00734D3B">
        <w:t xml:space="preserve"> alineada con los objetivos del proyecto.</w:t>
      </w:r>
    </w:p>
    <w:p w14:paraId="54DD0B0B" w14:textId="77777777" w:rsidR="00062FB4" w:rsidRPr="00734D3B" w:rsidRDefault="00062FB4" w:rsidP="00D7259E">
      <w:r w:rsidRPr="00734D3B">
        <w:t xml:space="preserve">La importancia de los procesos está en que ayudan a mantener la coherencia entre las diferentes áreas de gestión, facilitan el seguimiento del desempeño y promueven la mejora continua. En los proyectos de construcción eléctrica, aplicarlos de manera correcta asegura la calidad técnica, el cumplimiento de las normas y la sostenibilidad de las operaciones. Estos </w:t>
      </w:r>
      <w:r w:rsidRPr="00734D3B">
        <w:lastRenderedPageBreak/>
        <w:t>aspectos son esenciales para los contratistas que trabajan en centros de datos, donde los niveles de exigencia y precisión son muy altos.</w:t>
      </w:r>
    </w:p>
    <w:p w14:paraId="781FAA2E" w14:textId="4A218E8B" w:rsidR="00062FB4" w:rsidRPr="00734D3B" w:rsidRDefault="00062FB4" w:rsidP="00D7259E">
      <w:r w:rsidRPr="00734D3B">
        <w:t>De acuerdo con el PMI (2023), los procesos se agrupan en cinco grandes grupos que forman un ciclo continuo e integrado: inicio, planificación, ejecución, monitoreo y control, y cierre.</w:t>
      </w:r>
    </w:p>
    <w:p w14:paraId="45ACAD27" w14:textId="5FA5FAAC" w:rsidR="006E74F6" w:rsidRPr="00734D3B" w:rsidRDefault="00062FB4" w:rsidP="00D7259E">
      <w:r w:rsidRPr="00734D3B">
        <w:t xml:space="preserve">Cada grupo tiene un propósito particular y se </w:t>
      </w:r>
      <w:r w:rsidR="00E248C0" w:rsidRPr="00734D3B">
        <w:t xml:space="preserve">tienden a </w:t>
      </w:r>
      <w:r w:rsidRPr="00734D3B">
        <w:t>relaciona</w:t>
      </w:r>
      <w:r w:rsidR="00E248C0" w:rsidRPr="00734D3B">
        <w:t>r</w:t>
      </w:r>
      <w:r w:rsidRPr="00734D3B">
        <w:t xml:space="preserve"> con los demás a lo largo de todo el proyecto.</w:t>
      </w:r>
    </w:p>
    <w:p w14:paraId="1BE88AB5" w14:textId="77777777" w:rsidR="0001560B" w:rsidRPr="00734D3B" w:rsidRDefault="0001560B" w:rsidP="00D7259E">
      <w:pPr>
        <w:rPr>
          <w:b/>
          <w:bCs/>
        </w:rPr>
      </w:pPr>
      <w:r w:rsidRPr="00734D3B">
        <w:rPr>
          <w:b/>
          <w:bCs/>
        </w:rPr>
        <w:t>Grupo de procesos de inicio</w:t>
      </w:r>
    </w:p>
    <w:p w14:paraId="431DFC7F" w14:textId="62E0F336" w:rsidR="0001560B" w:rsidRPr="00734D3B" w:rsidRDefault="0001560B" w:rsidP="00D7259E">
      <w:r w:rsidRPr="00734D3B">
        <w:t>Incluye las actividades necesarias para definir formalmente un nuevo proyecto o una nueva fase, y obtener la autorización para comenzar. Aquí se identifican los interesados, se elabora el acta de constitución y se definen los objetivos y el alcance inicial.</w:t>
      </w:r>
    </w:p>
    <w:p w14:paraId="788626D3" w14:textId="77777777" w:rsidR="004705FD" w:rsidRPr="00734D3B" w:rsidRDefault="004705FD" w:rsidP="00D7259E">
      <w:pPr>
        <w:rPr>
          <w:b/>
          <w:bCs/>
        </w:rPr>
      </w:pPr>
      <w:r w:rsidRPr="00734D3B">
        <w:rPr>
          <w:b/>
          <w:bCs/>
        </w:rPr>
        <w:t>Grupo de procesos de planificación</w:t>
      </w:r>
    </w:p>
    <w:p w14:paraId="4D8C5E3E" w14:textId="1BDEE238" w:rsidR="004705FD" w:rsidRPr="00734D3B" w:rsidRDefault="004705FD" w:rsidP="00D7259E">
      <w:r w:rsidRPr="00734D3B">
        <w:t>En esta fase se definen los objetivos, el alcance, el cronograma, los recursos y las estrategias que guiarán la ejecución. Su propósito es establecer una hoja de ruta clara para el proyecto.</w:t>
      </w:r>
    </w:p>
    <w:p w14:paraId="03B9A75D" w14:textId="77777777" w:rsidR="00060120" w:rsidRPr="00734D3B" w:rsidRDefault="00060120" w:rsidP="00D7259E">
      <w:pPr>
        <w:rPr>
          <w:b/>
          <w:bCs/>
        </w:rPr>
      </w:pPr>
      <w:r w:rsidRPr="00734D3B">
        <w:rPr>
          <w:b/>
          <w:bCs/>
        </w:rPr>
        <w:t>Grupo de procesos de ejecución</w:t>
      </w:r>
    </w:p>
    <w:p w14:paraId="2A1D00FB" w14:textId="50995017" w:rsidR="00205585" w:rsidRPr="00734D3B" w:rsidRDefault="00060120" w:rsidP="00663F2E">
      <w:r w:rsidRPr="00734D3B">
        <w:t>Comprende las actividades necesarias para desarrollar el trabajo planificado, coordinando personas y recursos para cumplir con los objetivos establecidos.</w:t>
      </w:r>
    </w:p>
    <w:p w14:paraId="2C4D6472" w14:textId="77777777" w:rsidR="007051E1" w:rsidRPr="00734D3B" w:rsidRDefault="007051E1" w:rsidP="00D7259E">
      <w:pPr>
        <w:rPr>
          <w:b/>
          <w:bCs/>
        </w:rPr>
      </w:pPr>
      <w:r w:rsidRPr="00734D3B">
        <w:rPr>
          <w:b/>
          <w:bCs/>
        </w:rPr>
        <w:t>Grupo de procesos de monitoreo y control</w:t>
      </w:r>
    </w:p>
    <w:p w14:paraId="30133864" w14:textId="1FA5A208" w:rsidR="007051E1" w:rsidRPr="00734D3B" w:rsidRDefault="007051E1" w:rsidP="00D7259E">
      <w:r w:rsidRPr="00734D3B">
        <w:t xml:space="preserve">Tiene como objetivo asegurar que el proyecto se mantenga dentro de los parámetros planificados. Esto se logra mediante el seguimiento, la medición del desempeño y la aplicación de ajustes cuando sea </w:t>
      </w:r>
      <w:r w:rsidR="00254B08" w:rsidRPr="00734D3B">
        <w:t>necesario.</w:t>
      </w:r>
    </w:p>
    <w:p w14:paraId="1915A4B6" w14:textId="77777777" w:rsidR="008A72DD" w:rsidRPr="00734D3B" w:rsidRDefault="008A72DD" w:rsidP="00D7259E"/>
    <w:p w14:paraId="71855CCF" w14:textId="77777777" w:rsidR="008A72DD" w:rsidRPr="00734D3B" w:rsidRDefault="008A72DD" w:rsidP="00D7259E"/>
    <w:p w14:paraId="663353E9" w14:textId="77777777" w:rsidR="002916CE" w:rsidRPr="00734D3B" w:rsidRDefault="002916CE" w:rsidP="00D7259E"/>
    <w:p w14:paraId="2B5A709E" w14:textId="77777777" w:rsidR="00630807" w:rsidRPr="00734D3B" w:rsidRDefault="00630807" w:rsidP="00D7259E">
      <w:pPr>
        <w:rPr>
          <w:b/>
          <w:bCs/>
        </w:rPr>
      </w:pPr>
      <w:r w:rsidRPr="00734D3B">
        <w:rPr>
          <w:b/>
          <w:bCs/>
        </w:rPr>
        <w:lastRenderedPageBreak/>
        <w:t>Grupo de procesos de cierre</w:t>
      </w:r>
    </w:p>
    <w:p w14:paraId="479F2807" w14:textId="5AF5B821" w:rsidR="00630807" w:rsidRPr="00734D3B" w:rsidRDefault="00630807" w:rsidP="00D7259E">
      <w:r w:rsidRPr="00734D3B">
        <w:t>Incluye las actividades que permiten finalizar formalmente el proyecto, validar los entregables y registrar l</w:t>
      </w:r>
      <w:r w:rsidR="009A45EB" w:rsidRPr="00734D3B">
        <w:t xml:space="preserve">as lecciones </w:t>
      </w:r>
      <w:r w:rsidR="0026567B" w:rsidRPr="00734D3B">
        <w:t>aprendidas</w:t>
      </w:r>
      <w:r w:rsidRPr="00734D3B">
        <w:t>.</w:t>
      </w:r>
    </w:p>
    <w:p w14:paraId="52A86164" w14:textId="77777777" w:rsidR="00FA0B38" w:rsidRPr="00734D3B" w:rsidRDefault="00FA0B38" w:rsidP="00D7259E"/>
    <w:p w14:paraId="2E2052D3" w14:textId="6EFD24B1" w:rsidR="00B14749" w:rsidRPr="00734D3B" w:rsidRDefault="00FE2F48" w:rsidP="00C94C51">
      <w:pPr>
        <w:pStyle w:val="Caption"/>
        <w:rPr>
          <w:color w:val="auto"/>
        </w:rPr>
      </w:pPr>
      <w:bookmarkStart w:id="200" w:name="_Toc227937857"/>
      <w:r w:rsidRPr="00734D3B">
        <w:rPr>
          <w:color w:val="auto"/>
        </w:rPr>
        <w:t xml:space="preserve">Figura </w:t>
      </w:r>
      <w:r w:rsidR="00A13F00" w:rsidRPr="00734D3B">
        <w:rPr>
          <w:color w:val="auto"/>
        </w:rPr>
        <w:fldChar w:fldCharType="begin"/>
      </w:r>
      <w:r w:rsidR="00A13F00" w:rsidRPr="00734D3B">
        <w:rPr>
          <w:color w:val="auto"/>
        </w:rPr>
        <w:instrText xml:space="preserve"> SEQ Figura \* ARABIC </w:instrText>
      </w:r>
      <w:r w:rsidR="00A13F00" w:rsidRPr="00734D3B">
        <w:rPr>
          <w:color w:val="auto"/>
        </w:rPr>
        <w:fldChar w:fldCharType="separate"/>
      </w:r>
      <w:r w:rsidR="00A13F00" w:rsidRPr="00734D3B">
        <w:rPr>
          <w:noProof/>
          <w:color w:val="auto"/>
        </w:rPr>
        <w:t>3</w:t>
      </w:r>
      <w:r w:rsidR="00A13F00" w:rsidRPr="00734D3B">
        <w:rPr>
          <w:noProof/>
          <w:color w:val="auto"/>
        </w:rPr>
        <w:fldChar w:fldCharType="end"/>
      </w:r>
      <w:r w:rsidR="00C94C51" w:rsidRPr="00734D3B">
        <w:rPr>
          <w:color w:val="auto"/>
        </w:rPr>
        <w:br/>
      </w:r>
      <w:r w:rsidR="00B14749" w:rsidRPr="00734D3B">
        <w:rPr>
          <w:rFonts w:cs="Arial"/>
          <w:b w:val="0"/>
          <w:bCs/>
          <w:i/>
          <w:iCs/>
          <w:color w:val="auto"/>
          <w:szCs w:val="22"/>
        </w:rPr>
        <w:t>Procesos por grupo de procesos</w:t>
      </w:r>
      <w:bookmarkEnd w:id="200"/>
    </w:p>
    <w:p w14:paraId="00977248" w14:textId="3073DF0C" w:rsidR="00FA0B38" w:rsidRPr="00734D3B" w:rsidRDefault="002F480D" w:rsidP="00D7259E">
      <w:pPr>
        <w:ind w:firstLine="0"/>
        <w:rPr>
          <w:rFonts w:cs="Arial"/>
          <w:i/>
          <w:iCs/>
          <w:szCs w:val="22"/>
        </w:rPr>
      </w:pPr>
      <w:r w:rsidRPr="00734D3B">
        <w:rPr>
          <w:rFonts w:cs="Arial"/>
          <w:i/>
          <w:iCs/>
          <w:noProof/>
          <w:szCs w:val="22"/>
        </w:rPr>
        <w:drawing>
          <wp:anchor distT="0" distB="0" distL="114300" distR="114300" simplePos="0" relativeHeight="251653120" behindDoc="0" locked="0" layoutInCell="1" allowOverlap="1" wp14:anchorId="54945AE2" wp14:editId="463D9F4D">
            <wp:simplePos x="0" y="0"/>
            <wp:positionH relativeFrom="margin">
              <wp:posOffset>885825</wp:posOffset>
            </wp:positionH>
            <wp:positionV relativeFrom="paragraph">
              <wp:posOffset>66675</wp:posOffset>
            </wp:positionV>
            <wp:extent cx="3943350" cy="4610100"/>
            <wp:effectExtent l="0" t="0" r="0" b="0"/>
            <wp:wrapSquare wrapText="bothSides"/>
            <wp:docPr id="170985229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52296" name="Picture 1" descr="A screenshot of a computer"/>
                    <pic:cNvPicPr/>
                  </pic:nvPicPr>
                  <pic:blipFill>
                    <a:blip r:embed="rId14">
                      <a:extLst>
                        <a:ext uri="{28A0092B-C50C-407E-A947-70E740481C1C}">
                          <a14:useLocalDpi xmlns:a14="http://schemas.microsoft.com/office/drawing/2010/main" val="0"/>
                        </a:ext>
                      </a:extLst>
                    </a:blip>
                    <a:stretch>
                      <a:fillRect/>
                    </a:stretch>
                  </pic:blipFill>
                  <pic:spPr>
                    <a:xfrm>
                      <a:off x="0" y="0"/>
                      <a:ext cx="3943350" cy="4610100"/>
                    </a:xfrm>
                    <a:prstGeom prst="rect">
                      <a:avLst/>
                    </a:prstGeom>
                  </pic:spPr>
                </pic:pic>
              </a:graphicData>
            </a:graphic>
            <wp14:sizeRelH relativeFrom="margin">
              <wp14:pctWidth>0</wp14:pctWidth>
            </wp14:sizeRelH>
            <wp14:sizeRelV relativeFrom="margin">
              <wp14:pctHeight>0</wp14:pctHeight>
            </wp14:sizeRelV>
          </wp:anchor>
        </w:drawing>
      </w:r>
    </w:p>
    <w:p w14:paraId="60003C52" w14:textId="2AC70768" w:rsidR="00FA0B38" w:rsidRPr="00734D3B" w:rsidRDefault="00FA0B38" w:rsidP="00D7259E">
      <w:pPr>
        <w:ind w:firstLine="706"/>
        <w:rPr>
          <w:rFonts w:cs="Arial"/>
          <w:szCs w:val="22"/>
        </w:rPr>
      </w:pPr>
    </w:p>
    <w:p w14:paraId="64973735" w14:textId="0F910F61" w:rsidR="00461C5A" w:rsidRPr="00734D3B" w:rsidRDefault="00461C5A" w:rsidP="00D7259E">
      <w:pPr>
        <w:ind w:firstLine="706"/>
        <w:rPr>
          <w:rFonts w:cs="Arial"/>
          <w:szCs w:val="22"/>
        </w:rPr>
      </w:pPr>
    </w:p>
    <w:p w14:paraId="342E5DAD" w14:textId="5A51C15C" w:rsidR="00461C5A" w:rsidRPr="00734D3B" w:rsidRDefault="00461C5A" w:rsidP="00D7259E">
      <w:pPr>
        <w:ind w:firstLine="706"/>
        <w:rPr>
          <w:rFonts w:cs="Arial"/>
          <w:szCs w:val="22"/>
        </w:rPr>
      </w:pPr>
    </w:p>
    <w:p w14:paraId="288FEE2E" w14:textId="320BE81E" w:rsidR="00461C5A" w:rsidRPr="00734D3B" w:rsidRDefault="00461C5A" w:rsidP="00461C5A">
      <w:pPr>
        <w:ind w:firstLine="0"/>
        <w:rPr>
          <w:rFonts w:cs="Arial"/>
          <w:i/>
          <w:iCs/>
          <w:szCs w:val="22"/>
        </w:rPr>
      </w:pPr>
      <w:r w:rsidRPr="00734D3B">
        <w:rPr>
          <w:rFonts w:cs="Arial"/>
          <w:szCs w:val="22"/>
        </w:rPr>
        <w:br w:type="textWrapping" w:clear="all"/>
      </w:r>
    </w:p>
    <w:p w14:paraId="34B11156" w14:textId="77777777" w:rsidR="00461C5A" w:rsidRPr="00734D3B" w:rsidRDefault="00461C5A" w:rsidP="0050014F">
      <w:pPr>
        <w:ind w:firstLine="0"/>
        <w:rPr>
          <w:rFonts w:cs="Arial"/>
          <w:szCs w:val="22"/>
        </w:rPr>
      </w:pPr>
      <w:r w:rsidRPr="00734D3B">
        <w:rPr>
          <w:rFonts w:cs="Arial"/>
          <w:i/>
          <w:iCs/>
          <w:szCs w:val="22"/>
        </w:rPr>
        <w:t>Nota</w:t>
      </w:r>
      <w:r w:rsidRPr="00734D3B">
        <w:rPr>
          <w:rFonts w:cs="Arial"/>
          <w:szCs w:val="22"/>
        </w:rPr>
        <w:t xml:space="preserve">: Obtenido de </w:t>
      </w:r>
      <w:r w:rsidRPr="00734D3B">
        <w:rPr>
          <w:rFonts w:cs="Arial"/>
          <w:i/>
          <w:iCs/>
          <w:szCs w:val="22"/>
        </w:rPr>
        <w:t>Guía práctica de grupos de procesos</w:t>
      </w:r>
      <w:r w:rsidRPr="00734D3B">
        <w:rPr>
          <w:rFonts w:cs="Arial"/>
          <w:szCs w:val="22"/>
        </w:rPr>
        <w:t xml:space="preserve"> (p.22), por PMI, 2023, PMI.</w:t>
      </w:r>
    </w:p>
    <w:p w14:paraId="5522A1D0" w14:textId="1DAC041B" w:rsidR="00605D89" w:rsidRPr="00734D3B" w:rsidRDefault="00605D89" w:rsidP="00D7259E">
      <w:pPr>
        <w:ind w:firstLine="706"/>
        <w:rPr>
          <w:rFonts w:cs="Arial"/>
          <w:szCs w:val="22"/>
        </w:rPr>
      </w:pPr>
      <w:r w:rsidRPr="00734D3B">
        <w:rPr>
          <w:rFonts w:cs="Arial"/>
          <w:szCs w:val="22"/>
        </w:rPr>
        <w:t xml:space="preserve">Es importante aclarar que </w:t>
      </w:r>
      <w:r w:rsidR="003B23B3" w:rsidRPr="00734D3B">
        <w:rPr>
          <w:rFonts w:cs="Arial"/>
          <w:szCs w:val="22"/>
        </w:rPr>
        <w:t>l</w:t>
      </w:r>
      <w:r w:rsidR="00CA09D6" w:rsidRPr="00734D3B">
        <w:rPr>
          <w:rFonts w:cs="Arial"/>
          <w:szCs w:val="22"/>
        </w:rPr>
        <w:t xml:space="preserve">os grupos de procesos no son fases lineales, sino componentes que se relacionan y se repiten a lo largo del ciclo de vida del proyecto. Algunos </w:t>
      </w:r>
      <w:r w:rsidR="00CA09D6" w:rsidRPr="00734D3B">
        <w:rPr>
          <w:rFonts w:cs="Arial"/>
          <w:szCs w:val="22"/>
        </w:rPr>
        <w:lastRenderedPageBreak/>
        <w:t xml:space="preserve">procesos pueden ejecutarse de </w:t>
      </w:r>
      <w:r w:rsidR="00360EF0" w:rsidRPr="00734D3B">
        <w:rPr>
          <w:rFonts w:cs="Arial"/>
          <w:szCs w:val="22"/>
        </w:rPr>
        <w:t>manera repetitiva</w:t>
      </w:r>
      <w:r w:rsidR="00CA09D6" w:rsidRPr="00734D3B">
        <w:rPr>
          <w:rFonts w:cs="Arial"/>
          <w:szCs w:val="22"/>
        </w:rPr>
        <w:t xml:space="preserve">, </w:t>
      </w:r>
      <w:r w:rsidR="00D459ED" w:rsidRPr="00734D3B">
        <w:rPr>
          <w:rFonts w:cs="Arial"/>
          <w:szCs w:val="22"/>
        </w:rPr>
        <w:t xml:space="preserve">esto varía </w:t>
      </w:r>
      <w:r w:rsidR="00CA09D6" w:rsidRPr="00734D3B">
        <w:rPr>
          <w:rFonts w:cs="Arial"/>
          <w:szCs w:val="22"/>
        </w:rPr>
        <w:t>según la naturaleza y el nivel de complejidad del proyecto.</w:t>
      </w:r>
    </w:p>
    <w:p w14:paraId="4FA0BC02" w14:textId="62262866" w:rsidR="008F324B" w:rsidRPr="00734D3B" w:rsidRDefault="00A85053" w:rsidP="00D7259E">
      <w:pPr>
        <w:ind w:firstLine="706"/>
        <w:rPr>
          <w:rFonts w:cs="Arial"/>
          <w:szCs w:val="22"/>
        </w:rPr>
      </w:pPr>
      <w:r w:rsidRPr="00734D3B">
        <w:rPr>
          <w:rFonts w:cs="Arial"/>
          <w:szCs w:val="22"/>
        </w:rPr>
        <w:t>E</w:t>
      </w:r>
      <w:r w:rsidR="008F324B" w:rsidRPr="00734D3B">
        <w:rPr>
          <w:rFonts w:cs="Arial"/>
          <w:szCs w:val="22"/>
        </w:rPr>
        <w:t xml:space="preserve">n resumen, los grupos de procesos son la base de una buena gestión de proyectos </w:t>
      </w:r>
      <w:r w:rsidR="00D60B7D" w:rsidRPr="00734D3B">
        <w:rPr>
          <w:rFonts w:cs="Arial"/>
          <w:szCs w:val="22"/>
        </w:rPr>
        <w:t>y.</w:t>
      </w:r>
    </w:p>
    <w:p w14:paraId="58AF1682" w14:textId="77777777" w:rsidR="00264EEB" w:rsidRPr="00734D3B" w:rsidRDefault="00264EEB" w:rsidP="00AC4635">
      <w:pPr>
        <w:pStyle w:val="Heading3"/>
      </w:pPr>
      <w:bookmarkStart w:id="201" w:name="_Toc227936390"/>
      <w:r w:rsidRPr="00734D3B">
        <w:t>Estrategia empresarial, portafolios, programas, proyectos</w:t>
      </w:r>
      <w:bookmarkEnd w:id="201"/>
    </w:p>
    <w:p w14:paraId="20F262ED" w14:textId="77777777" w:rsidR="00963092" w:rsidRPr="00734D3B" w:rsidRDefault="00963092" w:rsidP="00D7259E">
      <w:r w:rsidRPr="00734D3B">
        <w:t>La estrategia empresarial constituye la base sobre la cual las organizaciones planifican, ejecutan y evalúan sus acciones para lograr sus objetivos de largo plazo. De acuerdo con Porter (1996), la estrategia define la posición competitiva de una organización y orienta la asignación de recursos hacia la creación de valor sostenible. Mintzberg (2000) amplía esta visión al indicar que la estrategia no solo es un plan, sino también un patrón coherente de decisiones que se desarrolla con el tiempo en respuesta a las condiciones cambiantes del entorno.</w:t>
      </w:r>
    </w:p>
    <w:p w14:paraId="77088EBE" w14:textId="29B18B7D" w:rsidR="00963092" w:rsidRPr="00734D3B" w:rsidRDefault="00360E52" w:rsidP="00D7259E">
      <w:r w:rsidRPr="00734D3B">
        <w:t>Hoy en día</w:t>
      </w:r>
      <w:r w:rsidR="00963092" w:rsidRPr="00734D3B">
        <w:t xml:space="preserve">, las organizaciones enfrentan un contexto más complejo, donde la sostenibilidad y la responsabilidad social se han convertido en factores estratégicos esenciales. </w:t>
      </w:r>
      <w:proofErr w:type="spellStart"/>
      <w:r w:rsidR="00963092" w:rsidRPr="00734D3B">
        <w:t>Zwikael</w:t>
      </w:r>
      <w:proofErr w:type="spellEnd"/>
      <w:r w:rsidR="00963092" w:rsidRPr="00734D3B">
        <w:t xml:space="preserve"> (2022) enfatiza que la estrategia moderna debe conectar explícitamente los objetivos corporativos con la ejecución de proyectos y programas, asegurando que las inversiones se traduzcan en beneficios medibles tanto económicos como ambientales. </w:t>
      </w:r>
      <w:r w:rsidR="000A0CCC" w:rsidRPr="00734D3B">
        <w:t>De esta manera, la gestión de proyectos se convierte en la herramienta que transforma la estrategia en resultados reales, fortaleciendo la capacidad de las empresas para responder a los retos globales de sostenibilidad.</w:t>
      </w:r>
    </w:p>
    <w:p w14:paraId="7A5EA8A7" w14:textId="77777777" w:rsidR="002229D8" w:rsidRPr="00734D3B" w:rsidRDefault="002229D8" w:rsidP="00D7259E">
      <w:pPr>
        <w:rPr>
          <w:b/>
          <w:bCs/>
        </w:rPr>
      </w:pPr>
      <w:r w:rsidRPr="00734D3B">
        <w:rPr>
          <w:b/>
          <w:bCs/>
        </w:rPr>
        <w:t>Portafolio</w:t>
      </w:r>
    </w:p>
    <w:p w14:paraId="1C78FFE3" w14:textId="521ACD0F" w:rsidR="002229D8" w:rsidRPr="00734D3B" w:rsidRDefault="002229D8" w:rsidP="00D7259E">
      <w:r w:rsidRPr="00734D3B">
        <w:t xml:space="preserve">De acuerdo con el </w:t>
      </w:r>
      <w:r w:rsidRPr="00734D3B">
        <w:rPr>
          <w:i/>
          <w:iCs/>
        </w:rPr>
        <w:t>Project Management Institute</w:t>
      </w:r>
      <w:r w:rsidRPr="00734D3B">
        <w:t xml:space="preserve"> (2021), un portafolio es el conjunto de proyectos, programas y actividades que se administran de manera coordinada para alcanzar los objetivos estratégicos de una organización. El portafolio funciona como un puente entre la estrategia y la ejecución, ayudando a priorizar las iniciativas según su valor, su nivel de riesgo y su alineación con las metas de la empresa. En el sector </w:t>
      </w:r>
      <w:r w:rsidR="00540A5A" w:rsidRPr="00734D3B">
        <w:t xml:space="preserve">de construcción </w:t>
      </w:r>
      <w:r w:rsidRPr="00734D3B">
        <w:t xml:space="preserve">eléctrico, por ejemplo, </w:t>
      </w:r>
      <w:r w:rsidRPr="00734D3B">
        <w:lastRenderedPageBreak/>
        <w:t>un portafolio podría incluir proyectos de expansión de infraestructura, eficiencia energética y desarrollo sostenible de centros de datos.</w:t>
      </w:r>
    </w:p>
    <w:p w14:paraId="08F95968" w14:textId="77777777" w:rsidR="00115771" w:rsidRPr="00734D3B" w:rsidRDefault="00115771" w:rsidP="00D7259E">
      <w:pPr>
        <w:rPr>
          <w:b/>
          <w:bCs/>
        </w:rPr>
      </w:pPr>
      <w:r w:rsidRPr="00734D3B">
        <w:rPr>
          <w:b/>
          <w:bCs/>
        </w:rPr>
        <w:t>Programa</w:t>
      </w:r>
    </w:p>
    <w:p w14:paraId="60E7A5E6" w14:textId="21232235" w:rsidR="00115771" w:rsidRPr="00734D3B" w:rsidRDefault="00115771" w:rsidP="00D7259E">
      <w:r w:rsidRPr="00734D3B">
        <w:t xml:space="preserve">Un programa </w:t>
      </w:r>
      <w:r w:rsidR="008A019D" w:rsidRPr="00734D3B">
        <w:t xml:space="preserve">por otro lado </w:t>
      </w:r>
      <w:r w:rsidRPr="00734D3B">
        <w:t>agrupa varios proyectos relacionados que, al gestionarse juntos, generan mayores beneficios que si se manejaran por separado (</w:t>
      </w:r>
      <w:r w:rsidRPr="00734D3B">
        <w:rPr>
          <w:i/>
          <w:iCs/>
        </w:rPr>
        <w:t>Turner</w:t>
      </w:r>
      <w:r w:rsidRPr="00734D3B">
        <w:t>, 2014). Este enfoque facilita la coherencia técnica, económica y ambiental, optimizando recursos y evitando duplicidades. En una empresa de construcción eléctrica, un programa podría reunir proyectos de modernización de instalaciones, certificación LEED y reducción de la huella de carbono.</w:t>
      </w:r>
    </w:p>
    <w:p w14:paraId="08AEE08E" w14:textId="17A86046" w:rsidR="00976085" w:rsidRPr="00734D3B" w:rsidRDefault="00976085" w:rsidP="00D7259E">
      <w:pPr>
        <w:tabs>
          <w:tab w:val="left" w:pos="1170"/>
        </w:tabs>
        <w:rPr>
          <w:b/>
          <w:bCs/>
        </w:rPr>
      </w:pPr>
      <w:r w:rsidRPr="00734D3B">
        <w:rPr>
          <w:b/>
          <w:bCs/>
        </w:rPr>
        <w:t>Proyecto</w:t>
      </w:r>
    </w:p>
    <w:p w14:paraId="59634904" w14:textId="6015B226" w:rsidR="00F131F7" w:rsidRPr="00734D3B" w:rsidRDefault="00976085" w:rsidP="00D7259E">
      <w:pPr>
        <w:tabs>
          <w:tab w:val="left" w:pos="1170"/>
        </w:tabs>
      </w:pPr>
      <w:r w:rsidRPr="00734D3B">
        <w:t>Un proyecto es un esfuerzo temporal que busca crear un resultado único (</w:t>
      </w:r>
      <w:r w:rsidRPr="00734D3B">
        <w:rPr>
          <w:i/>
          <w:iCs/>
        </w:rPr>
        <w:t>PMI</w:t>
      </w:r>
      <w:r w:rsidRPr="00734D3B">
        <w:t>, 2021).</w:t>
      </w:r>
      <w:r w:rsidR="00662FF1" w:rsidRPr="00734D3B">
        <w:t xml:space="preserve"> Los proyectos tienen una duración limitada, un alcance claro y buscan lograr resultados específicos. Son el nivel operativo de la estrategia, donde las ideas</w:t>
      </w:r>
      <w:r w:rsidR="0016616E" w:rsidRPr="00734D3B">
        <w:t xml:space="preserve"> y la planeación</w:t>
      </w:r>
      <w:r w:rsidR="00662FF1" w:rsidRPr="00734D3B">
        <w:t xml:space="preserve"> se transforman en resultados que aportan valor a la empresa.</w:t>
      </w:r>
    </w:p>
    <w:p w14:paraId="0A4A08BE" w14:textId="686A5CE6" w:rsidR="00307321" w:rsidRPr="00734D3B" w:rsidRDefault="0099429A" w:rsidP="00D7259E">
      <w:pPr>
        <w:tabs>
          <w:tab w:val="left" w:pos="1170"/>
        </w:tabs>
      </w:pPr>
      <w:r w:rsidRPr="00734D3B">
        <w:t>Estos cuatro niveles están conectados entre sí y se complementan. La estrategia define la visión y los objetivos principales de la organización. El portafolio elige y organiza los proyectos que ayudan a cumplir esa visión. Los programas agrupan proyectos parecidos para usar mejor los recursos y obtener mejores resultados. Por último, los proyectos son las acciones concretas que convierten las ideas en resultados reales y que aportan valor a la empresa.</w:t>
      </w:r>
    </w:p>
    <w:p w14:paraId="066C3450" w14:textId="63922C03" w:rsidR="008D0C3F" w:rsidRPr="00734D3B" w:rsidRDefault="00DF7720" w:rsidP="00D7259E">
      <w:pPr>
        <w:tabs>
          <w:tab w:val="left" w:pos="1170"/>
        </w:tabs>
      </w:pPr>
      <w:r w:rsidRPr="00734D3B">
        <w:t xml:space="preserve">En este sentido, </w:t>
      </w:r>
      <w:proofErr w:type="spellStart"/>
      <w:r w:rsidRPr="00734D3B">
        <w:t>Zwikael</w:t>
      </w:r>
      <w:proofErr w:type="spellEnd"/>
      <w:r w:rsidRPr="00734D3B">
        <w:t xml:space="preserve"> (2022) explica que el éxito de una organización depende de mantener una buena relación entre la estrategia, los programas y los proyectos. Cada acción debe aportar a una meta clara y medible, ser sostenible y </w:t>
      </w:r>
      <w:r w:rsidR="00D90054" w:rsidRPr="00734D3B">
        <w:t xml:space="preserve">muy importante </w:t>
      </w:r>
      <w:r w:rsidRPr="00734D3B">
        <w:t xml:space="preserve">estar en </w:t>
      </w:r>
      <w:r w:rsidR="00D90054" w:rsidRPr="00734D3B">
        <w:t>sintonía</w:t>
      </w:r>
      <w:r w:rsidRPr="00734D3B">
        <w:t xml:space="preserve"> con los valores de la empresa.</w:t>
      </w:r>
    </w:p>
    <w:p w14:paraId="19158758" w14:textId="743F89B1" w:rsidR="005E363B" w:rsidRPr="00734D3B" w:rsidRDefault="00961921" w:rsidP="00D7259E">
      <w:pPr>
        <w:tabs>
          <w:tab w:val="left" w:pos="1170"/>
        </w:tabs>
      </w:pPr>
      <w:r w:rsidRPr="00734D3B">
        <w:lastRenderedPageBreak/>
        <w:t>En la figura a continuación se muestra la relación jerárquica entre la estrategia empresarial, los portafolios, los programas y los proyectos, evidenciando cómo cada nivel contribuye al cumplimiento de los objetivos.</w:t>
      </w:r>
    </w:p>
    <w:p w14:paraId="317E4EB8" w14:textId="77777777" w:rsidR="000414CD" w:rsidRPr="00734D3B" w:rsidRDefault="000414CD" w:rsidP="00D7259E">
      <w:pPr>
        <w:tabs>
          <w:tab w:val="left" w:pos="1170"/>
        </w:tabs>
      </w:pPr>
    </w:p>
    <w:p w14:paraId="779DD47F" w14:textId="6876B47A" w:rsidR="00F84B06" w:rsidRPr="00734D3B" w:rsidRDefault="0049353D" w:rsidP="00C94C51">
      <w:pPr>
        <w:pStyle w:val="Caption"/>
        <w:rPr>
          <w:color w:val="auto"/>
        </w:rPr>
      </w:pPr>
      <w:bookmarkStart w:id="202" w:name="_Toc227937858"/>
      <w:bookmarkStart w:id="203" w:name="_Toc354770520"/>
      <w:r w:rsidRPr="00734D3B">
        <w:rPr>
          <w:color w:val="auto"/>
        </w:rPr>
        <w:t xml:space="preserve">Figura </w:t>
      </w:r>
      <w:r w:rsidR="00A13F00" w:rsidRPr="00734D3B">
        <w:rPr>
          <w:color w:val="auto"/>
        </w:rPr>
        <w:fldChar w:fldCharType="begin"/>
      </w:r>
      <w:r w:rsidR="00A13F00" w:rsidRPr="00734D3B">
        <w:rPr>
          <w:color w:val="auto"/>
        </w:rPr>
        <w:instrText xml:space="preserve"> SEQ Figura \* ARABIC </w:instrText>
      </w:r>
      <w:r w:rsidR="00A13F00" w:rsidRPr="00734D3B">
        <w:rPr>
          <w:color w:val="auto"/>
        </w:rPr>
        <w:fldChar w:fldCharType="separate"/>
      </w:r>
      <w:r w:rsidR="00A13F00" w:rsidRPr="00734D3B">
        <w:rPr>
          <w:noProof/>
          <w:color w:val="auto"/>
        </w:rPr>
        <w:t>4</w:t>
      </w:r>
      <w:r w:rsidR="00A13F00" w:rsidRPr="00734D3B">
        <w:rPr>
          <w:noProof/>
          <w:color w:val="auto"/>
        </w:rPr>
        <w:fldChar w:fldCharType="end"/>
      </w:r>
      <w:r w:rsidR="00C94C51" w:rsidRPr="00734D3B">
        <w:rPr>
          <w:color w:val="auto"/>
        </w:rPr>
        <w:br/>
      </w:r>
      <w:r w:rsidR="00F84B06" w:rsidRPr="00734D3B">
        <w:rPr>
          <w:rFonts w:cs="Arial"/>
          <w:b w:val="0"/>
          <w:bCs/>
          <w:i/>
          <w:iCs/>
          <w:color w:val="auto"/>
          <w:szCs w:val="22"/>
        </w:rPr>
        <w:t xml:space="preserve">Comparación entre </w:t>
      </w:r>
      <w:r w:rsidR="005D6184" w:rsidRPr="00734D3B">
        <w:rPr>
          <w:rFonts w:cs="Arial"/>
          <w:b w:val="0"/>
          <w:bCs/>
          <w:i/>
          <w:iCs/>
          <w:color w:val="auto"/>
          <w:szCs w:val="22"/>
        </w:rPr>
        <w:t>Estrategia</w:t>
      </w:r>
      <w:r w:rsidR="00F84B06" w:rsidRPr="00734D3B">
        <w:rPr>
          <w:rFonts w:cs="Arial"/>
          <w:b w:val="0"/>
          <w:bCs/>
          <w:i/>
          <w:iCs/>
          <w:color w:val="auto"/>
          <w:szCs w:val="22"/>
        </w:rPr>
        <w:t xml:space="preserve"> </w:t>
      </w:r>
      <w:r w:rsidR="005D6184" w:rsidRPr="00734D3B">
        <w:rPr>
          <w:rFonts w:cs="Arial"/>
          <w:b w:val="0"/>
          <w:bCs/>
          <w:i/>
          <w:iCs/>
          <w:color w:val="auto"/>
          <w:szCs w:val="22"/>
        </w:rPr>
        <w:t>E</w:t>
      </w:r>
      <w:r w:rsidR="00F84B06" w:rsidRPr="00734D3B">
        <w:rPr>
          <w:rFonts w:cs="Arial"/>
          <w:b w:val="0"/>
          <w:bCs/>
          <w:i/>
          <w:iCs/>
          <w:color w:val="auto"/>
          <w:szCs w:val="22"/>
        </w:rPr>
        <w:t>mpresarial-Portafolio-Programa-Proyecto</w:t>
      </w:r>
      <w:bookmarkEnd w:id="202"/>
    </w:p>
    <w:p w14:paraId="74FBA2A4" w14:textId="364A304B" w:rsidR="00397129" w:rsidRPr="00734D3B" w:rsidRDefault="0049353D" w:rsidP="005A016D">
      <w:pPr>
        <w:jc w:val="center"/>
        <w:rPr>
          <w:rFonts w:cs="Arial"/>
          <w:szCs w:val="22"/>
        </w:rPr>
      </w:pPr>
      <w:r w:rsidRPr="00734D3B">
        <w:rPr>
          <w:rFonts w:cs="Arial"/>
          <w:noProof/>
          <w:szCs w:val="22"/>
        </w:rPr>
        <w:drawing>
          <wp:inline distT="0" distB="0" distL="0" distR="0" wp14:anchorId="572B7BB2" wp14:editId="5D29C9F0">
            <wp:extent cx="3296110" cy="3543795"/>
            <wp:effectExtent l="0" t="0" r="0" b="0"/>
            <wp:docPr id="763073258" name="Picture 1" descr="A diagram of 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73258" name="Picture 1" descr="A diagram of a diagram"/>
                    <pic:cNvPicPr/>
                  </pic:nvPicPr>
                  <pic:blipFill>
                    <a:blip r:embed="rId15"/>
                    <a:stretch>
                      <a:fillRect/>
                    </a:stretch>
                  </pic:blipFill>
                  <pic:spPr>
                    <a:xfrm>
                      <a:off x="0" y="0"/>
                      <a:ext cx="3296110" cy="3543795"/>
                    </a:xfrm>
                    <a:prstGeom prst="rect">
                      <a:avLst/>
                    </a:prstGeom>
                  </pic:spPr>
                </pic:pic>
              </a:graphicData>
            </a:graphic>
          </wp:inline>
        </w:drawing>
      </w:r>
    </w:p>
    <w:p w14:paraId="55141C72" w14:textId="77777777" w:rsidR="00893B79" w:rsidRPr="00734D3B" w:rsidRDefault="00397129" w:rsidP="00D7259E">
      <w:pPr>
        <w:ind w:firstLine="0"/>
        <w:rPr>
          <w:szCs w:val="22"/>
        </w:rPr>
      </w:pPr>
      <w:r w:rsidRPr="00734D3B">
        <w:rPr>
          <w:rFonts w:cs="Arial"/>
          <w:i/>
          <w:iCs/>
          <w:szCs w:val="22"/>
        </w:rPr>
        <w:t>Nota</w:t>
      </w:r>
      <w:r w:rsidRPr="00734D3B">
        <w:rPr>
          <w:rFonts w:cs="Arial"/>
          <w:szCs w:val="22"/>
        </w:rPr>
        <w:t xml:space="preserve">: </w:t>
      </w:r>
      <w:r w:rsidR="00893B79" w:rsidRPr="00734D3B">
        <w:rPr>
          <w:i/>
          <w:iCs/>
          <w:szCs w:val="22"/>
        </w:rPr>
        <w:t xml:space="preserve">Elaboración propia a partir de Project Management Institute (2021) y </w:t>
      </w:r>
      <w:proofErr w:type="spellStart"/>
      <w:r w:rsidR="00893B79" w:rsidRPr="00734D3B">
        <w:rPr>
          <w:i/>
          <w:iCs/>
          <w:szCs w:val="22"/>
        </w:rPr>
        <w:t>Zwikael</w:t>
      </w:r>
      <w:proofErr w:type="spellEnd"/>
      <w:r w:rsidR="00893B79" w:rsidRPr="00734D3B">
        <w:rPr>
          <w:i/>
          <w:iCs/>
          <w:szCs w:val="22"/>
        </w:rPr>
        <w:t xml:space="preserve"> (2022).</w:t>
      </w:r>
    </w:p>
    <w:p w14:paraId="4D8EED76" w14:textId="77777777" w:rsidR="00893B79" w:rsidRPr="00734D3B" w:rsidRDefault="00893B79" w:rsidP="00D7259E">
      <w:pPr>
        <w:tabs>
          <w:tab w:val="left" w:pos="1170"/>
        </w:tabs>
        <w:ind w:firstLine="706"/>
      </w:pPr>
    </w:p>
    <w:p w14:paraId="18C195B6" w14:textId="0159BB82" w:rsidR="00D90054" w:rsidRPr="00734D3B" w:rsidRDefault="00D90054" w:rsidP="00D7259E">
      <w:pPr>
        <w:tabs>
          <w:tab w:val="left" w:pos="1170"/>
        </w:tabs>
        <w:ind w:firstLine="706"/>
      </w:pPr>
      <w:r w:rsidRPr="00734D3B">
        <w:t xml:space="preserve">En el caso de este PFG, el proyecto titulado </w:t>
      </w:r>
      <w:r w:rsidRPr="00734D3B">
        <w:rPr>
          <w:i/>
          <w:iCs/>
        </w:rPr>
        <w:t>“Guía metodológica de gestión sostenible para contratistas eléctricos en proyectos de data centers en Arizona”</w:t>
      </w:r>
      <w:r w:rsidRPr="00734D3B">
        <w:t xml:space="preserve"> es un proyecto individual, con un alcance definido, entregables concretos y una duración limitada. Aunque tiene un propósito académico, también tiene</w:t>
      </w:r>
      <w:r w:rsidR="00A177A4" w:rsidRPr="00734D3B">
        <w:t xml:space="preserve"> una</w:t>
      </w:r>
      <w:r w:rsidRPr="00734D3B">
        <w:t xml:space="preserve"> aplicación práctica, ya que fomenta la integración de la sostenibilidad en la gestión de obras eléctricas de gran escala en centro de datos en Arizona, </w:t>
      </w:r>
      <w:r w:rsidRPr="00734D3B">
        <w:lastRenderedPageBreak/>
        <w:t xml:space="preserve">EE. UU. </w:t>
      </w:r>
      <w:r w:rsidR="00C07FE5" w:rsidRPr="00734D3B">
        <w:t>No obstante</w:t>
      </w:r>
      <w:r w:rsidRPr="00734D3B">
        <w:t>, en el futuro este tipo de proyecto podría formar parte de un programa institucional de sostenibilidad o de un portafolio corporativo de innovación ambiental, dentro de las estrategias de responsabilidad social empresarial.</w:t>
      </w:r>
    </w:p>
    <w:p w14:paraId="05038905" w14:textId="59A85C2F" w:rsidR="00264EEB" w:rsidRPr="00734D3B" w:rsidRDefault="009020C6" w:rsidP="008F2CA0">
      <w:pPr>
        <w:pStyle w:val="Heading2"/>
      </w:pPr>
      <w:bookmarkStart w:id="204" w:name="_Toc227936391"/>
      <w:r w:rsidRPr="00734D3B">
        <w:t>Estado de la cuestión y o</w:t>
      </w:r>
      <w:r w:rsidR="00264EEB" w:rsidRPr="00734D3B">
        <w:t>tra teoría propia del tema de interés</w:t>
      </w:r>
      <w:bookmarkEnd w:id="203"/>
      <w:bookmarkEnd w:id="204"/>
      <w:r w:rsidR="00264EEB" w:rsidRPr="00734D3B">
        <w:t xml:space="preserve"> </w:t>
      </w:r>
    </w:p>
    <w:p w14:paraId="73AC33A5" w14:textId="0FE7C31F" w:rsidR="00264EEB" w:rsidRPr="00734D3B" w:rsidRDefault="00AC0D98" w:rsidP="00D7259E">
      <w:pPr>
        <w:contextualSpacing/>
        <w:rPr>
          <w:rFonts w:cs="Arial"/>
          <w:szCs w:val="22"/>
        </w:rPr>
      </w:pPr>
      <w:r w:rsidRPr="00734D3B">
        <w:rPr>
          <w:rFonts w:cs="Arial"/>
          <w:szCs w:val="22"/>
        </w:rPr>
        <w:t xml:space="preserve">El presente apartado tiene como objetivo explicar la situación actual del problema que aborda este trabajo, así como las principales teorías y estudios relacionados con la gestión sostenible de residuos en la construcción eléctrica, especialmente en los proyectos de data centers en Estados Unidos. Su propósito es presentar el tema dentro del contexto de investigaciones recientes y mostrar las brechas existentes que justifican la creación de una guía metodológica adaptada a la realidad de los contratistas eléctricos en Arizona, EE. UU. </w:t>
      </w:r>
    </w:p>
    <w:p w14:paraId="1A4F905D" w14:textId="50F470B3" w:rsidR="00AC0D98" w:rsidRPr="00734D3B" w:rsidRDefault="007176AC" w:rsidP="00D7259E">
      <w:pPr>
        <w:contextualSpacing/>
        <w:rPr>
          <w:rFonts w:cs="Arial"/>
          <w:szCs w:val="22"/>
        </w:rPr>
      </w:pPr>
      <w:r w:rsidRPr="00734D3B">
        <w:rPr>
          <w:rFonts w:cs="Arial"/>
          <w:szCs w:val="22"/>
        </w:rPr>
        <w:t>La revisión del estado de la cuestión permite entender cómo la sostenibilidad ha pasado de ser una idea teórica para convertirse en una parte clave de la gestión de proyectos de construcción. Los estudios más recientes se han enfocado principalmente en el diseño arquitectónico y en la eficiencia energética de los data centers, dejando de lado los impactos que ocurren durante la fase de construcción, especialmente los relacionados con los trabajos eléctricos y el cableado. Esta falta de atención genera un vacío importante, ya que el mal manejo de residuos eléctricos, como cables de cobre o aluminio, recubrimientos plásticos y empaques industriales, puede causar contaminación si no se gestiona de forma adecuada.</w:t>
      </w:r>
    </w:p>
    <w:p w14:paraId="42833834" w14:textId="0CAF38C1" w:rsidR="00ED676A" w:rsidRPr="00734D3B" w:rsidRDefault="00ED676A" w:rsidP="00D7259E">
      <w:pPr>
        <w:contextualSpacing/>
        <w:rPr>
          <w:rFonts w:cs="Arial"/>
          <w:szCs w:val="22"/>
        </w:rPr>
      </w:pPr>
      <w:r w:rsidRPr="00734D3B">
        <w:rPr>
          <w:rFonts w:cs="Arial"/>
          <w:szCs w:val="22"/>
        </w:rPr>
        <w:t xml:space="preserve">Además, este análisis no solo describe la situación actual, sino que también ayuda a identificar tendencias, retos y oportunidades de mejora. Entre los aspectos más relevantes se encuentra la necesidad de contar con herramientas que incluyan indicadores ambientales, </w:t>
      </w:r>
      <w:r w:rsidR="00F52FD9" w:rsidRPr="00734D3B">
        <w:rPr>
          <w:rFonts w:cs="Arial"/>
          <w:szCs w:val="22"/>
        </w:rPr>
        <w:t xml:space="preserve">y </w:t>
      </w:r>
      <w:r w:rsidRPr="00734D3B">
        <w:rPr>
          <w:rFonts w:cs="Arial"/>
          <w:szCs w:val="22"/>
        </w:rPr>
        <w:t xml:space="preserve">procedimientos claros para separar los residuos dentro del sector eléctrico. Este diagnóstico confirma la importancia de este PFG, que busca aportar una metodología práctica y adaptable para fortalecer la sostenibilidad en la ejecución de proyectos eléctricos en la industria de los </w:t>
      </w:r>
      <w:r w:rsidR="00F52FD9" w:rsidRPr="00734D3B">
        <w:rPr>
          <w:rFonts w:cs="Arial"/>
          <w:szCs w:val="22"/>
        </w:rPr>
        <w:t>centros de datos,</w:t>
      </w:r>
    </w:p>
    <w:p w14:paraId="30462EF0" w14:textId="0FC45CFF" w:rsidR="00264EEB" w:rsidRPr="00734D3B" w:rsidRDefault="00264EEB" w:rsidP="000D7828">
      <w:pPr>
        <w:pStyle w:val="Heading3"/>
      </w:pPr>
      <w:bookmarkStart w:id="205" w:name="_Toc227936392"/>
      <w:r w:rsidRPr="00734D3B">
        <w:lastRenderedPageBreak/>
        <w:t xml:space="preserve">Situación actual del problema </w:t>
      </w:r>
      <w:r w:rsidR="00A046AF" w:rsidRPr="00734D3B">
        <w:t>u</w:t>
      </w:r>
      <w:r w:rsidRPr="00734D3B">
        <w:t xml:space="preserve"> oportunidad en estudio</w:t>
      </w:r>
      <w:bookmarkEnd w:id="205"/>
    </w:p>
    <w:p w14:paraId="56B7EFBF" w14:textId="16CFA6E6" w:rsidR="00D96331" w:rsidRPr="00734D3B" w:rsidRDefault="0007269A" w:rsidP="00D7259E">
      <w:r w:rsidRPr="00734D3B">
        <w:t xml:space="preserve">La rápida expansión de la industria de data centers en Estados Unidos, y especialmente en Arizona, ha generado un aumento constante en la demanda de servicios de construcción eléctrica especializada. Este crecimiento está relacionado con el avance de la inteligencia artificial, el almacenamiento en la nube y la instalación de operaciones tecnológicas en regiones con clima estable y buena disponibilidad de energía (Núñez-Morales, 2025). Sin embargo, aunque esta infraestructura cumple con los estándares técnicos y de seguridad, </w:t>
      </w:r>
      <w:r w:rsidR="00D31C42" w:rsidRPr="00734D3B">
        <w:t>los contratistas aún no cuentan</w:t>
      </w:r>
      <w:r w:rsidRPr="00734D3B">
        <w:t xml:space="preserve"> con protocolos claros y uniformes de sostenibilidad, sobre todo en la gestión de residuos de construcción y demolición (C&amp;D) que provienen de los sistemas eléctricos.</w:t>
      </w:r>
    </w:p>
    <w:p w14:paraId="68DCE49C" w14:textId="5177C4B7" w:rsidR="00165E05" w:rsidRPr="00734D3B" w:rsidRDefault="00981D2F" w:rsidP="00D7259E">
      <w:r w:rsidRPr="00734D3B">
        <w:t xml:space="preserve">Actualmente, los contratistas eléctricos en Arizona trabajan bajo las normas generales del Arizona </w:t>
      </w:r>
      <w:proofErr w:type="spellStart"/>
      <w:r w:rsidRPr="00734D3B">
        <w:t>Department</w:t>
      </w:r>
      <w:proofErr w:type="spellEnd"/>
      <w:r w:rsidRPr="00734D3B">
        <w:t xml:space="preserve"> </w:t>
      </w:r>
      <w:proofErr w:type="spellStart"/>
      <w:r w:rsidRPr="00734D3B">
        <w:t>of</w:t>
      </w:r>
      <w:proofErr w:type="spellEnd"/>
      <w:r w:rsidRPr="00734D3B">
        <w:t xml:space="preserve"> </w:t>
      </w:r>
      <w:proofErr w:type="spellStart"/>
      <w:r w:rsidRPr="00734D3B">
        <w:t>Environmental</w:t>
      </w:r>
      <w:proofErr w:type="spellEnd"/>
      <w:r w:rsidRPr="00734D3B">
        <w:t xml:space="preserve"> Quality (ADEQ), que regulan aspectos como el desecho de materiales y el control del polvo (ADEQ, 2024). </w:t>
      </w:r>
      <w:r w:rsidR="00165E05" w:rsidRPr="00734D3B">
        <w:t xml:space="preserve">En la práctica, sin embargo, </w:t>
      </w:r>
      <w:r w:rsidR="000C3D7D" w:rsidRPr="00734D3B">
        <w:t xml:space="preserve">estas regulaciones se aplican de forma muy parcial y, en muchos casos, no se </w:t>
      </w:r>
      <w:r w:rsidR="001B5C63" w:rsidRPr="00734D3B">
        <w:t>siguen</w:t>
      </w:r>
      <w:r w:rsidR="000C3D7D" w:rsidRPr="00734D3B">
        <w:t xml:space="preserve"> en las obras, lo que ponen en evidencia una brecha entre lo que “exige” la normativa y lo que realmente ocurre en los diferentes sitios de construcción. </w:t>
      </w:r>
    </w:p>
    <w:p w14:paraId="7AC6CD84" w14:textId="1F7E2B05" w:rsidR="00D31C42" w:rsidRPr="00734D3B" w:rsidRDefault="004E69FB" w:rsidP="00D7259E">
      <w:r w:rsidRPr="00734D3B">
        <w:t>Además,</w:t>
      </w:r>
      <w:r w:rsidR="001B5C63" w:rsidRPr="00734D3B">
        <w:t xml:space="preserve"> dentro de</w:t>
      </w:r>
      <w:r w:rsidRPr="00734D3B">
        <w:t xml:space="preserve"> las normas del </w:t>
      </w:r>
      <w:r w:rsidR="001B5C63" w:rsidRPr="00734D3B">
        <w:t>ADEQ,</w:t>
      </w:r>
      <w:r w:rsidR="00981D2F" w:rsidRPr="00734D3B">
        <w:t xml:space="preserve"> no existen reglas específicas sobre la separación, reutilización o seguimiento de los residuos eléctricos, lo que provoca que cada empresa tenga sus propios métodos. Esto genera diferencias en la forma de aplicar prácticas sostenibles y dificulta obtener datos comparables o indicadores ambientales. En la práctica, muchos materiales sobrantes, como cables de cobre, tramos de tubería, bandejas </w:t>
      </w:r>
      <w:proofErr w:type="spellStart"/>
      <w:r w:rsidR="00981D2F" w:rsidRPr="00734D3B">
        <w:t>portacables</w:t>
      </w:r>
      <w:proofErr w:type="spellEnd"/>
      <w:r w:rsidR="00981D2F" w:rsidRPr="00734D3B">
        <w:t xml:space="preserve"> y empaques, se almacenan o se desechan sin clasificar, lo que aumenta los costos y reduce las tasas de reciclaje (EPA, 2025).</w:t>
      </w:r>
    </w:p>
    <w:p w14:paraId="3B91B808" w14:textId="77ADA4ED" w:rsidR="00051B0D" w:rsidRPr="00734D3B" w:rsidRDefault="003E32EA" w:rsidP="00D7259E">
      <w:r w:rsidRPr="00734D3B">
        <w:t xml:space="preserve">Aunque empresas </w:t>
      </w:r>
      <w:proofErr w:type="spellStart"/>
      <w:r w:rsidRPr="00734D3B">
        <w:t>Hyperscale</w:t>
      </w:r>
      <w:proofErr w:type="spellEnd"/>
      <w:r w:rsidRPr="00734D3B">
        <w:t xml:space="preserve"> como Google, Meta y Microsoft tienen en efecto políticas que buscan cero residuos a vertedero, en la práctica estas regulaciones pocas veces se aplican </w:t>
      </w:r>
      <w:r w:rsidRPr="00734D3B">
        <w:lastRenderedPageBreak/>
        <w:t xml:space="preserve">por sus subcontratistas locales (Meta </w:t>
      </w:r>
      <w:proofErr w:type="spellStart"/>
      <w:r w:rsidRPr="00734D3B">
        <w:t>Platforms</w:t>
      </w:r>
      <w:proofErr w:type="spellEnd"/>
      <w:r w:rsidRPr="00734D3B">
        <w:t xml:space="preserve">, 2025). Creando </w:t>
      </w:r>
      <w:r w:rsidR="004268ED" w:rsidRPr="00734D3B">
        <w:t>así</w:t>
      </w:r>
      <w:r w:rsidRPr="00734D3B">
        <w:t xml:space="preserve"> una diferencia entre lo que dicen las políticas y lo que realmente pasa en las obras. Los contratistas eléctricos, muchas veces presionados por el tiempo y el trabajo, suelen enfocarse más en cumplir con las metas técnicas que en cuidar el ambiente. Como resultado, se pierde eficiencia en el uso de los materiales y se afecta la imagen ambiental de las empresas que participan en la construcción eléctrica de los centros de datos.</w:t>
      </w:r>
    </w:p>
    <w:p w14:paraId="769C3C8E" w14:textId="4E492248" w:rsidR="00253B59" w:rsidRPr="00734D3B" w:rsidRDefault="00282258" w:rsidP="00D7259E">
      <w:r w:rsidRPr="00734D3B">
        <w:t xml:space="preserve">Aunado a esto a nivel estatal, Arizona no tiene un marco normativo tan desarrollado como el de California, donde el </w:t>
      </w:r>
      <w:proofErr w:type="spellStart"/>
      <w:r w:rsidRPr="00734D3B">
        <w:t>CALGreen</w:t>
      </w:r>
      <w:proofErr w:type="spellEnd"/>
      <w:r w:rsidRPr="00734D3B">
        <w:t xml:space="preserve"> Code exige desviar al menos el 65 % de los residuos de construcción y demolición (California Building </w:t>
      </w:r>
      <w:proofErr w:type="spellStart"/>
      <w:r w:rsidRPr="00734D3B">
        <w:t>Standards</w:t>
      </w:r>
      <w:proofErr w:type="spellEnd"/>
      <w:r w:rsidRPr="00734D3B">
        <w:t xml:space="preserve"> </w:t>
      </w:r>
      <w:proofErr w:type="spellStart"/>
      <w:r w:rsidRPr="00734D3B">
        <w:t>Commission</w:t>
      </w:r>
      <w:proofErr w:type="spellEnd"/>
      <w:r w:rsidRPr="00734D3B">
        <w:t xml:space="preserve">, 2022). La ausencia de requisitos similares en Arizona dificulta la creación de sistemas de medición, certificación y mejora continua en el sector eléctrico, que maneja grandes volúmenes de materiales </w:t>
      </w:r>
      <w:r w:rsidR="00253B59" w:rsidRPr="00734D3B">
        <w:t xml:space="preserve">costosos </w:t>
      </w:r>
      <w:r w:rsidRPr="00734D3B">
        <w:t>metálicos y plásticos</w:t>
      </w:r>
      <w:r w:rsidR="00C50849" w:rsidRPr="00734D3B">
        <w:t>.</w:t>
      </w:r>
    </w:p>
    <w:p w14:paraId="6AE96CE9" w14:textId="04033A35" w:rsidR="00C24B12" w:rsidRPr="00734D3B" w:rsidRDefault="00C24B12" w:rsidP="00D7259E">
      <w:r w:rsidRPr="00734D3B">
        <w:t xml:space="preserve">Dentro de las empresas, los contratistas eléctricos enfrentan varios retos. Algunos de los más comunes son la falta de capacitación ambiental, la ausencia de indicadores para medir el desempeño y la poca coordinación con los proveedores para recuperar materiales que todavía se pueden usar. Según Chen, Su y Si (2019), las principales barreras son la falta de incentivos, la poca claridad en las reglas y los costos que genera separar los residuos. Esto </w:t>
      </w:r>
      <w:r w:rsidR="007C54C9" w:rsidRPr="00734D3B">
        <w:t>es una clara realidad de lo que</w:t>
      </w:r>
      <w:r w:rsidRPr="00734D3B">
        <w:t xml:space="preserve"> pasa en los proyectos de </w:t>
      </w:r>
      <w:r w:rsidR="007C54C9" w:rsidRPr="00734D3B">
        <w:t>centros de datos</w:t>
      </w:r>
      <w:r w:rsidRPr="00734D3B">
        <w:t xml:space="preserve"> en Arizona, donde los sistemas eléctricos usan muchos materiales temporales, como embalajes, conectores, aislantes y cables que luego se desechan</w:t>
      </w:r>
      <w:r w:rsidR="007C54C9" w:rsidRPr="00734D3B">
        <w:t xml:space="preserve">, aun teniendo vida útil. </w:t>
      </w:r>
    </w:p>
    <w:p w14:paraId="2D2A2F72" w14:textId="143DB92E" w:rsidR="00823472" w:rsidRPr="00734D3B" w:rsidRDefault="00823472" w:rsidP="00D7259E">
      <w:r w:rsidRPr="00734D3B">
        <w:t>Es por e</w:t>
      </w:r>
      <w:r w:rsidR="007B6A5C" w:rsidRPr="00734D3B">
        <w:t xml:space="preserve">llo por lo que esta situación representa una gran oportunidad de mejora. Elaborar una guía metodológica de gestión sostenible ayudaría a unificar las prácticas para reducir, separar y manejar correctamente los residuos eléctricos. Con esto se podría mejorar la eficiencia del trabajo y cumplir mejor con las normas ambientales. También permitiría que los contratistas se acerquen a estándares internacionales como LEED v4 o ISO 14001, lo que </w:t>
      </w:r>
      <w:r w:rsidR="007B6A5C" w:rsidRPr="00734D3B">
        <w:lastRenderedPageBreak/>
        <w:t xml:space="preserve">aumentaría su competitividad en un mercado que cada vez valora más el cuidado del ambiente y la transparencia en </w:t>
      </w:r>
      <w:r w:rsidR="002A46D3" w:rsidRPr="00734D3B">
        <w:t>sus</w:t>
      </w:r>
      <w:r w:rsidR="007B6A5C" w:rsidRPr="00734D3B">
        <w:t xml:space="preserve"> procesos.</w:t>
      </w:r>
    </w:p>
    <w:p w14:paraId="4A529C5C" w14:textId="2CA6D10B" w:rsidR="00C50849" w:rsidRPr="00734D3B" w:rsidRDefault="00CF1231" w:rsidP="00D7259E">
      <w:r w:rsidRPr="00734D3B">
        <w:t>Por tanto, el problema actual muestra que no existen métodos claros para manejar de forma sostenible los residuos eléctricos durante la construcción de data centers en Arizona. Aunque hay reglas generales y políticas ambientales de las grandes empresas, todavía falta un modelo adaptado a las condiciones reales de los contratistas eléctricos. Este PFG tiene como obje</w:t>
      </w:r>
      <w:r w:rsidR="00B22ED3" w:rsidRPr="00734D3B">
        <w:t>tico</w:t>
      </w:r>
      <w:r w:rsidRPr="00734D3B">
        <w:t xml:space="preserve"> cerrar esa brecha con una guía práctica y sencilla que reúna las mejores prácticas internacionales y se adapte a la realidad técnica y legal de la industria </w:t>
      </w:r>
      <w:r w:rsidR="00F300C0" w:rsidRPr="00734D3B">
        <w:t xml:space="preserve">de construcción </w:t>
      </w:r>
      <w:r w:rsidRPr="00734D3B">
        <w:t>eléctrica en Estados Unidos.</w:t>
      </w:r>
    </w:p>
    <w:p w14:paraId="41DA807E" w14:textId="77777777" w:rsidR="00264EEB" w:rsidRPr="00734D3B" w:rsidRDefault="00264EEB" w:rsidP="00504522">
      <w:pPr>
        <w:pStyle w:val="Heading3"/>
      </w:pPr>
      <w:bookmarkStart w:id="206" w:name="_Toc227936393"/>
      <w:r w:rsidRPr="00734D3B">
        <w:t>Investigaciones que se han hecho sobre el tema en estudio</w:t>
      </w:r>
      <w:bookmarkEnd w:id="206"/>
    </w:p>
    <w:p w14:paraId="6645F883" w14:textId="7A38B3E7" w:rsidR="00212B15" w:rsidRPr="00734D3B" w:rsidRDefault="00AC2532" w:rsidP="00D7259E">
      <w:r w:rsidRPr="00734D3B">
        <w:t>Diversas investigaciones recientes han estudiado el problema del manejo de residuos en la industria de la construcción, sobre todo en lo relacionado con la sostenibilidad y la gestión ambiental de los contratistas. Estos estudios aportan ideas y métodos que sirven de base para crear una guía metodológica aplicada a los contratistas eléctricos, como se propone en este PFG.</w:t>
      </w:r>
    </w:p>
    <w:p w14:paraId="09831CDF" w14:textId="3197B04C" w:rsidR="00AC2532" w:rsidRPr="00734D3B" w:rsidRDefault="000B5F0D" w:rsidP="00D7259E">
      <w:r w:rsidRPr="00734D3B">
        <w:t xml:space="preserve">Uno de los estudios más importantes es el de Chen, Su y Si (2019), quienes analizaron las decisiones que toman los contratistas y los gobiernos sobre el manejo de los residuos de construcción y demolición. Utilizaron un modelo basado en la teoría de juegos para entender cómo </w:t>
      </w:r>
      <w:r w:rsidR="000155A4" w:rsidRPr="00734D3B">
        <w:t>se desenvuelven</w:t>
      </w:r>
      <w:r w:rsidRPr="00734D3B">
        <w:t xml:space="preserve"> los diversos actores, considerando los costos, los incentivos y las sanciones. Los autores identificaron que los contratistas </w:t>
      </w:r>
      <w:r w:rsidR="000155A4" w:rsidRPr="00734D3B">
        <w:t>son propensos</w:t>
      </w:r>
      <w:r w:rsidRPr="00734D3B">
        <w:t xml:space="preserve"> a reducir los costos ambientales cuando la supervisión es débil o los beneficios de reciclar no son claros. </w:t>
      </w:r>
      <w:r w:rsidR="00336358" w:rsidRPr="00734D3B">
        <w:t>Estos resultados ayudan</w:t>
      </w:r>
      <w:r w:rsidRPr="00734D3B">
        <w:t xml:space="preserve"> a entender cómo los incentivos económicos y </w:t>
      </w:r>
      <w:r w:rsidR="00413CB6" w:rsidRPr="00734D3B">
        <w:t>un acompañamiento activo</w:t>
      </w:r>
      <w:r w:rsidRPr="00734D3B">
        <w:t xml:space="preserve"> pueden motivar prácticas más sostenibles. En este PFG, este modelo sirve para analizar qué factores podrían incentivar a los contratistas eléctricos de Arizona a adoptar prácticas más responsables, como trabajar con recicladores locales </w:t>
      </w:r>
      <w:r w:rsidR="00336358" w:rsidRPr="00734D3B">
        <w:t>e inclusive</w:t>
      </w:r>
      <w:r w:rsidRPr="00734D3B">
        <w:t xml:space="preserve"> aprovechar beneficios fiscales.</w:t>
      </w:r>
    </w:p>
    <w:p w14:paraId="71633C83" w14:textId="21A2314D" w:rsidR="00D020E7" w:rsidRPr="00734D3B" w:rsidRDefault="00D020E7" w:rsidP="00D7259E">
      <w:r w:rsidRPr="00734D3B">
        <w:lastRenderedPageBreak/>
        <w:t xml:space="preserve">Por su parte, Patil et al. (2024) realizaron una revisión </w:t>
      </w:r>
      <w:r w:rsidR="00831B62" w:rsidRPr="00734D3B">
        <w:t>integral</w:t>
      </w:r>
      <w:r w:rsidRPr="00734D3B">
        <w:t xml:space="preserve"> sobre las estrategias de reciclaje y reutilización de residuos de construcción. Estudiaron diferentes casos y </w:t>
      </w:r>
      <w:r w:rsidR="00831B62" w:rsidRPr="00734D3B">
        <w:t>con los resultados lograron identifica</w:t>
      </w:r>
      <w:r w:rsidR="00B93A99" w:rsidRPr="00734D3B">
        <w:t>r</w:t>
      </w:r>
      <w:r w:rsidR="00831B62" w:rsidRPr="00734D3B">
        <w:t xml:space="preserve"> que</w:t>
      </w:r>
      <w:r w:rsidRPr="00734D3B">
        <w:t xml:space="preserve"> las políticas de economía circular y el uso de sistemas digitales </w:t>
      </w:r>
      <w:r w:rsidR="00A70B40" w:rsidRPr="00734D3B">
        <w:t>que facilitan</w:t>
      </w:r>
      <w:r w:rsidRPr="00734D3B">
        <w:t xml:space="preserve"> dar seguimiento a los materiales son las formas más efectivas </w:t>
      </w:r>
      <w:r w:rsidR="00A70B40" w:rsidRPr="00734D3B">
        <w:t>para</w:t>
      </w:r>
      <w:r w:rsidRPr="00734D3B">
        <w:t xml:space="preserve"> reducir el impacto ambiental. También </w:t>
      </w:r>
      <w:r w:rsidR="00B93A99" w:rsidRPr="00734D3B">
        <w:t>identificaron</w:t>
      </w:r>
      <w:r w:rsidRPr="00734D3B">
        <w:t xml:space="preserve"> </w:t>
      </w:r>
      <w:r w:rsidR="005928A1" w:rsidRPr="00734D3B">
        <w:t>como la</w:t>
      </w:r>
      <w:r w:rsidRPr="00734D3B">
        <w:t xml:space="preserve"> falta de norma</w:t>
      </w:r>
      <w:r w:rsidR="005928A1" w:rsidRPr="00734D3B">
        <w:t>tiva</w:t>
      </w:r>
      <w:r w:rsidRPr="00734D3B">
        <w:t xml:space="preserve"> claras y de capacitación técnica </w:t>
      </w:r>
      <w:r w:rsidR="005928A1" w:rsidRPr="00734D3B">
        <w:t>se convierten en las principales</w:t>
      </w:r>
      <w:r w:rsidRPr="00734D3B">
        <w:t xml:space="preserve"> barreras para una buena gestión</w:t>
      </w:r>
      <w:r w:rsidR="005928A1" w:rsidRPr="00734D3B">
        <w:t xml:space="preserve"> ambiental</w:t>
      </w:r>
      <w:r w:rsidRPr="00734D3B">
        <w:t>. Estos resultados se relacionan directamente con el caso de</w:t>
      </w:r>
      <w:r w:rsidR="005928A1" w:rsidRPr="00734D3B">
        <w:t xml:space="preserve"> análisis de este PFG en</w:t>
      </w:r>
      <w:r w:rsidRPr="00734D3B">
        <w:t xml:space="preserve"> Arizona, donde todavía no existen reglas específicas que orienten a los contratistas eléctricos sobre cómo medir o dar seguimiento a sus</w:t>
      </w:r>
      <w:r w:rsidR="005928A1" w:rsidRPr="00734D3B">
        <w:t xml:space="preserve"> desechos de</w:t>
      </w:r>
      <w:r w:rsidRPr="00734D3B">
        <w:t xml:space="preserve"> materiales.</w:t>
      </w:r>
    </w:p>
    <w:p w14:paraId="518DD0EF" w14:textId="2BCBDAEE" w:rsidR="00DA4C37" w:rsidRPr="00734D3B" w:rsidRDefault="00DA4C37" w:rsidP="00D7259E">
      <w:r w:rsidRPr="00734D3B">
        <w:t>Siguiendo en la misma línea, otro es</w:t>
      </w:r>
      <w:r w:rsidR="00586A59" w:rsidRPr="00734D3B">
        <w:t xml:space="preserve">tudio reciente de mucha importancia </w:t>
      </w:r>
      <w:r w:rsidR="00A70B40" w:rsidRPr="00734D3B">
        <w:t xml:space="preserve">es el de Núñez-Morales (2025), presentado en la </w:t>
      </w:r>
      <w:proofErr w:type="spellStart"/>
      <w:r w:rsidR="00A70B40" w:rsidRPr="00734D3B">
        <w:rPr>
          <w:i/>
          <w:iCs/>
        </w:rPr>
        <w:t>Conference</w:t>
      </w:r>
      <w:proofErr w:type="spellEnd"/>
      <w:r w:rsidR="00A70B40" w:rsidRPr="00734D3B">
        <w:rPr>
          <w:i/>
          <w:iCs/>
        </w:rPr>
        <w:t xml:space="preserve"> </w:t>
      </w:r>
      <w:proofErr w:type="spellStart"/>
      <w:r w:rsidR="00A70B40" w:rsidRPr="00734D3B">
        <w:rPr>
          <w:i/>
          <w:iCs/>
        </w:rPr>
        <w:t>on</w:t>
      </w:r>
      <w:proofErr w:type="spellEnd"/>
      <w:r w:rsidR="00A70B40" w:rsidRPr="00734D3B">
        <w:rPr>
          <w:i/>
          <w:iCs/>
        </w:rPr>
        <w:t xml:space="preserve"> </w:t>
      </w:r>
      <w:proofErr w:type="spellStart"/>
      <w:r w:rsidR="00A70B40" w:rsidRPr="00734D3B">
        <w:rPr>
          <w:i/>
          <w:iCs/>
        </w:rPr>
        <w:t>Construction</w:t>
      </w:r>
      <w:proofErr w:type="spellEnd"/>
      <w:r w:rsidR="00A70B40" w:rsidRPr="00734D3B">
        <w:rPr>
          <w:i/>
          <w:iCs/>
        </w:rPr>
        <w:t xml:space="preserve"> and Building (CIB)</w:t>
      </w:r>
      <w:r w:rsidR="00A70B40" w:rsidRPr="00734D3B">
        <w:t xml:space="preserve"> de la Universidad Purdue. En esta investigación se analizó el impacto ambiental </w:t>
      </w:r>
      <w:r w:rsidR="00FF1743" w:rsidRPr="00734D3B">
        <w:t>que generan</w:t>
      </w:r>
      <w:r w:rsidR="00A70B40" w:rsidRPr="00734D3B">
        <w:t xml:space="preserve"> los data centers, </w:t>
      </w:r>
      <w:r w:rsidR="00FF1743" w:rsidRPr="00734D3B">
        <w:t>por medio de</w:t>
      </w:r>
      <w:r w:rsidR="00A70B40" w:rsidRPr="00734D3B">
        <w:t xml:space="preserve"> un estudio de ciclo de vida y de huella de carbono. Los resultados </w:t>
      </w:r>
      <w:r w:rsidR="00FF1743" w:rsidRPr="00734D3B">
        <w:t>manifestaron</w:t>
      </w:r>
      <w:r w:rsidR="00A70B40" w:rsidRPr="00734D3B">
        <w:t xml:space="preserve"> que cerca del 30 % de las emisiones totales de un data center ocurren durante la etapa de </w:t>
      </w:r>
      <w:r w:rsidR="00FF1743" w:rsidRPr="00734D3B">
        <w:t>construcción, y mayormente</w:t>
      </w:r>
      <w:r w:rsidR="00A70B40" w:rsidRPr="00734D3B">
        <w:t xml:space="preserve"> por l</w:t>
      </w:r>
      <w:r w:rsidR="00195BB4" w:rsidRPr="00734D3B">
        <w:t>o</w:t>
      </w:r>
      <w:r w:rsidR="00A70B40" w:rsidRPr="00734D3B">
        <w:t xml:space="preserve">s </w:t>
      </w:r>
      <w:r w:rsidR="00195BB4" w:rsidRPr="00734D3B">
        <w:t>contratistas</w:t>
      </w:r>
      <w:r w:rsidR="00A70B40" w:rsidRPr="00734D3B">
        <w:t xml:space="preserve"> </w:t>
      </w:r>
      <w:r w:rsidR="003978CA" w:rsidRPr="00734D3B">
        <w:t>eléctric</w:t>
      </w:r>
      <w:r w:rsidR="00195BB4" w:rsidRPr="00734D3B">
        <w:t>o</w:t>
      </w:r>
      <w:r w:rsidR="003978CA" w:rsidRPr="00734D3B">
        <w:t>s, que</w:t>
      </w:r>
      <w:r w:rsidR="00FF1743" w:rsidRPr="00734D3B">
        <w:t xml:space="preserve"> </w:t>
      </w:r>
      <w:r w:rsidR="00DA6023" w:rsidRPr="00734D3B">
        <w:t>cabe</w:t>
      </w:r>
      <w:r w:rsidR="00FF1743" w:rsidRPr="00734D3B">
        <w:t xml:space="preserve"> recalcar es </w:t>
      </w:r>
      <w:r w:rsidR="00DA6023" w:rsidRPr="00734D3B">
        <w:t xml:space="preserve">la industria con más </w:t>
      </w:r>
      <w:r w:rsidR="000B1B21" w:rsidRPr="00734D3B">
        <w:t>alcance</w:t>
      </w:r>
      <w:r w:rsidR="00DA6023" w:rsidRPr="00734D3B">
        <w:t xml:space="preserve"> dentro de la construcción de un centro de datos. </w:t>
      </w:r>
      <w:r w:rsidR="00A70B40" w:rsidRPr="00734D3B">
        <w:t>Est</w:t>
      </w:r>
      <w:r w:rsidR="00195BB4" w:rsidRPr="00734D3B">
        <w:t>os</w:t>
      </w:r>
      <w:r w:rsidR="00A70B40" w:rsidRPr="00734D3B">
        <w:t xml:space="preserve"> </w:t>
      </w:r>
      <w:r w:rsidR="00195BB4" w:rsidRPr="00734D3B">
        <w:t>resultados</w:t>
      </w:r>
      <w:r w:rsidR="00A70B40" w:rsidRPr="00734D3B">
        <w:t xml:space="preserve"> </w:t>
      </w:r>
      <w:r w:rsidR="00195BB4" w:rsidRPr="00734D3B">
        <w:t>confirman</w:t>
      </w:r>
      <w:r w:rsidR="00A70B40" w:rsidRPr="00734D3B">
        <w:t xml:space="preserve"> la importancia de aplicar prácticas sostenibles en la construcción</w:t>
      </w:r>
      <w:r w:rsidR="003978CA" w:rsidRPr="00734D3B">
        <w:t xml:space="preserve"> eléctrica</w:t>
      </w:r>
      <w:r w:rsidR="00A70B40" w:rsidRPr="00734D3B">
        <w:t>, lo cual está directamente relacionado con los objetivos de este PFG.</w:t>
      </w:r>
    </w:p>
    <w:p w14:paraId="5250B6D9" w14:textId="29BD4F22" w:rsidR="00334A0D" w:rsidRPr="00734D3B" w:rsidRDefault="00334A0D" w:rsidP="00D7259E">
      <w:r w:rsidRPr="00734D3B">
        <w:t>El Modular Building Institute (2024) realizó un estudio</w:t>
      </w:r>
      <w:r w:rsidR="007C5967" w:rsidRPr="00734D3B">
        <w:t xml:space="preserve"> interesante</w:t>
      </w:r>
      <w:r w:rsidRPr="00734D3B">
        <w:t xml:space="preserve"> sobre la reducción de residuos en proyectos de construcción utilizando sistemas modulares. En su investigación compararon obras tradicionales con proyectos </w:t>
      </w:r>
      <w:r w:rsidR="007C5967" w:rsidRPr="00734D3B">
        <w:t xml:space="preserve">con niveles </w:t>
      </w:r>
      <w:r w:rsidR="00D46239" w:rsidRPr="00734D3B">
        <w:t>más</w:t>
      </w:r>
      <w:r w:rsidR="007C5967" w:rsidRPr="00734D3B">
        <w:t xml:space="preserve"> alto de </w:t>
      </w:r>
      <w:r w:rsidR="00D46239" w:rsidRPr="00734D3B">
        <w:t xml:space="preserve">partes </w:t>
      </w:r>
      <w:r w:rsidRPr="00734D3B">
        <w:t>prefabricad</w:t>
      </w:r>
      <w:r w:rsidR="00D46239" w:rsidRPr="00734D3B">
        <w:t>a</w:t>
      </w:r>
      <w:r w:rsidRPr="00734D3B">
        <w:t xml:space="preserve">s y </w:t>
      </w:r>
      <w:r w:rsidR="00D46239" w:rsidRPr="00734D3B">
        <w:t>expusieron</w:t>
      </w:r>
      <w:r w:rsidRPr="00734D3B">
        <w:t xml:space="preserve"> que los sistemas modulares pueden reducir, en promedio, un 47 % de los residuos y aumentar en un 30 % la eficiencia en el uso de materiales. Aunque el estudio </w:t>
      </w:r>
      <w:r w:rsidR="00D46239" w:rsidRPr="00734D3B">
        <w:t>fue realizado</w:t>
      </w:r>
      <w:r w:rsidRPr="00734D3B">
        <w:t xml:space="preserve"> </w:t>
      </w:r>
      <w:r w:rsidR="00D46239" w:rsidRPr="00734D3B">
        <w:t xml:space="preserve">para construcción de </w:t>
      </w:r>
      <w:r w:rsidRPr="00734D3B">
        <w:t>edificios residenciales,</w:t>
      </w:r>
      <w:r w:rsidR="00D46239" w:rsidRPr="00734D3B">
        <w:t xml:space="preserve"> en </w:t>
      </w:r>
      <w:r w:rsidR="00647738" w:rsidRPr="00734D3B">
        <w:t>los centros</w:t>
      </w:r>
      <w:r w:rsidR="00D46239" w:rsidRPr="00734D3B">
        <w:t xml:space="preserve"> de datos por </w:t>
      </w:r>
      <w:r w:rsidR="00960AF9" w:rsidRPr="00734D3B">
        <w:t xml:space="preserve">los tiempos tan </w:t>
      </w:r>
      <w:r w:rsidR="00960AF9" w:rsidRPr="00734D3B">
        <w:lastRenderedPageBreak/>
        <w:t xml:space="preserve">reducidos de desarrollo, cada vez más se están </w:t>
      </w:r>
      <w:r w:rsidR="00072950" w:rsidRPr="00734D3B">
        <w:t>promoviendo</w:t>
      </w:r>
      <w:r w:rsidR="00647738" w:rsidRPr="00734D3B">
        <w:t xml:space="preserve"> el uso de piezas modulares</w:t>
      </w:r>
      <w:r w:rsidR="00072950" w:rsidRPr="00734D3B">
        <w:t xml:space="preserve"> o</w:t>
      </w:r>
      <w:r w:rsidR="00647738" w:rsidRPr="00734D3B">
        <w:t xml:space="preserve"> prefabricadas</w:t>
      </w:r>
      <w:r w:rsidR="00F13C84" w:rsidRPr="00734D3B">
        <w:t xml:space="preserve"> ayudando así </w:t>
      </w:r>
      <w:r w:rsidRPr="00734D3B">
        <w:t>a disminuir los desperdicios y optimizar los recursos.</w:t>
      </w:r>
    </w:p>
    <w:p w14:paraId="2899CD8B" w14:textId="48FDA012" w:rsidR="00F822F3" w:rsidRPr="00734D3B" w:rsidRDefault="00694542" w:rsidP="00D7259E">
      <w:r w:rsidRPr="00734D3B">
        <w:t xml:space="preserve">Por otro lado, el organismo </w:t>
      </w:r>
      <w:proofErr w:type="spellStart"/>
      <w:r w:rsidRPr="00734D3B">
        <w:t>CalRecycle</w:t>
      </w:r>
      <w:proofErr w:type="spellEnd"/>
      <w:r w:rsidRPr="00734D3B">
        <w:t xml:space="preserve"> (2023) del estado de California creó una guía para el manejo de residuos de construcción y demolición. </w:t>
      </w:r>
      <w:r w:rsidR="00430B27" w:rsidRPr="00734D3B">
        <w:t>Para generar el</w:t>
      </w:r>
      <w:r w:rsidRPr="00734D3B">
        <w:t xml:space="preserve"> estudio se analizaron los datos de las ciudades que obtuvieron mejores resultados en reciclaje y se establecieron metas </w:t>
      </w:r>
      <w:r w:rsidR="00430B27" w:rsidRPr="00734D3B">
        <w:t xml:space="preserve">altas </w:t>
      </w:r>
      <w:r w:rsidRPr="00734D3B">
        <w:t>de aprovechamiento</w:t>
      </w:r>
      <w:r w:rsidR="00430B27" w:rsidRPr="00734D3B">
        <w:t xml:space="preserve"> de los residuos. Adicionalmente</w:t>
      </w:r>
      <w:r w:rsidRPr="00734D3B">
        <w:t xml:space="preserve">, se promovió </w:t>
      </w:r>
      <w:r w:rsidR="00430B27" w:rsidRPr="00734D3B">
        <w:t>una</w:t>
      </w:r>
      <w:r w:rsidRPr="00734D3B">
        <w:t xml:space="preserve"> colaboración</w:t>
      </w:r>
      <w:r w:rsidR="00430B27" w:rsidRPr="00734D3B">
        <w:t xml:space="preserve"> conjunta</w:t>
      </w:r>
      <w:r w:rsidRPr="00734D3B">
        <w:t xml:space="preserve"> entre contratistas, gobiernos y recicladores. </w:t>
      </w:r>
      <w:r w:rsidR="005F3E56" w:rsidRPr="00734D3B">
        <w:t>Siguiendo</w:t>
      </w:r>
      <w:r w:rsidR="00430B27" w:rsidRPr="00734D3B">
        <w:t xml:space="preserve"> </w:t>
      </w:r>
      <w:r w:rsidR="00EE6546" w:rsidRPr="00734D3B">
        <w:t>este</w:t>
      </w:r>
      <w:r w:rsidRPr="00734D3B">
        <w:t xml:space="preserve"> ejemplo</w:t>
      </w:r>
      <w:r w:rsidR="005F3E56" w:rsidRPr="00734D3B">
        <w:t>,</w:t>
      </w:r>
      <w:r w:rsidRPr="00734D3B">
        <w:t xml:space="preserve"> </w:t>
      </w:r>
      <w:r w:rsidR="00F822F3" w:rsidRPr="00734D3B">
        <w:t xml:space="preserve">en Arizona </w:t>
      </w:r>
      <w:r w:rsidR="006E0F27" w:rsidRPr="00734D3B">
        <w:t xml:space="preserve">también podrían aplicarse </w:t>
      </w:r>
      <w:r w:rsidR="00F822F3" w:rsidRPr="00734D3B">
        <w:t>políticas que incluyan incentivos</w:t>
      </w:r>
      <w:r w:rsidR="00F0013F" w:rsidRPr="00734D3B">
        <w:t xml:space="preserve">, </w:t>
      </w:r>
      <w:r w:rsidR="00F822F3" w:rsidRPr="00734D3B">
        <w:t>una mejor supervisión</w:t>
      </w:r>
      <w:r w:rsidR="00F0013F" w:rsidRPr="00734D3B">
        <w:t xml:space="preserve">, así como </w:t>
      </w:r>
      <w:r w:rsidR="006E0F27" w:rsidRPr="00734D3B">
        <w:t xml:space="preserve">un </w:t>
      </w:r>
      <w:r w:rsidR="00F0013F" w:rsidRPr="00734D3B">
        <w:t>impulso al trabaj</w:t>
      </w:r>
      <w:r w:rsidR="006E0F27" w:rsidRPr="00734D3B">
        <w:t>o</w:t>
      </w:r>
      <w:r w:rsidR="00F0013F" w:rsidRPr="00734D3B">
        <w:t xml:space="preserve"> en conjunto </w:t>
      </w:r>
      <w:r w:rsidR="00055C78" w:rsidRPr="00734D3B">
        <w:t>entre</w:t>
      </w:r>
      <w:r w:rsidR="00F0013F" w:rsidRPr="00734D3B">
        <w:t xml:space="preserve"> </w:t>
      </w:r>
      <w:r w:rsidR="006E0F27" w:rsidRPr="00734D3B">
        <w:t xml:space="preserve">el sector </w:t>
      </w:r>
      <w:r w:rsidR="00F0013F" w:rsidRPr="00734D3B">
        <w:t>público</w:t>
      </w:r>
      <w:r w:rsidR="006E0F27" w:rsidRPr="00734D3B">
        <w:t xml:space="preserve"> y </w:t>
      </w:r>
      <w:r w:rsidR="00F0013F" w:rsidRPr="00734D3B">
        <w:t>privad</w:t>
      </w:r>
      <w:r w:rsidR="006E0F27" w:rsidRPr="00734D3B">
        <w:t>o</w:t>
      </w:r>
      <w:r w:rsidR="009376A1" w:rsidRPr="00734D3B">
        <w:t>.</w:t>
      </w:r>
    </w:p>
    <w:p w14:paraId="00171BC9" w14:textId="41C8BCDB" w:rsidR="009376A1" w:rsidRPr="00734D3B" w:rsidRDefault="00CD31AE" w:rsidP="00D7259E">
      <w:r w:rsidRPr="00734D3B">
        <w:t xml:space="preserve">A nivel empresarial, las grandes compañías tecnológicas, conocidas como </w:t>
      </w:r>
      <w:proofErr w:type="spellStart"/>
      <w:r w:rsidRPr="00734D3B">
        <w:t>hyperscale</w:t>
      </w:r>
      <w:proofErr w:type="spellEnd"/>
      <w:r w:rsidRPr="00734D3B">
        <w:t>, también han desarrollado importantes investigaciones sobre sostenibilidad.</w:t>
      </w:r>
      <w:r w:rsidR="00A7167A" w:rsidRPr="00734D3B">
        <w:t xml:space="preserve"> </w:t>
      </w:r>
      <w:r w:rsidRPr="00734D3B">
        <w:t>Por ejemplo</w:t>
      </w:r>
      <w:r w:rsidR="00A7167A" w:rsidRPr="00734D3B">
        <w:t xml:space="preserve">, Meta </w:t>
      </w:r>
      <w:proofErr w:type="spellStart"/>
      <w:r w:rsidR="00A7167A" w:rsidRPr="00734D3B">
        <w:t>Platforms</w:t>
      </w:r>
      <w:proofErr w:type="spellEnd"/>
      <w:r w:rsidR="00A7167A" w:rsidRPr="00734D3B">
        <w:t xml:space="preserve"> (2025) publicó un Informe de Sostenibilidad, donde </w:t>
      </w:r>
      <w:r w:rsidRPr="00734D3B">
        <w:t>comunicó</w:t>
      </w:r>
      <w:r w:rsidR="00A7167A" w:rsidRPr="00734D3B">
        <w:t xml:space="preserve"> que logró reutilizar el 91 % de los residuos generados durante la construcción de sus centros de datos. Para lograr estos resultados, la compañía </w:t>
      </w:r>
      <w:r w:rsidR="00116C90" w:rsidRPr="00734D3B">
        <w:t xml:space="preserve">fortaleció </w:t>
      </w:r>
      <w:r w:rsidR="007323B3" w:rsidRPr="00734D3B">
        <w:t xml:space="preserve">el monitoreo </w:t>
      </w:r>
      <w:r w:rsidR="00AA7BA9" w:rsidRPr="00734D3B">
        <w:t xml:space="preserve">de sus proyectos de construcción, </w:t>
      </w:r>
      <w:r w:rsidR="007323B3" w:rsidRPr="00734D3B">
        <w:t xml:space="preserve">por </w:t>
      </w:r>
      <w:r w:rsidR="00846899" w:rsidRPr="00734D3B">
        <w:t>medio de auditorías</w:t>
      </w:r>
      <w:r w:rsidR="00116C90" w:rsidRPr="00734D3B">
        <w:t xml:space="preserve"> ambientales</w:t>
      </w:r>
      <w:r w:rsidR="007323B3" w:rsidRPr="00734D3B">
        <w:t xml:space="preserve"> y ajusto sus procesos </w:t>
      </w:r>
      <w:r w:rsidR="008250AD" w:rsidRPr="00734D3B">
        <w:t xml:space="preserve">internos </w:t>
      </w:r>
      <w:r w:rsidR="007323B3" w:rsidRPr="00734D3B">
        <w:t xml:space="preserve">para exigir los mismos </w:t>
      </w:r>
      <w:r w:rsidR="00AA7BA9" w:rsidRPr="00734D3B">
        <w:t>niveles</w:t>
      </w:r>
      <w:r w:rsidR="007323B3" w:rsidRPr="00734D3B">
        <w:t xml:space="preserve"> de compromiso ambiental a sus </w:t>
      </w:r>
      <w:r w:rsidR="006F44B0" w:rsidRPr="00734D3B">
        <w:t xml:space="preserve">proveedores. En </w:t>
      </w:r>
      <w:r w:rsidR="00746918" w:rsidRPr="00734D3B">
        <w:t>la</w:t>
      </w:r>
      <w:r w:rsidR="006F44B0" w:rsidRPr="00734D3B">
        <w:t xml:space="preserve"> misma </w:t>
      </w:r>
      <w:r w:rsidR="00746918" w:rsidRPr="00734D3B">
        <w:t>línea</w:t>
      </w:r>
      <w:r w:rsidR="00A7167A" w:rsidRPr="00734D3B">
        <w:t xml:space="preserve">, Google (2025) presentó sus propias estrategias de sostenibilidad en la construcción y operación de </w:t>
      </w:r>
      <w:r w:rsidR="00746918" w:rsidRPr="00734D3B">
        <w:t>sus centros de datos</w:t>
      </w:r>
      <w:r w:rsidR="00A7167A" w:rsidRPr="00734D3B">
        <w:t xml:space="preserve">, destacando </w:t>
      </w:r>
      <w:r w:rsidR="008F0E3E" w:rsidRPr="00734D3B">
        <w:t xml:space="preserve">cambios importantes en el </w:t>
      </w:r>
      <w:r w:rsidR="00A7167A" w:rsidRPr="00734D3B">
        <w:t xml:space="preserve">uso de materiales reciclados, </w:t>
      </w:r>
      <w:r w:rsidR="008F0E3E" w:rsidRPr="00734D3B">
        <w:t>nuevos</w:t>
      </w:r>
      <w:r w:rsidR="00A7167A" w:rsidRPr="00734D3B">
        <w:t xml:space="preserve"> acuerdos con contratistas locales y la aplicación de principios de economía circular. Estas acciones </w:t>
      </w:r>
      <w:r w:rsidR="00746918" w:rsidRPr="00734D3B">
        <w:t>deben servir</w:t>
      </w:r>
      <w:r w:rsidR="00A7167A" w:rsidRPr="00734D3B">
        <w:t xml:space="preserve"> de ejemplo y </w:t>
      </w:r>
      <w:r w:rsidR="00746918" w:rsidRPr="00734D3B">
        <w:t>hasta motivación para</w:t>
      </w:r>
      <w:r w:rsidR="00A7167A" w:rsidRPr="00734D3B">
        <w:t xml:space="preserve"> </w:t>
      </w:r>
      <w:r w:rsidR="00746918" w:rsidRPr="00734D3B">
        <w:t>los</w:t>
      </w:r>
      <w:r w:rsidR="00A7167A" w:rsidRPr="00734D3B">
        <w:t xml:space="preserve"> contratistas eléctricos medianos o pequeños </w:t>
      </w:r>
      <w:r w:rsidR="00846899" w:rsidRPr="00734D3B">
        <w:t>para</w:t>
      </w:r>
      <w:r w:rsidR="00A7167A" w:rsidRPr="00734D3B">
        <w:t xml:space="preserve"> adoptar prácticas más responsables y sostenibles.</w:t>
      </w:r>
    </w:p>
    <w:p w14:paraId="31294DAC" w14:textId="0DE5E989" w:rsidR="002C0957" w:rsidRPr="00734D3B" w:rsidRDefault="00697215" w:rsidP="00D7259E">
      <w:r w:rsidRPr="00734D3B">
        <w:t>L</w:t>
      </w:r>
      <w:r w:rsidR="0080242D" w:rsidRPr="00734D3B">
        <w:t>os estudios revisados coinciden</w:t>
      </w:r>
      <w:r w:rsidRPr="00734D3B">
        <w:t xml:space="preserve"> principalmente</w:t>
      </w:r>
      <w:r w:rsidR="0080242D" w:rsidRPr="00734D3B">
        <w:t xml:space="preserve"> en tres aspectos: la importancia de tener reglas claras, la capacitación del personal y una cultura organizacional que apoye el cuidado del ambiente. También </w:t>
      </w:r>
      <w:r w:rsidR="008C53DE" w:rsidRPr="00734D3B">
        <w:t>queda en evidencia</w:t>
      </w:r>
      <w:r w:rsidR="0080242D" w:rsidRPr="00734D3B">
        <w:t xml:space="preserve"> </w:t>
      </w:r>
      <w:r w:rsidR="008C53DE" w:rsidRPr="00734D3B">
        <w:t>la utilidad de</w:t>
      </w:r>
      <w:r w:rsidR="0080242D" w:rsidRPr="00734D3B">
        <w:t xml:space="preserve"> combinar la medición del impacto ambiental con el análisis del comportamiento de las empresas. Estas ideas </w:t>
      </w:r>
      <w:r w:rsidR="008C53DE" w:rsidRPr="00734D3B">
        <w:t>deben</w:t>
      </w:r>
      <w:r w:rsidR="0080242D" w:rsidRPr="00734D3B">
        <w:t xml:space="preserve"> </w:t>
      </w:r>
      <w:r w:rsidR="0080242D" w:rsidRPr="00734D3B">
        <w:lastRenderedPageBreak/>
        <w:t xml:space="preserve">aplicarse en </w:t>
      </w:r>
      <w:r w:rsidR="008C53DE" w:rsidRPr="00734D3B">
        <w:t>el desarrollo del</w:t>
      </w:r>
      <w:r w:rsidR="0080242D" w:rsidRPr="00734D3B">
        <w:t xml:space="preserve"> PFG, </w:t>
      </w:r>
      <w:r w:rsidR="008C53DE" w:rsidRPr="00734D3B">
        <w:t>para</w:t>
      </w:r>
      <w:r w:rsidR="0080242D" w:rsidRPr="00734D3B">
        <w:t xml:space="preserve"> crear </w:t>
      </w:r>
      <w:r w:rsidR="008C53DE" w:rsidRPr="00734D3B">
        <w:t xml:space="preserve">así </w:t>
      </w:r>
      <w:r w:rsidR="0080242D" w:rsidRPr="00734D3B">
        <w:t xml:space="preserve">indicadores ambientales </w:t>
      </w:r>
      <w:r w:rsidR="00E41A4E" w:rsidRPr="00734D3B">
        <w:t>que permitan comprar con las</w:t>
      </w:r>
      <w:r w:rsidR="0080242D" w:rsidRPr="00734D3B">
        <w:t xml:space="preserve"> buenas prácticas internacionales.</w:t>
      </w:r>
    </w:p>
    <w:p w14:paraId="13DEFE4E" w14:textId="497C4556" w:rsidR="00595D4D" w:rsidRPr="00734D3B" w:rsidRDefault="00595D4D" w:rsidP="00D7259E">
      <w:r w:rsidRPr="00734D3B">
        <w:t xml:space="preserve">En conclusión, </w:t>
      </w:r>
      <w:r w:rsidR="00F05F8C" w:rsidRPr="00734D3B">
        <w:t xml:space="preserve">el análisis de </w:t>
      </w:r>
      <w:r w:rsidR="00CD5FF3" w:rsidRPr="00734D3B">
        <w:t>los</w:t>
      </w:r>
      <w:r w:rsidR="00F05F8C" w:rsidRPr="00734D3B">
        <w:t xml:space="preserve"> estudios mencionados demuestra</w:t>
      </w:r>
      <w:r w:rsidRPr="00734D3B">
        <w:t xml:space="preserve"> que la gestión sostenible de residuos en la construcción, y en especial en los proyectos eléctricos, sigue siendo un tema actual que necesita mejor</w:t>
      </w:r>
      <w:r w:rsidR="00F05F8C" w:rsidRPr="00734D3B">
        <w:t xml:space="preserve">ar </w:t>
      </w:r>
      <w:r w:rsidR="00CD5FF3" w:rsidRPr="00734D3B">
        <w:t>ampliamente</w:t>
      </w:r>
      <w:r w:rsidRPr="00734D3B">
        <w:t xml:space="preserve"> en la práctica. </w:t>
      </w:r>
      <w:r w:rsidR="00CD5FF3" w:rsidRPr="00734D3B">
        <w:t>Existen</w:t>
      </w:r>
      <w:r w:rsidRPr="00734D3B">
        <w:t xml:space="preserve"> vacíos y muchas oportunidades para mejorar los métodos y adaptarlos a las condiciones locales</w:t>
      </w:r>
      <w:r w:rsidR="00CD5FF3" w:rsidRPr="00734D3B">
        <w:t>, siendo este unos de los principales objetivos del PFG</w:t>
      </w:r>
      <w:r w:rsidR="00590AD6" w:rsidRPr="00734D3B">
        <w:t>;</w:t>
      </w:r>
      <w:r w:rsidR="00CD5FF3" w:rsidRPr="00734D3B">
        <w:t xml:space="preserve"> </w:t>
      </w:r>
      <w:r w:rsidRPr="00734D3B">
        <w:t xml:space="preserve">aprovechar esos aportes para crear una guía práctica que </w:t>
      </w:r>
      <w:r w:rsidR="00CD5FF3" w:rsidRPr="00734D3B">
        <w:t>convierta</w:t>
      </w:r>
      <w:r w:rsidRPr="00734D3B">
        <w:t xml:space="preserve"> los conceptos de sostenibilidad en acciones simples, medibles y adaptadas a la realidad de los contratistas eléctricos en Arizona</w:t>
      </w:r>
      <w:r w:rsidR="00CD5FF3" w:rsidRPr="00734D3B">
        <w:t xml:space="preserve">, </w:t>
      </w:r>
      <w:r w:rsidR="004268ED" w:rsidRPr="00734D3B">
        <w:t>EE. UU.</w:t>
      </w:r>
      <w:r w:rsidR="00CD5FF3" w:rsidRPr="00734D3B">
        <w:t xml:space="preserve"> </w:t>
      </w:r>
    </w:p>
    <w:p w14:paraId="11DFD3E6" w14:textId="57476183" w:rsidR="00264EEB" w:rsidRPr="00734D3B" w:rsidRDefault="00264EEB" w:rsidP="00504522">
      <w:pPr>
        <w:pStyle w:val="Heading3"/>
      </w:pPr>
      <w:bookmarkStart w:id="207" w:name="_Toc227936394"/>
      <w:r w:rsidRPr="00734D3B">
        <w:t>Otra</w:t>
      </w:r>
      <w:r w:rsidR="000005B7" w:rsidRPr="00734D3B">
        <w:t>s</w:t>
      </w:r>
      <w:r w:rsidRPr="00734D3B">
        <w:t xml:space="preserve"> teoría</w:t>
      </w:r>
      <w:r w:rsidR="000005B7" w:rsidRPr="00734D3B">
        <w:t>s o buenas prácticas</w:t>
      </w:r>
      <w:r w:rsidRPr="00734D3B">
        <w:t xml:space="preserve"> relacionada</w:t>
      </w:r>
      <w:r w:rsidR="000005B7" w:rsidRPr="00734D3B">
        <w:t>s</w:t>
      </w:r>
      <w:r w:rsidRPr="00734D3B">
        <w:t xml:space="preserve"> con el tema en estudio</w:t>
      </w:r>
      <w:bookmarkEnd w:id="207"/>
    </w:p>
    <w:p w14:paraId="52D0E416" w14:textId="1BF39383" w:rsidR="00264EEB" w:rsidRPr="00734D3B" w:rsidRDefault="000005B7" w:rsidP="00D725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lang w:val="es-MX" w:eastAsia="es-MX"/>
        </w:rPr>
      </w:pPr>
      <w:r w:rsidRPr="00734D3B">
        <w:rPr>
          <w:rFonts w:cs="Arial"/>
          <w:szCs w:val="22"/>
          <w:lang w:val="es-MX" w:eastAsia="es-MX"/>
        </w:rPr>
        <w:tab/>
      </w:r>
      <w:r w:rsidR="00D00D7D" w:rsidRPr="00734D3B">
        <w:rPr>
          <w:rFonts w:cs="Arial"/>
          <w:szCs w:val="22"/>
          <w:lang w:eastAsia="es-MX"/>
        </w:rPr>
        <w:t xml:space="preserve">En este apartado se ahonda en algunas teorías y enfoques que ayudan a dar una base más sólida al proyecto. Se presentan tres modelos importantes que </w:t>
      </w:r>
      <w:r w:rsidR="00D96C67" w:rsidRPr="00734D3B">
        <w:rPr>
          <w:rFonts w:cs="Arial"/>
          <w:szCs w:val="22"/>
          <w:lang w:eastAsia="es-MX"/>
        </w:rPr>
        <w:t>pueden orientar</w:t>
      </w:r>
      <w:r w:rsidR="00D00D7D" w:rsidRPr="00734D3B">
        <w:rPr>
          <w:rFonts w:cs="Arial"/>
          <w:szCs w:val="22"/>
          <w:lang w:eastAsia="es-MX"/>
        </w:rPr>
        <w:t xml:space="preserve"> la sostenibilidad en la gestión de proyectos y en la construcción</w:t>
      </w:r>
      <w:r w:rsidR="006D34B5" w:rsidRPr="00734D3B">
        <w:rPr>
          <w:rFonts w:cs="Arial"/>
          <w:szCs w:val="22"/>
          <w:lang w:eastAsia="es-MX"/>
        </w:rPr>
        <w:t xml:space="preserve"> eléctrica</w:t>
      </w:r>
      <w:r w:rsidR="00D00D7D" w:rsidRPr="00734D3B">
        <w:rPr>
          <w:rFonts w:cs="Arial"/>
          <w:szCs w:val="22"/>
          <w:lang w:eastAsia="es-MX"/>
        </w:rPr>
        <w:t>: el Desarrollo Regenerativo, el Modelo P5 de la GPM y la Economía Circular. Cada uno de estos modelos ofrece ideas y ejemplos que pueden aplicarse al manejo de los residuos eléctricos y a la creación de la guía metodológica para los contratistas eléctricos que trabajan en centros de datos en Arizona</w:t>
      </w:r>
      <w:r w:rsidR="006D34B5" w:rsidRPr="00734D3B">
        <w:rPr>
          <w:rFonts w:cs="Arial"/>
          <w:szCs w:val="22"/>
          <w:lang w:eastAsia="es-MX"/>
        </w:rPr>
        <w:t>, EE. UU.</w:t>
      </w:r>
    </w:p>
    <w:p w14:paraId="331B0CCE" w14:textId="5771A328" w:rsidR="00264EEB" w:rsidRPr="00734D3B" w:rsidRDefault="00ED6CDD" w:rsidP="008D7D41">
      <w:pPr>
        <w:pStyle w:val="Heading4"/>
      </w:pPr>
      <w:bookmarkStart w:id="208" w:name="_Toc227936395"/>
      <w:r w:rsidRPr="00734D3B">
        <w:t>Teoría del Desarrollo Regenerativo</w:t>
      </w:r>
      <w:bookmarkEnd w:id="208"/>
    </w:p>
    <w:p w14:paraId="57F587CE" w14:textId="3A6DC643" w:rsidR="00763C6B" w:rsidRPr="00734D3B" w:rsidRDefault="00763C6B" w:rsidP="00D7259E">
      <w:r w:rsidRPr="00734D3B">
        <w:t xml:space="preserve">El Desarrollo Regenerativo surge como un </w:t>
      </w:r>
      <w:r w:rsidR="00720968" w:rsidRPr="00734D3B">
        <w:t>avance</w:t>
      </w:r>
      <w:r w:rsidRPr="00734D3B">
        <w:t xml:space="preserve"> de la sostenibilidad </w:t>
      </w:r>
      <w:r w:rsidR="00720968" w:rsidRPr="00734D3B">
        <w:t>tradicional, mientras</w:t>
      </w:r>
      <w:r w:rsidRPr="00734D3B">
        <w:t xml:space="preserve"> la sostenibilidad busca reducir los impactos negativos de las actividades humanas, el enfoque regenerativo propone restaurar y mejorar los sistemas naturales y sociales que se ven afectados por los proyectos. En otras palabras, no se trata solo de “hacer menos daño”, sino de devolver al ambiente más de lo que se toma de él (Mang y Reed, 2020).</w:t>
      </w:r>
    </w:p>
    <w:p w14:paraId="0167CF38" w14:textId="502BDA38" w:rsidR="00763C6B" w:rsidRPr="00734D3B" w:rsidRDefault="00763C6B" w:rsidP="00D7259E">
      <w:r w:rsidRPr="00734D3B">
        <w:t xml:space="preserve">El término “regenerativo” se hizo conocido gracias a John Tillman Lyle (1994), quien explicó que las ciudades, los edificios y las infraestructuras deben funcionar como sistemas </w:t>
      </w:r>
      <w:r w:rsidRPr="00734D3B">
        <w:lastRenderedPageBreak/>
        <w:t xml:space="preserve">vivos, capaces de regenerar energía, materiales y relaciones sociales. Más adelante, Reed y du Plessis (2015) ampliaron esta idea al campo de la gestión de proyectos, señalando que los proyectos </w:t>
      </w:r>
      <w:r w:rsidR="008B7FCE" w:rsidRPr="00734D3B">
        <w:t>deben comportarse como</w:t>
      </w:r>
      <w:r w:rsidRPr="00734D3B">
        <w:t xml:space="preserve"> agentes de cambio positivo, capaces de fortalecer tanto el entorno natural como </w:t>
      </w:r>
      <w:r w:rsidR="00E95EFE" w:rsidRPr="00734D3B">
        <w:t xml:space="preserve">en </w:t>
      </w:r>
      <w:r w:rsidRPr="00734D3B">
        <w:t>las comunidades donde se desarrollan.</w:t>
      </w:r>
    </w:p>
    <w:p w14:paraId="0685419B" w14:textId="77777777" w:rsidR="00763C6B" w:rsidRPr="00734D3B" w:rsidRDefault="00763C6B" w:rsidP="00D7259E">
      <w:r w:rsidRPr="00734D3B">
        <w:t>Según Mang y Reed (2020), el desarrollo regenerativo se basa en cinco principios:</w:t>
      </w:r>
    </w:p>
    <w:p w14:paraId="41329BDF" w14:textId="77777777" w:rsidR="00763C6B" w:rsidRPr="00734D3B" w:rsidRDefault="00763C6B" w:rsidP="001D692F">
      <w:pPr>
        <w:numPr>
          <w:ilvl w:val="0"/>
          <w:numId w:val="9"/>
        </w:numPr>
      </w:pPr>
      <w:r w:rsidRPr="00734D3B">
        <w:t>Pensamiento sistémico, que reconoce que todo está conectado (ambiente, sociedad y economía).</w:t>
      </w:r>
    </w:p>
    <w:p w14:paraId="4D9280B4" w14:textId="77777777" w:rsidR="00763C6B" w:rsidRPr="00734D3B" w:rsidRDefault="00763C6B" w:rsidP="001D692F">
      <w:pPr>
        <w:numPr>
          <w:ilvl w:val="0"/>
          <w:numId w:val="9"/>
        </w:numPr>
      </w:pPr>
      <w:r w:rsidRPr="00734D3B">
        <w:t>Coevolución, que busca que los proyectos crezcan y se adapten junto con su entorno.</w:t>
      </w:r>
    </w:p>
    <w:p w14:paraId="086046F2" w14:textId="77777777" w:rsidR="00763C6B" w:rsidRPr="00734D3B" w:rsidRDefault="00763C6B" w:rsidP="001D692F">
      <w:pPr>
        <w:numPr>
          <w:ilvl w:val="0"/>
          <w:numId w:val="9"/>
        </w:numPr>
      </w:pPr>
      <w:r w:rsidRPr="00734D3B">
        <w:t>Capacidad de carga, que promueve no superar los límites ecológicos del planeta.</w:t>
      </w:r>
    </w:p>
    <w:p w14:paraId="708E6550" w14:textId="5296D901" w:rsidR="00763C6B" w:rsidRPr="00734D3B" w:rsidRDefault="00763C6B" w:rsidP="001D692F">
      <w:pPr>
        <w:numPr>
          <w:ilvl w:val="0"/>
          <w:numId w:val="9"/>
        </w:numPr>
      </w:pPr>
      <w:proofErr w:type="gramStart"/>
      <w:r w:rsidRPr="00734D3B">
        <w:t>Participación activa</w:t>
      </w:r>
      <w:proofErr w:type="gramEnd"/>
      <w:r w:rsidRPr="00734D3B">
        <w:t xml:space="preserve">, donde las personas y comunidades se involucran </w:t>
      </w:r>
      <w:r w:rsidR="008A67D0" w:rsidRPr="00734D3B">
        <w:t xml:space="preserve">activamente en la toma </w:t>
      </w:r>
      <w:r w:rsidRPr="00734D3B">
        <w:t>decisiones.</w:t>
      </w:r>
    </w:p>
    <w:p w14:paraId="21D19F22" w14:textId="380EAA24" w:rsidR="00763C6B" w:rsidRPr="00734D3B" w:rsidRDefault="00763C6B" w:rsidP="001D692F">
      <w:pPr>
        <w:numPr>
          <w:ilvl w:val="0"/>
          <w:numId w:val="9"/>
        </w:numPr>
      </w:pPr>
      <w:r w:rsidRPr="00734D3B">
        <w:t>Aprendizaje continuo, que fomenta mejorar</w:t>
      </w:r>
      <w:r w:rsidR="005F6EB1" w:rsidRPr="00734D3B">
        <w:t xml:space="preserve"> continuamente</w:t>
      </w:r>
      <w:r w:rsidRPr="00734D3B">
        <w:t xml:space="preserve"> y </w:t>
      </w:r>
      <w:r w:rsidR="005F6EB1" w:rsidRPr="00734D3B">
        <w:t>aprender de las</w:t>
      </w:r>
      <w:r w:rsidRPr="00734D3B">
        <w:t xml:space="preserve"> experiencias a largo plazo.</w:t>
      </w:r>
    </w:p>
    <w:p w14:paraId="01D29294" w14:textId="56965DD4" w:rsidR="00763C6B" w:rsidRPr="00734D3B" w:rsidRDefault="00763C6B" w:rsidP="00D7259E">
      <w:r w:rsidRPr="00734D3B">
        <w:t>En el campo de la construcción</w:t>
      </w:r>
      <w:r w:rsidR="00DC2469" w:rsidRPr="00734D3B">
        <w:t xml:space="preserve"> eléctrica</w:t>
      </w:r>
      <w:r w:rsidRPr="00734D3B">
        <w:t xml:space="preserve">, este enfoque </w:t>
      </w:r>
      <w:r w:rsidR="00D308B0" w:rsidRPr="00734D3B">
        <w:t xml:space="preserve">lo que </w:t>
      </w:r>
      <w:r w:rsidRPr="00734D3B">
        <w:t>busca</w:t>
      </w:r>
      <w:r w:rsidR="00D308B0" w:rsidRPr="00734D3B">
        <w:t xml:space="preserve"> es</w:t>
      </w:r>
      <w:r w:rsidRPr="00734D3B">
        <w:t xml:space="preserve"> que los proyectos </w:t>
      </w:r>
      <w:r w:rsidR="00D308B0" w:rsidRPr="00734D3B">
        <w:t>tengan aportes</w:t>
      </w:r>
      <w:r w:rsidRPr="00734D3B">
        <w:t xml:space="preserve"> beneficiosos para el ambiente y la sociedad. Según Cole (2012), pasar de la sostenibilidad al desarrollo regenerativo implica integrar la ética ecológica en todas las etapas del proyecto, desde el diseño hasta el cierre. Esto incluye usar materiales reciclados, reducir el consumo de energía y promover el empleo </w:t>
      </w:r>
      <w:r w:rsidR="00711F12" w:rsidRPr="00734D3B">
        <w:t>local,</w:t>
      </w:r>
      <w:r w:rsidRPr="00734D3B">
        <w:t xml:space="preserve"> </w:t>
      </w:r>
      <w:r w:rsidR="00D308B0" w:rsidRPr="00734D3B">
        <w:t>así como</w:t>
      </w:r>
      <w:r w:rsidRPr="00734D3B">
        <w:t xml:space="preserve"> la educación ambiental.</w:t>
      </w:r>
    </w:p>
    <w:p w14:paraId="064DE63A" w14:textId="6256E788" w:rsidR="00763C6B" w:rsidRPr="00734D3B" w:rsidRDefault="00763C6B" w:rsidP="00D7259E">
      <w:r w:rsidRPr="00734D3B">
        <w:t xml:space="preserve">En los proyectos de data centers en Estados Unidos, este enfoque tiene gran importancia por la alta demanda de energía y materiales eléctricos. Los sistemas eléctricos usan mucho cobre, aluminio, acero y plástico, que pueden causar un fuerte impacto ambiental si no se manejan correctamente (Núñez, 2025). </w:t>
      </w:r>
      <w:r w:rsidR="00584550" w:rsidRPr="00734D3B">
        <w:t>Siguiendo</w:t>
      </w:r>
      <w:r w:rsidRPr="00734D3B">
        <w:t xml:space="preserve"> un enfoque regenerativo, el contratista eléctrico no solo cumple las normas ambientales, sino que también busca mejorar</w:t>
      </w:r>
      <w:r w:rsidR="00584550" w:rsidRPr="00734D3B">
        <w:t xml:space="preserve"> y aportar a</w:t>
      </w:r>
      <w:r w:rsidRPr="00734D3B">
        <w:t xml:space="preserve"> su entorno, creando alianzas con recicladores locales, reutilizando materiales y apoyando programas educativos o comunitarios.</w:t>
      </w:r>
    </w:p>
    <w:p w14:paraId="7585E3DC" w14:textId="77777777" w:rsidR="00763C6B" w:rsidRPr="00734D3B" w:rsidRDefault="00763C6B" w:rsidP="00D7259E">
      <w:r w:rsidRPr="00734D3B">
        <w:lastRenderedPageBreak/>
        <w:t>El desarrollo regenerativo puede aplicarse en tres niveles:</w:t>
      </w:r>
    </w:p>
    <w:p w14:paraId="2C8366E0" w14:textId="77777777" w:rsidR="00763C6B" w:rsidRPr="00734D3B" w:rsidRDefault="00763C6B" w:rsidP="001D692F">
      <w:pPr>
        <w:numPr>
          <w:ilvl w:val="0"/>
          <w:numId w:val="10"/>
        </w:numPr>
      </w:pPr>
      <w:r w:rsidRPr="00734D3B">
        <w:t>Ecológico: diseñar planes de manejo que aprovechen al máximo los materiales y eviten desperdicios.</w:t>
      </w:r>
    </w:p>
    <w:p w14:paraId="480E6296" w14:textId="77777777" w:rsidR="00763C6B" w:rsidRPr="00734D3B" w:rsidRDefault="00763C6B" w:rsidP="001D692F">
      <w:pPr>
        <w:numPr>
          <w:ilvl w:val="0"/>
          <w:numId w:val="10"/>
        </w:numPr>
      </w:pPr>
      <w:r w:rsidRPr="00734D3B">
        <w:t>Organizacional: crear una cultura empresarial basada en la innovación, la reducción de residuos y la colaboración.</w:t>
      </w:r>
    </w:p>
    <w:p w14:paraId="6AE8EBB5" w14:textId="77777777" w:rsidR="00763C6B" w:rsidRPr="00734D3B" w:rsidRDefault="00763C6B" w:rsidP="001D692F">
      <w:pPr>
        <w:numPr>
          <w:ilvl w:val="0"/>
          <w:numId w:val="10"/>
        </w:numPr>
      </w:pPr>
      <w:r w:rsidRPr="00734D3B">
        <w:t>Social: participar en programas de reciclaje o actividades que promuevan la conciencia ambiental entre los trabajadores.</w:t>
      </w:r>
    </w:p>
    <w:p w14:paraId="04A76915" w14:textId="58A9A11F" w:rsidR="00763C6B" w:rsidRPr="00734D3B" w:rsidRDefault="00763C6B" w:rsidP="00D7259E">
      <w:r w:rsidRPr="00734D3B">
        <w:t xml:space="preserve">De acuerdo con </w:t>
      </w:r>
      <w:r w:rsidR="008A4A1E" w:rsidRPr="00734D3B">
        <w:t xml:space="preserve">Núñez (2025). </w:t>
      </w:r>
      <w:r w:rsidRPr="00734D3B">
        <w:t>este enfoque invita a pasar de un pensamiento lineal a uno sistémico. Esto significa que los contratistas deben pensar en las consecuencias de cada decisión. Por ejemplo, elegir proveedores locales no solo reduce emisiones de transporte, sino que también apoya la economía regional y mejora la resiliencia de la cadena de suministro.</w:t>
      </w:r>
    </w:p>
    <w:p w14:paraId="2576F484" w14:textId="7FEFD6C9" w:rsidR="00763C6B" w:rsidRPr="00734D3B" w:rsidRDefault="00763C6B" w:rsidP="00D7259E">
      <w:r w:rsidRPr="00734D3B">
        <w:t xml:space="preserve">Existen varios casos reales que muestran los beneficios del enfoque regenerativo. En Canadá, el programa </w:t>
      </w:r>
      <w:proofErr w:type="gramStart"/>
      <w:r w:rsidRPr="00734D3B">
        <w:rPr>
          <w:i/>
          <w:iCs/>
        </w:rPr>
        <w:t>Living</w:t>
      </w:r>
      <w:proofErr w:type="gramEnd"/>
      <w:r w:rsidRPr="00734D3B">
        <w:rPr>
          <w:i/>
          <w:iCs/>
        </w:rPr>
        <w:t xml:space="preserve"> Building </w:t>
      </w:r>
      <w:proofErr w:type="spellStart"/>
      <w:r w:rsidRPr="00734D3B">
        <w:rPr>
          <w:i/>
          <w:iCs/>
        </w:rPr>
        <w:t>Challenge</w:t>
      </w:r>
      <w:proofErr w:type="spellEnd"/>
      <w:r w:rsidRPr="00734D3B">
        <w:t xml:space="preserve"> (International </w:t>
      </w:r>
      <w:proofErr w:type="gramStart"/>
      <w:r w:rsidRPr="00734D3B">
        <w:t>Living</w:t>
      </w:r>
      <w:proofErr w:type="gramEnd"/>
      <w:r w:rsidRPr="00734D3B">
        <w:t xml:space="preserve"> Future Institute, 2021) promueve edificios que producen más energía de la que consumen, recolectan agua de lluvia y usan materiales reciclables. En Costa Rica, proyectos como el Parque Viva y el Campus TEC Cartago aplican modelos similares para restaurar la biodiversidad y educar a las comunidades. Estos ejemplos demuestran que la regeneración es posible en cualquier tipo de proyecto cuando hay voluntad de l</w:t>
      </w:r>
      <w:r w:rsidR="00035882" w:rsidRPr="00734D3B">
        <w:t>as partes involucradas</w:t>
      </w:r>
      <w:r w:rsidRPr="00734D3B">
        <w:t>.</w:t>
      </w:r>
    </w:p>
    <w:p w14:paraId="21DFC0A5" w14:textId="77777777" w:rsidR="0073664B" w:rsidRPr="00734D3B" w:rsidRDefault="0073664B" w:rsidP="002711AB">
      <w:pPr>
        <w:pStyle w:val="Heading4"/>
      </w:pPr>
      <w:bookmarkStart w:id="209" w:name="_Toc227936396"/>
      <w:r w:rsidRPr="00734D3B">
        <w:t>Enfoque P5 de sostenibilidad en la gestión de proyectos</w:t>
      </w:r>
      <w:bookmarkEnd w:id="209"/>
    </w:p>
    <w:p w14:paraId="4516EB84" w14:textId="13731A83" w:rsidR="00810626" w:rsidRPr="00734D3B" w:rsidRDefault="003D4725" w:rsidP="003D4725">
      <w:r w:rsidRPr="00734D3B">
        <w:t xml:space="preserve">El modelo P5 para la sostenibilidad en la gestión de proyectos es una guía gratuita creada por la organización Green Project Management, conocida por impulsar el trabajo responsable con el ambiente en los proyectos. Esta guía se puede consultar en su página web oficial, donde también se encuentran otras herramientas como el análisis de impacto P5 y la certificación GPM-b. </w:t>
      </w:r>
      <w:r w:rsidR="00810626" w:rsidRPr="00734D3B">
        <w:t xml:space="preserve">Entre </w:t>
      </w:r>
      <w:r w:rsidR="00E456F3" w:rsidRPr="00734D3B">
        <w:t>los</w:t>
      </w:r>
      <w:r w:rsidR="00810626" w:rsidRPr="00734D3B">
        <w:t xml:space="preserve"> materiales</w:t>
      </w:r>
      <w:r w:rsidRPr="00734D3B">
        <w:t xml:space="preserve"> </w:t>
      </w:r>
      <w:r w:rsidR="00810626" w:rsidRPr="00734D3B">
        <w:t xml:space="preserve">útiles se </w:t>
      </w:r>
      <w:r w:rsidRPr="00734D3B">
        <w:t xml:space="preserve">incluyen ejemplos, tablas y pasos fáciles de seguir para aplicar el modelo en diferentes tipos de proyectos. </w:t>
      </w:r>
    </w:p>
    <w:p w14:paraId="0E73CD0A" w14:textId="7D019494" w:rsidR="00E31625" w:rsidRPr="00734D3B" w:rsidRDefault="003D4725" w:rsidP="00810626">
      <w:r w:rsidRPr="00734D3B">
        <w:lastRenderedPageBreak/>
        <w:t xml:space="preserve">Gracias a que es una guía abierta y fácil de adaptar, </w:t>
      </w:r>
      <w:r w:rsidR="007C4545" w:rsidRPr="00734D3B">
        <w:t xml:space="preserve">muchas empresas de construcción, tecnología y energía </w:t>
      </w:r>
      <w:r w:rsidRPr="00734D3B">
        <w:t xml:space="preserve">la han usado, convirtiéndola en una referencia importante para trabajar de forma sostenible y </w:t>
      </w:r>
      <w:r w:rsidR="00810626" w:rsidRPr="00734D3B">
        <w:t>responsable</w:t>
      </w:r>
      <w:r w:rsidR="00EE0D25" w:rsidRPr="00734D3B">
        <w:t xml:space="preserve">. En la actualidad, </w:t>
      </w:r>
      <w:r w:rsidR="00E31625" w:rsidRPr="00734D3B">
        <w:t>es una de las metodologías más utilizadas cuando se trata de incluir la sostenibilidad dentro de la gestión de proyectos. Esta guía, actualizada en 2021, amplía la forma tradicional de medir el éxito de un proyecto</w:t>
      </w:r>
      <w:r w:rsidR="00990B21" w:rsidRPr="00734D3B">
        <w:t xml:space="preserve">, al no solo </w:t>
      </w:r>
      <w:r w:rsidR="00E31625" w:rsidRPr="00734D3B">
        <w:t>enfoca</w:t>
      </w:r>
      <w:r w:rsidR="003D248B" w:rsidRPr="00734D3B">
        <w:t>rse</w:t>
      </w:r>
      <w:r w:rsidR="00E31625" w:rsidRPr="00734D3B">
        <w:t xml:space="preserve"> en cumplir con el tiempo, el costo y el alcance, sino que también </w:t>
      </w:r>
      <w:r w:rsidR="003D248B" w:rsidRPr="00734D3B">
        <w:t>en buscar</w:t>
      </w:r>
      <w:r w:rsidR="00E31625" w:rsidRPr="00734D3B">
        <w:t xml:space="preserve"> equilibrar cinco aspectos clave: las personas (People), el planeta (Planet), la prosperidad económica (Prosperity), los procesos (</w:t>
      </w:r>
      <w:proofErr w:type="spellStart"/>
      <w:r w:rsidR="00E31625" w:rsidRPr="00734D3B">
        <w:t>Processes</w:t>
      </w:r>
      <w:proofErr w:type="spellEnd"/>
      <w:r w:rsidR="00E31625" w:rsidRPr="00734D3B">
        <w:t>) y los productos (</w:t>
      </w:r>
      <w:proofErr w:type="spellStart"/>
      <w:r w:rsidR="00E31625" w:rsidRPr="00734D3B">
        <w:t>Products</w:t>
      </w:r>
      <w:proofErr w:type="spellEnd"/>
      <w:r w:rsidR="00E31625" w:rsidRPr="00734D3B">
        <w:t>) (GPM Global, 2021).</w:t>
      </w:r>
    </w:p>
    <w:p w14:paraId="0B8DAC1D" w14:textId="0F4C93EF" w:rsidR="00E31625" w:rsidRPr="00734D3B" w:rsidRDefault="00E31625" w:rsidP="00E31625">
      <w:r w:rsidRPr="00734D3B">
        <w:t xml:space="preserve">De esta manera, el modelo P5 propone que cada decisión dentro de un proyecto debe generar valor sostenible y reducir los impactos negativos en su entorno. Según Silvius y Schipper (2014), esto significa que el director del proyecto debe </w:t>
      </w:r>
      <w:r w:rsidR="00FC49D4" w:rsidRPr="00734D3B">
        <w:t>enfocarse</w:t>
      </w:r>
      <w:r w:rsidRPr="00734D3B">
        <w:t xml:space="preserve"> no solo en cumplir con las tareas y </w:t>
      </w:r>
      <w:r w:rsidR="003D248B" w:rsidRPr="00734D3B">
        <w:t>objetivos</w:t>
      </w:r>
      <w:r w:rsidRPr="00734D3B">
        <w:t xml:space="preserve"> técnicas, sino también en</w:t>
      </w:r>
      <w:r w:rsidR="00FC49D4" w:rsidRPr="00734D3B">
        <w:t xml:space="preserve"> pensar</w:t>
      </w:r>
      <w:r w:rsidRPr="00734D3B">
        <w:t xml:space="preserve"> cómo su trabajo aporta al bienestar de </w:t>
      </w:r>
      <w:r w:rsidR="00FC49D4" w:rsidRPr="00734D3B">
        <w:t>otras</w:t>
      </w:r>
      <w:r w:rsidRPr="00734D3B">
        <w:t xml:space="preserve"> personas y del medio ambiente. En resumen, la sostenibilidad deja de ser un requisito adicional y pasa a ser una parte esencial de </w:t>
      </w:r>
      <w:r w:rsidR="006A6009" w:rsidRPr="00734D3B">
        <w:t>todas las etapas</w:t>
      </w:r>
      <w:r w:rsidR="00A26F37" w:rsidRPr="00734D3B">
        <w:t xml:space="preserve"> </w:t>
      </w:r>
      <w:r w:rsidRPr="00734D3B">
        <w:t>del proyecto, desde su planificación hasta el cierre y entrega de resultados.</w:t>
      </w:r>
    </w:p>
    <w:p w14:paraId="13A3E1C1" w14:textId="6DCE64B4" w:rsidR="0073664B" w:rsidRPr="00734D3B" w:rsidRDefault="006A6009" w:rsidP="0073664B">
      <w:r w:rsidRPr="00734D3B">
        <w:t>En términos generales, el enfoque P5 representa una nueva forma de ver los proyectos. Ya no se enfoca solo en los aspectos técnicos, sino también en los valores y en la responsabilidad social. Su mayor ventaja es que permite integrar la sostenibilidad en las actividades diarias de planificación, ejecución y control, mostrando cómo las decisiones de un proyecto pueden tener efectos más allá de la empresa.</w:t>
      </w:r>
    </w:p>
    <w:p w14:paraId="66F6E627" w14:textId="0ADF82A7" w:rsidR="006A6009" w:rsidRPr="00734D3B" w:rsidRDefault="003759D9" w:rsidP="003759D9">
      <w:pPr>
        <w:tabs>
          <w:tab w:val="left" w:pos="1680"/>
        </w:tabs>
      </w:pPr>
      <w:r w:rsidRPr="00734D3B">
        <w:t xml:space="preserve">Este modelo no solo se usa en proyectos industriales o de tecnología, sino que puede aplicarse en cualquier tipo de trabajo que busque un equilibrio entre generar ganancias, cuidar el ambiente y ayudar a las personas. Como es un modelo flexible y fácil de aplicar, el P5 es una herramienta muy útil para trabajar de forma más responsable. Además, ayuda a las empresas a </w:t>
      </w:r>
      <w:r w:rsidRPr="00734D3B">
        <w:lastRenderedPageBreak/>
        <w:t>seguir los Objetivos de Desarrollo Sostenible (ODS) y a cumplir con las nuevas exigencias de cuidar el medio ambiente y la sociedad.</w:t>
      </w:r>
    </w:p>
    <w:p w14:paraId="11C71570" w14:textId="5D8A3150" w:rsidR="003759D9" w:rsidRPr="00734D3B" w:rsidRDefault="00BC4211" w:rsidP="003759D9">
      <w:pPr>
        <w:tabs>
          <w:tab w:val="left" w:pos="1680"/>
        </w:tabs>
      </w:pPr>
      <w:r w:rsidRPr="00734D3B">
        <w:t>En los proyectos eléctricos de centros de datos, el modelo P5 ayuda a medir qué tan sostenibles son las operaciones usando distintos indicadores. Por ejemplo, en la parte del planeta, se puede revisar cuánta energía usan los equipos, cómo se manejan los desechos eléctricos y si se están reduciendo las emisiones por transporte o materiales. En la parte de las personas, se analizan temas como la seguridad de los trabajadores, las condiciones en el lugar de trabajo y si reciben capacitación en temas de sostenibilidad. En la parte de prosperidad, se toman en cuenta los beneficios económicos, como contratar trabajadores locales o ahorrar dinero al reciclar materiales eléctricos (GPM Global, 2021).</w:t>
      </w:r>
    </w:p>
    <w:p w14:paraId="32AEB94F" w14:textId="7D8C6684" w:rsidR="00744FB0" w:rsidRPr="00734D3B" w:rsidRDefault="00BC1511" w:rsidP="003759D9">
      <w:pPr>
        <w:tabs>
          <w:tab w:val="left" w:pos="1680"/>
        </w:tabs>
      </w:pPr>
      <w:r w:rsidRPr="00734D3B">
        <w:t xml:space="preserve">Del mismo modo, las partes de procesos y productos ayudan a mejorar la eficiencia del trabajo eléctrico. La parte de procesos busca revisar y mejorar la forma en que se realizan las </w:t>
      </w:r>
      <w:r w:rsidR="007D4C26" w:rsidRPr="00734D3B">
        <w:t>operaciones en el sitio de trabajo</w:t>
      </w:r>
      <w:r w:rsidRPr="00734D3B">
        <w:t xml:space="preserve">, promoviendo métodos más ordenados para evitar errores, repeticiones y desperdicio de materiales. La parte de productos se enfoca en todo el ciclo de vida de los sistemas eléctricos instalados, como los tableros, cables o bandejas, procurando que se diseñen, fabriquen e instalen con materiales duraderos, eficientes y que puedan reciclarse. Esta forma de trabajo hace que el modelo P5 sea una herramienta útil para los contratistas eléctricos que quieren </w:t>
      </w:r>
      <w:r w:rsidR="00E94414" w:rsidRPr="00734D3B">
        <w:t>diferenciarse</w:t>
      </w:r>
      <w:r w:rsidRPr="00734D3B">
        <w:t xml:space="preserve"> en un mercado </w:t>
      </w:r>
      <w:r w:rsidR="00E94414" w:rsidRPr="00734D3B">
        <w:t xml:space="preserve">cada vez con </w:t>
      </w:r>
      <w:r w:rsidRPr="00734D3B">
        <w:t>mayores exigencias ambientales.</w:t>
      </w:r>
    </w:p>
    <w:p w14:paraId="73969CAC" w14:textId="5049DF63" w:rsidR="003759D9" w:rsidRPr="00734D3B" w:rsidRDefault="00406793" w:rsidP="003759D9">
      <w:pPr>
        <w:tabs>
          <w:tab w:val="left" w:pos="1680"/>
        </w:tabs>
      </w:pPr>
      <w:r w:rsidRPr="00734D3B">
        <w:t xml:space="preserve">En resumen, el modelo P5 es una guía práctica y ética que ayuda a que los proyectos eléctricos se realicen de forma más responsable y sostenible. Su aplicación en la industria de los centros de datos en Arizona permite reducir el daño al ambiente, mejorar la eficiencia del trabajo y fortalecer la imagen de las empresas que aplican buenas prácticas ambientales. De esta manera, el modelo P5 no solo ayuda a hacer bien el trabajo técnico, sino que también </w:t>
      </w:r>
      <w:r w:rsidRPr="00734D3B">
        <w:lastRenderedPageBreak/>
        <w:t xml:space="preserve">impulsa </w:t>
      </w:r>
      <w:r w:rsidR="00AB532F" w:rsidRPr="00734D3B">
        <w:t>a generar un</w:t>
      </w:r>
      <w:r w:rsidRPr="00734D3B">
        <w:t xml:space="preserve"> cambio positivo en la forma de gestionar los proyectos, buscando crear beneficios duraderos para las personas y su entorno.</w:t>
      </w:r>
    </w:p>
    <w:p w14:paraId="24B3DA60" w14:textId="36078F10" w:rsidR="00097E35" w:rsidRPr="00734D3B" w:rsidRDefault="00361C8A" w:rsidP="002711AB">
      <w:pPr>
        <w:pStyle w:val="Heading4"/>
      </w:pPr>
      <w:bookmarkStart w:id="210" w:name="_Toc227936397"/>
      <w:r w:rsidRPr="00734D3B">
        <w:t>Economía Circular en la Construcción</w:t>
      </w:r>
      <w:bookmarkEnd w:id="210"/>
    </w:p>
    <w:p w14:paraId="462816CA" w14:textId="4320C2FA" w:rsidR="00364235" w:rsidRPr="00734D3B" w:rsidRDefault="00364235" w:rsidP="00840AE4">
      <w:pPr>
        <w:ind w:firstLine="706"/>
        <w:contextualSpacing/>
      </w:pPr>
      <w:r w:rsidRPr="00734D3B">
        <w:rPr>
          <w:b/>
          <w:bCs/>
        </w:rPr>
        <w:t xml:space="preserve"> </w:t>
      </w:r>
      <w:r w:rsidR="00840AE4" w:rsidRPr="00734D3B">
        <w:t xml:space="preserve">La Economía Circular </w:t>
      </w:r>
      <w:r w:rsidR="00351ECF" w:rsidRPr="00734D3B">
        <w:t xml:space="preserve">(EC) </w:t>
      </w:r>
      <w:r w:rsidR="00840AE4" w:rsidRPr="00734D3B">
        <w:t xml:space="preserve">es una forma diferente de producir y consumir que busca aprovechar mejor los recursos y reducir los desechos. A diferencia del modelo tradicional, donde se extrae, fabrica, usa y luego se desecha, este enfoque propone volver a usar, reparar y reciclar los materiales para que duren más tiempo. Según la Fundación Ellen MacArthur (2020), la idea principal es que el crecimiento económico no dependa del uso excesivo de recursos naturales, sino de la eficiencia, la innovación y el cuidado del ambiente. En la práctica, esto significa cambiar la manera en que se diseñan y manejan los proyectos, para crear valor </w:t>
      </w:r>
      <w:r w:rsidR="004A6749" w:rsidRPr="00734D3B">
        <w:t>económico,</w:t>
      </w:r>
      <w:r w:rsidR="001250F1" w:rsidRPr="00734D3B">
        <w:t xml:space="preserve"> pero </w:t>
      </w:r>
      <w:r w:rsidR="00840AE4" w:rsidRPr="00734D3B">
        <w:t>sin dañar el entorno.</w:t>
      </w:r>
    </w:p>
    <w:p w14:paraId="6E9C478B" w14:textId="50CAEEA6" w:rsidR="000E76D9" w:rsidRPr="00734D3B" w:rsidRDefault="000E76D9" w:rsidP="00840AE4">
      <w:pPr>
        <w:ind w:firstLine="706"/>
        <w:contextualSpacing/>
      </w:pPr>
      <w:r w:rsidRPr="00734D3B">
        <w:t>A diferencia del modelo tradicional, donde se usan los materiales y luego se desechan, la economía circular propone que los materiales se</w:t>
      </w:r>
      <w:r w:rsidR="000B34C2" w:rsidRPr="00734D3B">
        <w:t xml:space="preserve"> les pueda extender su uso</w:t>
      </w:r>
      <w:r w:rsidRPr="00734D3B">
        <w:t xml:space="preserve">, evitando el desperdicio y reduciendo la necesidad de extraer nuevos recursos. </w:t>
      </w:r>
      <w:r w:rsidR="000B34C2" w:rsidRPr="00734D3B">
        <w:t xml:space="preserve">El enfoque </w:t>
      </w:r>
      <w:r w:rsidR="00A769EA" w:rsidRPr="00734D3B">
        <w:t>está</w:t>
      </w:r>
      <w:r w:rsidR="000B34C2" w:rsidRPr="00734D3B">
        <w:t xml:space="preserve"> basado</w:t>
      </w:r>
      <w:r w:rsidRPr="00734D3B">
        <w:t xml:space="preserve"> en tres ideas principales: cuidar la naturaleza, usar mejor los materiales y hacer que los procesos sean más eficientes. Esto se logra </w:t>
      </w:r>
      <w:r w:rsidR="00EF4AA7" w:rsidRPr="00734D3B">
        <w:t xml:space="preserve">en la etapa de diseño, al </w:t>
      </w:r>
      <w:r w:rsidR="00520F2D" w:rsidRPr="00734D3B">
        <w:t>desarrollar</w:t>
      </w:r>
      <w:r w:rsidRPr="00734D3B">
        <w:t xml:space="preserve"> productos y métodos de trabajo que permitan reutilizar, reparar, reciclar o aprovechar los desechos como recursos para otras actividades. </w:t>
      </w:r>
      <w:r w:rsidR="00520F2D" w:rsidRPr="00734D3B">
        <w:t>Además, este modelo invita a que las empresas, los gobiernos y las personas trabajen juntos para construir una sociedad más responsable y sostenible</w:t>
      </w:r>
      <w:r w:rsidRPr="00734D3B">
        <w:t>.</w:t>
      </w:r>
    </w:p>
    <w:p w14:paraId="1A6A998A" w14:textId="0128BF66" w:rsidR="004A6749" w:rsidRPr="00734D3B" w:rsidRDefault="004A6749" w:rsidP="00840AE4">
      <w:pPr>
        <w:ind w:firstLine="706"/>
        <w:contextualSpacing/>
      </w:pPr>
      <w:r w:rsidRPr="00734D3B">
        <w:t>En la industria de la construcción</w:t>
      </w:r>
      <w:r w:rsidR="00E45A9B" w:rsidRPr="00734D3B">
        <w:t xml:space="preserve"> en </w:t>
      </w:r>
      <w:r w:rsidR="0017420F" w:rsidRPr="00734D3B">
        <w:t>general</w:t>
      </w:r>
      <w:r w:rsidRPr="00734D3B">
        <w:t xml:space="preserve">, la economía circular es una gran oportunidad para </w:t>
      </w:r>
      <w:r w:rsidR="00E45A9B" w:rsidRPr="00734D3B">
        <w:t>mejorar</w:t>
      </w:r>
      <w:r w:rsidRPr="00734D3B">
        <w:t xml:space="preserve"> la forma en que se usan los materiales y se manejan los desechos. Según el Programa de las Naciones Unidas para el Medio Ambiente (2022), este sector utiliza más del 35 % de los materiales del mundo y produce cerca del 40 % de las emisiones de dióxido de carbono por el uso de energía. Para reducir estos impactos, la economía circular </w:t>
      </w:r>
      <w:r w:rsidRPr="00734D3B">
        <w:lastRenderedPageBreak/>
        <w:t xml:space="preserve">propone ideas como </w:t>
      </w:r>
      <w:r w:rsidR="00046C06" w:rsidRPr="00734D3B">
        <w:t>apostar</w:t>
      </w:r>
      <w:r w:rsidRPr="00734D3B">
        <w:t xml:space="preserve"> </w:t>
      </w:r>
      <w:r w:rsidR="00714BC1" w:rsidRPr="00734D3B">
        <w:t>por</w:t>
      </w:r>
      <w:r w:rsidRPr="00734D3B">
        <w:t xml:space="preserve"> </w:t>
      </w:r>
      <w:r w:rsidR="00046C06" w:rsidRPr="00734D3B">
        <w:t>la construcción</w:t>
      </w:r>
      <w:r w:rsidRPr="00734D3B">
        <w:t xml:space="preserve"> modula</w:t>
      </w:r>
      <w:r w:rsidR="00046C06" w:rsidRPr="00734D3B">
        <w:t>r</w:t>
      </w:r>
      <w:r w:rsidRPr="00734D3B">
        <w:t xml:space="preserve">, reutilizar materiales, reciclar los </w:t>
      </w:r>
      <w:r w:rsidR="00342FA0" w:rsidRPr="00734D3B">
        <w:t>desechos,</w:t>
      </w:r>
      <w:r w:rsidRPr="00734D3B">
        <w:t xml:space="preserve"> </w:t>
      </w:r>
      <w:r w:rsidR="00F525E2" w:rsidRPr="00734D3B">
        <w:t>así como,</w:t>
      </w:r>
      <w:r w:rsidRPr="00734D3B">
        <w:t xml:space="preserve"> crear cadenas de trabajo más sostenibles que cuiden mejor el ambiente.</w:t>
      </w:r>
    </w:p>
    <w:p w14:paraId="17845AD0" w14:textId="5AE6F39B" w:rsidR="00342FA0" w:rsidRPr="00734D3B" w:rsidRDefault="00342FA0" w:rsidP="00840AE4">
      <w:pPr>
        <w:ind w:firstLine="706"/>
        <w:contextualSpacing/>
        <w:rPr>
          <w:b/>
          <w:bCs/>
        </w:rPr>
      </w:pPr>
      <w:r w:rsidRPr="00734D3B">
        <w:t xml:space="preserve">En la construcción eléctrica de centros de datos, la economía circular es muy importante por el tamaño de los proyectos, la gran cantidad de materiales metálicos que se usan (como cobre y aluminio) y la necesidad de mantener el trabajo </w:t>
      </w:r>
      <w:r w:rsidR="00104951" w:rsidRPr="00734D3B">
        <w:t xml:space="preserve">terminado en el menor tiempo posible y </w:t>
      </w:r>
      <w:r w:rsidRPr="00734D3B">
        <w:t>sin interrupciones. Aplicar este enfoque permite a los contratistas aprovechar mejor los materiales desde la etapa de diseño, evitando compras innecesarias y manejando de forma responsable los sobrantes. Por ejemplo, el uso de piezas prefabricadas y kits eléctricos por área ayuda a realizar un trabajo más limpio y ordenado, reduciendo los desperdicios y mejorando el control de los materiales</w:t>
      </w:r>
      <w:r w:rsidRPr="00734D3B">
        <w:rPr>
          <w:b/>
          <w:bCs/>
        </w:rPr>
        <w:t>.</w:t>
      </w:r>
    </w:p>
    <w:p w14:paraId="4A5F9CC1" w14:textId="366C49D5" w:rsidR="00671D9A" w:rsidRPr="00734D3B" w:rsidRDefault="00671D9A" w:rsidP="00840AE4">
      <w:pPr>
        <w:ind w:firstLine="706"/>
        <w:contextualSpacing/>
      </w:pPr>
      <w:r w:rsidRPr="00734D3B">
        <w:t>La EC también impulsa la recuperación y valorización de los materiales</w:t>
      </w:r>
      <w:r w:rsidR="0019355D" w:rsidRPr="00734D3B">
        <w:t xml:space="preserve"> sobrantes</w:t>
      </w:r>
      <w:r w:rsidRPr="00734D3B">
        <w:t xml:space="preserve"> al final del ciclo de vida del proyecto</w:t>
      </w:r>
      <w:r w:rsidR="0019355D" w:rsidRPr="00734D3B">
        <w:t>.</w:t>
      </w:r>
      <w:r w:rsidR="000C3675" w:rsidRPr="00734D3B">
        <w:t xml:space="preserve"> </w:t>
      </w:r>
      <w:r w:rsidR="0019355D" w:rsidRPr="00734D3B">
        <w:t xml:space="preserve">Por ejemplo, los cables de cobre, los conductores de aluminio, las bandejas y los tubos metálicos pueden desmontarse, separarse y enviarse a empresas que los reciclan o los usan nuevamente en la fabricación. Esto ayuda a reducir la contaminación, ahorrar dinero y </w:t>
      </w:r>
      <w:r w:rsidR="000C3675" w:rsidRPr="00734D3B">
        <w:t>exponer</w:t>
      </w:r>
      <w:r w:rsidR="0019355D" w:rsidRPr="00734D3B">
        <w:t xml:space="preserve"> que la empresa trabaja de forma responsable con el ambiente.</w:t>
      </w:r>
    </w:p>
    <w:p w14:paraId="53A4D9A1" w14:textId="77AFED75" w:rsidR="006C5F40" w:rsidRPr="00734D3B" w:rsidRDefault="006C5F40" w:rsidP="00840AE4">
      <w:pPr>
        <w:ind w:firstLine="706"/>
        <w:contextualSpacing/>
      </w:pPr>
      <w:r w:rsidRPr="00734D3B">
        <w:t xml:space="preserve">El diseño circular también incita al uso eficiente de la energía y los materiales durante la fase de </w:t>
      </w:r>
      <w:r w:rsidR="00EA0255" w:rsidRPr="00734D3B">
        <w:t>construcción, se puede mencionar el uso de aplicaciones digitales que ayudan a cuantificar con más precisión la cantidad de materiales necesarios, registrar los inventarios y coordinar la reutilización de materiales entre diferentes proyectos, evitando compras innecesarias de productos que ya están disponibles en obra. También se fomenta el manejo adecuado de los empaques industriales, separando plásticos, cartones y madera para su reciclaje o reutilización. Todo esto contribuye a reducir la cantidad de desechos y a hacer que los proyectos sean más ordenados, sostenibles y rentables.</w:t>
      </w:r>
    </w:p>
    <w:p w14:paraId="0241F5A0" w14:textId="7CED0B8C" w:rsidR="00241D56" w:rsidRPr="00734D3B" w:rsidRDefault="00241D56" w:rsidP="00840AE4">
      <w:pPr>
        <w:ind w:firstLine="706"/>
        <w:contextualSpacing/>
      </w:pPr>
      <w:r w:rsidRPr="00734D3B">
        <w:lastRenderedPageBreak/>
        <w:t>Desde un punto de vista social y organizacional, la economía circular busca que exista una mayor colaboración entre contratistas, proveedores, clientes y autoridades ambientales. Este modelo necesita una buena coordinación entre todos los participantes del proceso, para que cada uno tenga un papel activo en la recuperación de materiales, la reducción de emisiones y la mejora de los procesos. En el caso de los contratistas eléctricos, aplicar este enfoque significa capacitar al personal en temas como la separación de residuos, el control del uso de materiales, el cumplimiento de normas ambientales y el manejo responsable de los productos eléctricos durante todo su ciclo de vida.</w:t>
      </w:r>
    </w:p>
    <w:p w14:paraId="180F5CF7" w14:textId="2C231725" w:rsidR="008F462F" w:rsidRPr="00734D3B" w:rsidRDefault="00771987" w:rsidP="00840AE4">
      <w:pPr>
        <w:ind w:firstLine="706"/>
        <w:contextualSpacing/>
      </w:pPr>
      <w:r w:rsidRPr="00734D3B">
        <w:t>La economía circular también se relaciona con los Objetivos de Desarrollo Sostenible (ODS)</w:t>
      </w:r>
      <w:r w:rsidR="00157384" w:rsidRPr="00734D3B">
        <w:t>, especialmente con el ODS 12 sobre producción y consumo responsables, y el ODS 9 relativo a la industria, la innovación y la infraestructura. Aplicar este modelo en los proyectos eléctricos de data centers contribuye a construir instalaciones más limpias, eficientes y resilientes, cumpliendo con las metas internacionales de reducción de emisiones y uso responsable de los recursos naturales (</w:t>
      </w:r>
      <w:proofErr w:type="spellStart"/>
      <w:r w:rsidR="00157384" w:rsidRPr="00734D3B">
        <w:t>United</w:t>
      </w:r>
      <w:proofErr w:type="spellEnd"/>
      <w:r w:rsidR="00157384" w:rsidRPr="00734D3B">
        <w:t xml:space="preserve"> Nations, 2023).</w:t>
      </w:r>
    </w:p>
    <w:p w14:paraId="43E9064D" w14:textId="277AD25F" w:rsidR="00432368" w:rsidRPr="00734D3B" w:rsidRDefault="00432368" w:rsidP="00840AE4">
      <w:pPr>
        <w:ind w:firstLine="706"/>
        <w:contextualSpacing/>
      </w:pPr>
      <w:r w:rsidRPr="00734D3B">
        <w:t xml:space="preserve">Como muchas otras </w:t>
      </w:r>
      <w:r w:rsidR="002D2D72" w:rsidRPr="00734D3B">
        <w:t>teorías, e</w:t>
      </w:r>
      <w:r w:rsidRPr="00734D3B">
        <w:t xml:space="preserve">l éxito de la economía circular en la construcción </w:t>
      </w:r>
      <w:r w:rsidR="002D2D72" w:rsidRPr="00734D3B">
        <w:t xml:space="preserve">va a </w:t>
      </w:r>
      <w:r w:rsidRPr="00734D3B">
        <w:t>depende</w:t>
      </w:r>
      <w:r w:rsidR="002D2D72" w:rsidRPr="00734D3B">
        <w:t>r</w:t>
      </w:r>
      <w:r w:rsidRPr="00734D3B">
        <w:t xml:space="preserve"> de tener indicadores claros que permitan medir su avance en lo ambiental, social y económico. Modelos como el P5 de Green Project Management y la certificación LEED del Consejo de Construcción Verde de Estados Unidos </w:t>
      </w:r>
      <w:r w:rsidR="009B2B0B" w:rsidRPr="00734D3B">
        <w:t xml:space="preserve">sirven </w:t>
      </w:r>
      <w:r w:rsidR="00430AFE" w:rsidRPr="00734D3B">
        <w:t>como</w:t>
      </w:r>
      <w:r w:rsidR="009B2B0B" w:rsidRPr="00734D3B">
        <w:t xml:space="preserve"> marcos complementarios para</w:t>
      </w:r>
      <w:r w:rsidRPr="00734D3B">
        <w:t xml:space="preserve"> evaluar estas estrategias </w:t>
      </w:r>
      <w:r w:rsidR="009B2B0B" w:rsidRPr="00734D3B">
        <w:t xml:space="preserve">y facilitar su implementación. </w:t>
      </w:r>
    </w:p>
    <w:p w14:paraId="4E762504" w14:textId="4DD0A7CE" w:rsidR="00304190" w:rsidRPr="00734D3B" w:rsidRDefault="00304190" w:rsidP="00840AE4">
      <w:pPr>
        <w:ind w:firstLine="706"/>
        <w:contextualSpacing/>
        <w:rPr>
          <w:b/>
          <w:bCs/>
        </w:rPr>
      </w:pPr>
      <w:r w:rsidRPr="00734D3B">
        <w:t>En conclusión, la economía circular es una base importante para hacer que los proyectos eléctricos sean más responsables, rentables y sostenibles. Su aplicación en los centros de datos ayuda a disminuir el impacto ambiental, impulsa la innovación y genera beneficios tanto para las empresas como para los trabajadores y las comunidades</w:t>
      </w:r>
      <w:r w:rsidR="001201E3" w:rsidRPr="00734D3B">
        <w:t>, garantizando que los recursos de hoy continúen siendo útiles para las generaciones futuras.</w:t>
      </w:r>
    </w:p>
    <w:p w14:paraId="310D2128" w14:textId="77777777" w:rsidR="00264EEB" w:rsidRPr="00734D3B" w:rsidRDefault="00264EEB" w:rsidP="002F7C3C">
      <w:pPr>
        <w:pStyle w:val="Heading1"/>
      </w:pPr>
      <w:bookmarkStart w:id="211" w:name="_Toc211465602"/>
      <w:bookmarkStart w:id="212" w:name="_Toc227936398"/>
      <w:r w:rsidRPr="00734D3B">
        <w:lastRenderedPageBreak/>
        <w:t>Marco metodológico</w:t>
      </w:r>
      <w:bookmarkEnd w:id="211"/>
      <w:bookmarkEnd w:id="212"/>
    </w:p>
    <w:p w14:paraId="6FFD5BD1" w14:textId="34427F46" w:rsidR="002C6A3A" w:rsidRPr="00734D3B" w:rsidRDefault="00584A70" w:rsidP="002C6A3A">
      <w:r w:rsidRPr="00734D3B">
        <w:t>El presente capítulo describe el enfoque metodológico utilizado para la elaboración del Trabajo Final de Graduación (TFG) titulado Guía metodológica de gestión sostenible para contratistas eléctricos en proyectos de data centers en Arizona, EE. UU.</w:t>
      </w:r>
      <w:r w:rsidR="00326A00" w:rsidRPr="00734D3B">
        <w:t xml:space="preserve"> Aquí se muestra el camino que se siguió para realizar la investigación de manera ordenada y clara, asegurando que los resultados sean útiles, confiables y fáciles de aplicar.</w:t>
      </w:r>
    </w:p>
    <w:p w14:paraId="5E1C64C5" w14:textId="6F35B369" w:rsidR="00326A00" w:rsidRPr="00734D3B" w:rsidRDefault="00B1294C" w:rsidP="002C6A3A">
      <w:r w:rsidRPr="00734D3B">
        <w:t>El marco metodológico es una parte muy importante del estudio, ya que define los pasos, métodos y herramientas usados para recoger, analizar y entender la información. Según Hernández-Sampieri, Fernández-Collado y Baptista (2022), la metodología proporciona el conjunto de pasos lógicos que orientan el estudio desde su formulación hasta la obtención de conclusiones verificables, permitiendo que los resultados puedan ser replicados y evaluados.</w:t>
      </w:r>
    </w:p>
    <w:p w14:paraId="5B1F928E" w14:textId="38FB9DF8" w:rsidR="001C3D96" w:rsidRPr="00734D3B" w:rsidRDefault="00CA602A" w:rsidP="002C6A3A">
      <w:r w:rsidRPr="00734D3B">
        <w:t>En este capítulo se detallan los enfoques y tipos de investigación aplicados, los métodos de recolección y análisis de datos, las herramientas técnicas utilizadas, los supuestos y restricciones considerados, y la descripción de los entregables obtenidos</w:t>
      </w:r>
      <w:r w:rsidR="0072471B" w:rsidRPr="00734D3B">
        <w:t>. El objetivo es mostrar con claridad cómo se desarrolló la investigación y cómo se relaciona con los objetivos planteados.</w:t>
      </w:r>
    </w:p>
    <w:p w14:paraId="5B809D5D" w14:textId="659A92A7" w:rsidR="00FE7638" w:rsidRPr="00734D3B" w:rsidRDefault="005423D0" w:rsidP="002C6A3A">
      <w:r w:rsidRPr="00734D3B">
        <w:t xml:space="preserve">El enfoque usado en este trabajo combina la parte técnica de la gestión de proyectos con los principios de sostenibilidad ambiental y social. Además, se basa en las buenas prácticas recomendadas por el </w:t>
      </w:r>
      <w:r w:rsidRPr="00734D3B">
        <w:rPr>
          <w:i/>
          <w:iCs/>
        </w:rPr>
        <w:t>Project Management Institute</w:t>
      </w:r>
      <w:r w:rsidRPr="00734D3B">
        <w:t xml:space="preserve"> (PMI, 2021), según lo establecido en su libro </w:t>
      </w:r>
      <w:r w:rsidRPr="00734D3B">
        <w:rPr>
          <w:i/>
          <w:iCs/>
        </w:rPr>
        <w:t xml:space="preserve">A Guide </w:t>
      </w:r>
      <w:proofErr w:type="spellStart"/>
      <w:r w:rsidRPr="00734D3B">
        <w:rPr>
          <w:i/>
          <w:iCs/>
        </w:rPr>
        <w:t>to</w:t>
      </w:r>
      <w:proofErr w:type="spellEnd"/>
      <w:r w:rsidRPr="00734D3B">
        <w:rPr>
          <w:i/>
          <w:iCs/>
        </w:rPr>
        <w:t xml:space="preserve"> </w:t>
      </w:r>
      <w:proofErr w:type="spellStart"/>
      <w:r w:rsidRPr="00734D3B">
        <w:rPr>
          <w:i/>
          <w:iCs/>
        </w:rPr>
        <w:t>the</w:t>
      </w:r>
      <w:proofErr w:type="spellEnd"/>
      <w:r w:rsidRPr="00734D3B">
        <w:rPr>
          <w:i/>
          <w:iCs/>
        </w:rPr>
        <w:t xml:space="preserve"> Project Management Body </w:t>
      </w:r>
      <w:proofErr w:type="spellStart"/>
      <w:r w:rsidRPr="00734D3B">
        <w:rPr>
          <w:i/>
          <w:iCs/>
        </w:rPr>
        <w:t>of</w:t>
      </w:r>
      <w:proofErr w:type="spellEnd"/>
      <w:r w:rsidRPr="00734D3B">
        <w:rPr>
          <w:i/>
          <w:iCs/>
        </w:rPr>
        <w:t xml:space="preserve"> Knowledge (PMBOK Guide) </w:t>
      </w:r>
      <w:proofErr w:type="spellStart"/>
      <w:r w:rsidRPr="00734D3B">
        <w:rPr>
          <w:i/>
          <w:iCs/>
        </w:rPr>
        <w:t>Seventh</w:t>
      </w:r>
      <w:proofErr w:type="spellEnd"/>
      <w:r w:rsidRPr="00734D3B">
        <w:rPr>
          <w:i/>
          <w:iCs/>
        </w:rPr>
        <w:t xml:space="preserve"> </w:t>
      </w:r>
      <w:proofErr w:type="spellStart"/>
      <w:r w:rsidRPr="00734D3B">
        <w:rPr>
          <w:i/>
          <w:iCs/>
        </w:rPr>
        <w:t>Edition</w:t>
      </w:r>
      <w:proofErr w:type="spellEnd"/>
      <w:r w:rsidRPr="00734D3B">
        <w:t xml:space="preserve">, y en el modelo de sostenibilidad propuesto por </w:t>
      </w:r>
      <w:r w:rsidRPr="00734D3B">
        <w:rPr>
          <w:i/>
          <w:iCs/>
        </w:rPr>
        <w:t>Green Project Management</w:t>
      </w:r>
      <w:r w:rsidRPr="00734D3B">
        <w:t xml:space="preserve"> (GPM Global, 2021). Gracias a esto, el marco metodológico no solo organiza la investigación, sino que también asegura que el trabajo tenga un valor académico sólido y sea relevante para la industria eléctrica de la construcción.</w:t>
      </w:r>
    </w:p>
    <w:p w14:paraId="451BE982" w14:textId="77777777" w:rsidR="00264EEB" w:rsidRPr="00734D3B" w:rsidRDefault="00264EEB" w:rsidP="002F7C3C">
      <w:pPr>
        <w:pStyle w:val="Heading2"/>
      </w:pPr>
      <w:bookmarkStart w:id="213" w:name="_Toc305353872"/>
      <w:bookmarkStart w:id="214" w:name="_Toc301889079"/>
      <w:bookmarkStart w:id="215" w:name="_Toc211465603"/>
      <w:bookmarkStart w:id="216" w:name="_Toc227936399"/>
      <w:r w:rsidRPr="00734D3B">
        <w:lastRenderedPageBreak/>
        <w:t>Fuentes de información</w:t>
      </w:r>
      <w:bookmarkEnd w:id="213"/>
      <w:bookmarkEnd w:id="214"/>
      <w:bookmarkEnd w:id="215"/>
      <w:bookmarkEnd w:id="216"/>
    </w:p>
    <w:p w14:paraId="1D354311" w14:textId="77777777" w:rsidR="000479A8" w:rsidRPr="00734D3B" w:rsidRDefault="001E4EDF" w:rsidP="00DF5CA4">
      <w:r w:rsidRPr="00734D3B">
        <w:t xml:space="preserve">Las fuentes de información fueron muy importantes para realizar esta investigación, ya que dieron los datos, antecedentes y bases necesarias para desarrollar el trabajo de forma </w:t>
      </w:r>
      <w:r w:rsidR="000479A8" w:rsidRPr="00734D3B">
        <w:t>coherente</w:t>
      </w:r>
      <w:r w:rsidRPr="00734D3B">
        <w:t xml:space="preserve"> y ordenada. Según Hernández-Sampieri, Fernández-Collado y Baptista (2022), las fuentes de información son todos los medios que el investigador usa para obtener conocimiento confiable sobre el tema que estudia. </w:t>
      </w:r>
      <w:r w:rsidR="000479A8" w:rsidRPr="00734D3B">
        <w:t>Por su parte, Bernal (2020) afirma que la validez de un trabajo académico depende en gran medida de la calidad y actualidad de las fuentes utilizadas, ya que estas garantizan la precisión, objetividad y rigor metodológico del estudio.</w:t>
      </w:r>
    </w:p>
    <w:p w14:paraId="2EDA6E6D" w14:textId="1183603E" w:rsidR="00DF5CA4" w:rsidRPr="00734D3B" w:rsidRDefault="001A4FBA" w:rsidP="00DF5CA4">
      <w:r w:rsidRPr="00734D3B">
        <w:t>De igual forma, Saunders, Lewis y Thornhill (2019) mencionan que elegir bien las fuentes ayuda a construir una base teórica fuerte, relacionar ideas y justificar las decisiones que se toman durante la investigación.</w:t>
      </w:r>
      <w:r w:rsidR="004E190B" w:rsidRPr="00734D3B">
        <w:t xml:space="preserve"> En este sentido, el proceso de selección y análisis de fuentes se consideró un componente crítico para mantener una relación lógica entre los objetivos, la metodología y las conclusiones.</w:t>
      </w:r>
    </w:p>
    <w:p w14:paraId="245E8EAD" w14:textId="6C02E5B4" w:rsidR="00171860" w:rsidRPr="00734D3B" w:rsidRDefault="00171860" w:rsidP="00DF5CA4">
      <w:r w:rsidRPr="00734D3B">
        <w:t>En este proyecto, las fuentes usadas sirvieron para apoyar la creación de una guía de gestión sostenible dirigida a contratistas eléctricos que trabajan en centros de datos. Se usaron documentos técnicos, leyes nacionales e internacionales, libros, artículos actualizados y reportes de instituciones como el Project Management Institute (PMI), Green Project Management (GPM Global) y la Agencia de Protección Ambiental de Estados Unidos (EPA), entre otros. Toda esta información permitió estudiar tanto la teoría de gestión de proyectos como las prácticas sostenibles aplicadas en el sector eléctrico y de la construcción.</w:t>
      </w:r>
    </w:p>
    <w:p w14:paraId="2705C449" w14:textId="77777777" w:rsidR="00E351D5" w:rsidRPr="00734D3B" w:rsidRDefault="00E351D5" w:rsidP="00E351D5">
      <w:r w:rsidRPr="00734D3B">
        <w:t>El uso ordenado y crítico de las fuentes fortaleció la parte teórica del trabajo, ayudó a construir argumentos sólidos y facilitó la creación de una guía práctica basada en evidencia. En resumen, las fuentes de información fueron la base que permitió unir el conocimiento académico con la realidad del sector, dando como resultado un documento aplicable, confiable y principalmente adaptado al contexto actual.</w:t>
      </w:r>
    </w:p>
    <w:p w14:paraId="7949999A" w14:textId="77777777" w:rsidR="00264EEB" w:rsidRPr="00734D3B" w:rsidRDefault="00264EEB" w:rsidP="00AA7B5F">
      <w:pPr>
        <w:pStyle w:val="Heading3"/>
      </w:pPr>
      <w:bookmarkStart w:id="217" w:name="_Toc301889080"/>
      <w:bookmarkStart w:id="218" w:name="_Toc227936400"/>
      <w:r w:rsidRPr="00734D3B">
        <w:lastRenderedPageBreak/>
        <w:t xml:space="preserve">Fuentes </w:t>
      </w:r>
      <w:bookmarkEnd w:id="217"/>
      <w:r w:rsidRPr="00734D3B">
        <w:t>primarias</w:t>
      </w:r>
      <w:bookmarkEnd w:id="218"/>
    </w:p>
    <w:p w14:paraId="2DEB3714" w14:textId="3FFB4282" w:rsidR="00337D4B" w:rsidRPr="00734D3B" w:rsidRDefault="004F3609" w:rsidP="00337D4B">
      <w:r w:rsidRPr="00734D3B">
        <w:t xml:space="preserve">Las fuentes primarias fueron la base principal de información para este trabajo, ya que contienen datos originales </w:t>
      </w:r>
      <w:r w:rsidR="00A05153" w:rsidRPr="00734D3B">
        <w:t xml:space="preserve">generados a partir de observaciones, experiencias o documentos oficiales </w:t>
      </w:r>
      <w:r w:rsidRPr="00734D3B">
        <w:t xml:space="preserve">que no han sido modificados por </w:t>
      </w:r>
      <w:r w:rsidR="00A05153" w:rsidRPr="00734D3B">
        <w:t>terceras</w:t>
      </w:r>
      <w:r w:rsidRPr="00734D3B">
        <w:t xml:space="preserve"> personas. Según Hernández-Sampieri, Fernández-Collado y Baptista (2022), este tipo de fuentes incluye toda la información directa, como resultados de investigaciones, entrevistas, informes técnicos o documentos oficiales que muestran los hechos tal y como ocurrieron. Bernal (2020) también explica que las fuentes primarias son muy importantes porque permiten acceder al conocimiento original, lo que da más confianza y precisión a los resultados del estudio.</w:t>
      </w:r>
    </w:p>
    <w:p w14:paraId="111FA7A1" w14:textId="1F154C1E" w:rsidR="00B03C27" w:rsidRPr="00734D3B" w:rsidRDefault="00A54428" w:rsidP="00337D4B">
      <w:r w:rsidRPr="00734D3B">
        <w:t>En este trabajo, las fuentes primarias fueron clave porque ofrecieron información clara y actual sobre la gestión sostenible en proyectos eléctricos de centros de datos en Estados Unidos</w:t>
      </w:r>
      <w:r w:rsidR="00B03C27" w:rsidRPr="00734D3B">
        <w:t>. Estas fuentes facilitaron el análisis de las prácticas actuales aplicadas por contratistas eléctricos, el cumplimiento de las normativas ambientales y los procesos de manejo de residuos generados durante la construcción.</w:t>
      </w:r>
    </w:p>
    <w:p w14:paraId="3544D1B7" w14:textId="77777777" w:rsidR="00A509FE" w:rsidRPr="00734D3B" w:rsidRDefault="00FD14FB" w:rsidP="0051139C">
      <w:r w:rsidRPr="00734D3B">
        <w:t xml:space="preserve">Entre las principales fuentes primarias utilizadas se incluyeron encuestas aplicadas a contratistas eléctricos activos en Arizona, Nevada y Texas, con el propósito de obtener información de primera mano sobre las estrategias actuales de gestión ambiental, eficiencia energética y reducción de residuos implementadas en obras de centros de datos. </w:t>
      </w:r>
      <w:r w:rsidR="00A509FE" w:rsidRPr="00734D3B">
        <w:t xml:space="preserve">Los resultados de estas encuestas ofrecieron datos reales sobre el nivel de conocimiento, las dificultades que enfrentan y las oportunidades de mejora que los profesionales del sector identifican en relación con la sostenibilidad en sus operaciones. </w:t>
      </w:r>
    </w:p>
    <w:p w14:paraId="7F2F97D9" w14:textId="6FE81399" w:rsidR="0051139C" w:rsidRPr="00734D3B" w:rsidRDefault="00DE09D6" w:rsidP="0051139C">
      <w:r w:rsidRPr="00734D3B">
        <w:t>Asimismo, se analizaron</w:t>
      </w:r>
      <w:r w:rsidR="0051139C" w:rsidRPr="00734D3B">
        <w:t xml:space="preserve"> informes técnicos y documentos oficiales de instituciones como la Agencia de Protección Ambiental (EPA), el Departamento de Energía (DOE) y el Departamento de Calidad Ambiental de Arizona (ADEQ). Estos materiales aportaron datos importantes sobre el manejo de residuos y la eficiencia energética. También se revisaron </w:t>
      </w:r>
      <w:r w:rsidR="0051139C" w:rsidRPr="00734D3B">
        <w:lastRenderedPageBreak/>
        <w:t>manuales y normas de la Asociación Nacional de Contratistas Eléctricos (NECA, 2023) y de la Administración de Seguridad y Salud Ocupacional (OSHA, 2022), que brindaron información sobre seguridad laboral, control de calidad y buenas prácticas en instalaciones eléctricas.</w:t>
      </w:r>
    </w:p>
    <w:p w14:paraId="5FE169A0" w14:textId="0869073A" w:rsidR="0051139C" w:rsidRPr="00734D3B" w:rsidRDefault="0051139C" w:rsidP="0051139C">
      <w:r w:rsidRPr="00734D3B">
        <w:t xml:space="preserve">Además, se tomaron en cuenta reportes de sostenibilidad de grandes empresas de centros de datos, como Google (2025) y Meta </w:t>
      </w:r>
      <w:proofErr w:type="spellStart"/>
      <w:r w:rsidRPr="00734D3B">
        <w:t>Platforms</w:t>
      </w:r>
      <w:proofErr w:type="spellEnd"/>
      <w:r w:rsidRPr="00734D3B">
        <w:t xml:space="preserve"> (2025), los cuales explican las acciones que aplican para reducir su impacto ambiental y aprovechar mejor los recursos. Estos ejemplos sirvieron para entender cómo las empresas grandes </w:t>
      </w:r>
      <w:r w:rsidR="00155F08" w:rsidRPr="00734D3B">
        <w:t xml:space="preserve">y lideres del sector, </w:t>
      </w:r>
      <w:r w:rsidRPr="00734D3B">
        <w:t>integran prácticas sostenibles en sus proyectos de construcción.</w:t>
      </w:r>
    </w:p>
    <w:p w14:paraId="6626AF97" w14:textId="25059C53" w:rsidR="004F3609" w:rsidRPr="00734D3B" w:rsidRDefault="00546023" w:rsidP="00337D4B">
      <w:r w:rsidRPr="00734D3B">
        <w:t>En resumen, las fuentes primarias ayudaron a crear una guía metodológica más completa y útil, asegurando que las recomendaciones del trabajo estén basadas en información real, actual y confiable. También fortalecieron el análisis y la toma de decisiones, apoyando la mejora de la gestión ambiental en las empresas eléctricas.</w:t>
      </w:r>
    </w:p>
    <w:p w14:paraId="5699E0EA" w14:textId="77777777" w:rsidR="00264EEB" w:rsidRPr="00734D3B" w:rsidRDefault="00264EEB" w:rsidP="00AA7B5F">
      <w:pPr>
        <w:pStyle w:val="Heading3"/>
      </w:pPr>
      <w:bookmarkStart w:id="219" w:name="_Toc301889081"/>
      <w:bookmarkStart w:id="220" w:name="_Toc227936401"/>
      <w:r w:rsidRPr="00734D3B">
        <w:t xml:space="preserve">Fuentes </w:t>
      </w:r>
      <w:bookmarkEnd w:id="219"/>
      <w:r w:rsidRPr="00734D3B">
        <w:t>secundarias</w:t>
      </w:r>
      <w:bookmarkEnd w:id="220"/>
    </w:p>
    <w:p w14:paraId="754F65BD" w14:textId="0F967A51" w:rsidR="00BA1F01" w:rsidRPr="00734D3B" w:rsidRDefault="0070556A" w:rsidP="00D7259E">
      <w:pPr>
        <w:rPr>
          <w:rFonts w:cs="Arial"/>
          <w:szCs w:val="22"/>
        </w:rPr>
      </w:pPr>
      <w:r w:rsidRPr="00734D3B">
        <w:rPr>
          <w:rFonts w:cs="Arial"/>
          <w:szCs w:val="22"/>
        </w:rPr>
        <w:t>Las fuentes secundarias se tornaron muy importantes para completar y dar contexto a la información obtenida directamente durante el desarrollo del trabajo. Este tipo de fuentes se caracteriza por tener datos que ya fueron analizados o interpretados por otras personas. Según Hernández-Sampieri, Fernández-Collado y Baptista (2022), las fuentes secundarias ofrecen una visión resumida o crítica de las fuentes originales, ayudando a entender mejor los temas estudiados. Bernal (2020) también explica que estas fuentes son necesarias porque permiten comparar ideas, reconocer tendencias y fortalecer la parte teórica del estudio, lo que ayuda a comprender de manera más completa el tema investigado.</w:t>
      </w:r>
    </w:p>
    <w:p w14:paraId="7FF72327" w14:textId="18E7B3FD" w:rsidR="0070556A" w:rsidRPr="00734D3B" w:rsidRDefault="00434B27" w:rsidP="00D7259E">
      <w:pPr>
        <w:rPr>
          <w:rFonts w:cs="Arial"/>
          <w:szCs w:val="22"/>
        </w:rPr>
      </w:pPr>
      <w:r w:rsidRPr="00734D3B">
        <w:rPr>
          <w:rFonts w:cs="Arial"/>
          <w:szCs w:val="22"/>
        </w:rPr>
        <w:t>En este trabajo, las fuentes secundarias fueron útiles porque ayudaron a integrar modelos, normas y buenas prácticas internacionales relacionadas con la gestión sostenible en la construcción eléctrica de centros de datos en</w:t>
      </w:r>
      <w:r w:rsidR="00D7110A" w:rsidRPr="00734D3B">
        <w:rPr>
          <w:rFonts w:cs="Arial"/>
          <w:szCs w:val="22"/>
        </w:rPr>
        <w:t xml:space="preserve"> Arizona,</w:t>
      </w:r>
      <w:r w:rsidRPr="00734D3B">
        <w:rPr>
          <w:rFonts w:cs="Arial"/>
          <w:szCs w:val="22"/>
        </w:rPr>
        <w:t xml:space="preserve"> </w:t>
      </w:r>
      <w:r w:rsidR="00D7110A" w:rsidRPr="00734D3B">
        <w:rPr>
          <w:rFonts w:cs="Arial"/>
          <w:szCs w:val="22"/>
        </w:rPr>
        <w:t xml:space="preserve">EE. UU. </w:t>
      </w:r>
      <w:r w:rsidRPr="00734D3B">
        <w:rPr>
          <w:rFonts w:cs="Arial"/>
          <w:szCs w:val="22"/>
        </w:rPr>
        <w:t xml:space="preserve">Gracias a estas fuentes, se </w:t>
      </w:r>
      <w:r w:rsidRPr="00734D3B">
        <w:rPr>
          <w:rFonts w:cs="Arial"/>
          <w:szCs w:val="22"/>
        </w:rPr>
        <w:lastRenderedPageBreak/>
        <w:t>pudieron analizar los principios de la gestión de proyectos, la sostenibilidad y el desarrollo regenerativo, lo que ayudó a crear una guía coherente y actualizada para la industria.</w:t>
      </w:r>
    </w:p>
    <w:p w14:paraId="2823E7D3" w14:textId="77777777" w:rsidR="00EA64F1" w:rsidRPr="00734D3B" w:rsidRDefault="00EA64F1" w:rsidP="00EA64F1">
      <w:pPr>
        <w:ind w:firstLine="706"/>
        <w:rPr>
          <w:rFonts w:cs="Arial"/>
          <w:szCs w:val="22"/>
        </w:rPr>
      </w:pPr>
      <w:r w:rsidRPr="00734D3B">
        <w:rPr>
          <w:rFonts w:cs="Arial"/>
          <w:szCs w:val="22"/>
        </w:rPr>
        <w:t xml:space="preserve">Entre las fuentes más importantes se encuentran las guías del Project Management Institute (PMI, 2017; 2021; 2023), como la </w:t>
      </w:r>
      <w:r w:rsidRPr="00734D3B">
        <w:rPr>
          <w:rFonts w:cs="Arial"/>
          <w:i/>
          <w:iCs/>
          <w:szCs w:val="22"/>
        </w:rPr>
        <w:t>Guía de los Fundamentos para la Dirección de Proyectos</w:t>
      </w:r>
      <w:r w:rsidRPr="00734D3B">
        <w:rPr>
          <w:rFonts w:cs="Arial"/>
          <w:szCs w:val="22"/>
        </w:rPr>
        <w:t xml:space="preserve"> (PMBOK, Sexta y Séptima Edición) y la </w:t>
      </w:r>
      <w:r w:rsidRPr="00734D3B">
        <w:rPr>
          <w:rFonts w:cs="Arial"/>
          <w:i/>
          <w:iCs/>
          <w:szCs w:val="22"/>
        </w:rPr>
        <w:t>Guía práctica de grupos de procesos en la dirección de proyectos</w:t>
      </w:r>
      <w:r w:rsidRPr="00734D3B">
        <w:rPr>
          <w:rFonts w:cs="Arial"/>
          <w:szCs w:val="22"/>
        </w:rPr>
        <w:t>. Estas referencias sirvieron de base para estructurar la metodología, definir los procesos y aplicar los principios de gestión dentro del sector de construcción eléctrico.</w:t>
      </w:r>
    </w:p>
    <w:p w14:paraId="1929405E" w14:textId="04814F1D" w:rsidR="00CE515A" w:rsidRPr="00734D3B" w:rsidRDefault="00EA64F1" w:rsidP="00EA64F1">
      <w:pPr>
        <w:ind w:firstLine="706"/>
        <w:rPr>
          <w:rFonts w:cs="Arial"/>
          <w:szCs w:val="22"/>
        </w:rPr>
      </w:pPr>
      <w:r w:rsidRPr="00734D3B">
        <w:rPr>
          <w:rFonts w:cs="Arial"/>
          <w:szCs w:val="22"/>
        </w:rPr>
        <w:t xml:space="preserve">Además, se utilizó el </w:t>
      </w:r>
      <w:r w:rsidRPr="00734D3B">
        <w:rPr>
          <w:rFonts w:cs="Arial"/>
          <w:i/>
          <w:iCs/>
          <w:szCs w:val="22"/>
        </w:rPr>
        <w:t xml:space="preserve">P5 Standard </w:t>
      </w:r>
      <w:proofErr w:type="spellStart"/>
      <w:r w:rsidRPr="00734D3B">
        <w:rPr>
          <w:rFonts w:cs="Arial"/>
          <w:i/>
          <w:iCs/>
          <w:szCs w:val="22"/>
        </w:rPr>
        <w:t>for</w:t>
      </w:r>
      <w:proofErr w:type="spellEnd"/>
      <w:r w:rsidRPr="00734D3B">
        <w:rPr>
          <w:rFonts w:cs="Arial"/>
          <w:i/>
          <w:iCs/>
          <w:szCs w:val="22"/>
        </w:rPr>
        <w:t xml:space="preserve"> </w:t>
      </w:r>
      <w:proofErr w:type="spellStart"/>
      <w:r w:rsidRPr="00734D3B">
        <w:rPr>
          <w:rFonts w:cs="Arial"/>
          <w:i/>
          <w:iCs/>
          <w:szCs w:val="22"/>
        </w:rPr>
        <w:t>Sustainability</w:t>
      </w:r>
      <w:proofErr w:type="spellEnd"/>
      <w:r w:rsidRPr="00734D3B">
        <w:rPr>
          <w:rFonts w:cs="Arial"/>
          <w:i/>
          <w:iCs/>
          <w:szCs w:val="22"/>
        </w:rPr>
        <w:t xml:space="preserve"> in Project Management</w:t>
      </w:r>
      <w:r w:rsidRPr="00734D3B">
        <w:rPr>
          <w:rFonts w:cs="Arial"/>
          <w:szCs w:val="22"/>
        </w:rPr>
        <w:t xml:space="preserve"> del Green Project Management (GPM Global, 2021), que permitió incluir criterios ambientales, sociales y económicos dentro del análisis metodológico, complementando así el enfoque tradicional del PMI con una visión sostenible y moderna.</w:t>
      </w:r>
    </w:p>
    <w:p w14:paraId="1F5DC3C5" w14:textId="4F7897CD" w:rsidR="001D03BE" w:rsidRPr="00734D3B" w:rsidRDefault="001D03BE" w:rsidP="00EA64F1">
      <w:pPr>
        <w:ind w:firstLine="706"/>
        <w:rPr>
          <w:rFonts w:cs="Arial"/>
          <w:szCs w:val="22"/>
        </w:rPr>
      </w:pPr>
      <w:r w:rsidRPr="00734D3B">
        <w:rPr>
          <w:rFonts w:cs="Arial"/>
          <w:szCs w:val="22"/>
        </w:rPr>
        <w:t xml:space="preserve">En conjunto, estas fuentes ayudaron a fortalecer la parte teórica del proyecto y a conectar la gestión de proyectos con las prácticas sostenibles más actuales. Gracias a ellas, la propuesta del trabajo quedó alineada con los estándares internacionales del PMI y del GPM, así como con las políticas ambientales de </w:t>
      </w:r>
      <w:r w:rsidR="00F5684C" w:rsidRPr="00734D3B">
        <w:rPr>
          <w:rFonts w:cs="Arial"/>
          <w:szCs w:val="22"/>
        </w:rPr>
        <w:t xml:space="preserve">Arizona y </w:t>
      </w:r>
      <w:r w:rsidRPr="00734D3B">
        <w:rPr>
          <w:rFonts w:cs="Arial"/>
          <w:szCs w:val="22"/>
        </w:rPr>
        <w:t>Estados Unidos.</w:t>
      </w:r>
    </w:p>
    <w:p w14:paraId="4DC24F2E" w14:textId="46AFB565" w:rsidR="005D0CD8" w:rsidRPr="00734D3B" w:rsidRDefault="0043261A" w:rsidP="0043261A">
      <w:pPr>
        <w:spacing w:after="200"/>
        <w:ind w:firstLine="0"/>
        <w:rPr>
          <w:bCs/>
          <w:i/>
          <w:iCs/>
          <w:szCs w:val="18"/>
        </w:rPr>
      </w:pPr>
      <w:bookmarkStart w:id="221" w:name="_Toc228342082"/>
      <w:bookmarkStart w:id="222" w:name="_Hlk219284864"/>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2</w:t>
      </w:r>
      <w:r w:rsidRPr="00734D3B">
        <w:rPr>
          <w:b/>
          <w:szCs w:val="18"/>
        </w:rPr>
        <w:fldChar w:fldCharType="end"/>
      </w:r>
      <w:r w:rsidRPr="00734D3B">
        <w:rPr>
          <w:b/>
          <w:szCs w:val="18"/>
        </w:rPr>
        <w:t xml:space="preserve"> </w:t>
      </w:r>
      <w:r w:rsidRPr="00734D3B">
        <w:rPr>
          <w:b/>
          <w:szCs w:val="18"/>
        </w:rPr>
        <w:br/>
      </w:r>
      <w:r w:rsidRPr="00734D3B">
        <w:rPr>
          <w:bCs/>
          <w:i/>
          <w:iCs/>
          <w:szCs w:val="18"/>
        </w:rPr>
        <w:t>Fuentes de información</w:t>
      </w:r>
      <w:bookmarkEnd w:id="221"/>
    </w:p>
    <w:tbl>
      <w:tblPr>
        <w:tblW w:w="4940" w:type="pct"/>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207"/>
        <w:gridCol w:w="2277"/>
        <w:gridCol w:w="355"/>
        <w:gridCol w:w="2392"/>
        <w:gridCol w:w="518"/>
      </w:tblGrid>
      <w:tr w:rsidR="00734D3B" w:rsidRPr="00734D3B" w14:paraId="1ECDD280" w14:textId="77777777" w:rsidTr="00616C68">
        <w:trPr>
          <w:trHeight w:val="276"/>
          <w:tblHeader/>
        </w:trPr>
        <w:tc>
          <w:tcPr>
            <w:tcW w:w="2004" w:type="pct"/>
            <w:gridSpan w:val="2"/>
            <w:vMerge w:val="restart"/>
            <w:tcBorders>
              <w:bottom w:val="nil"/>
              <w:right w:val="nil"/>
            </w:tcBorders>
            <w:shd w:val="clear" w:color="auto" w:fill="B4C6E7"/>
            <w:vAlign w:val="center"/>
          </w:tcPr>
          <w:p w14:paraId="15ECBC18" w14:textId="77777777" w:rsidR="00CD6A09" w:rsidRPr="00734D3B" w:rsidRDefault="00CD6A09" w:rsidP="00616C68">
            <w:pPr>
              <w:contextualSpacing/>
              <w:rPr>
                <w:rFonts w:cs="Arial"/>
                <w:b/>
                <w:szCs w:val="22"/>
              </w:rPr>
            </w:pPr>
            <w:bookmarkStart w:id="223" w:name="_Hlk108883503"/>
            <w:r w:rsidRPr="00734D3B">
              <w:rPr>
                <w:rFonts w:cs="Arial"/>
                <w:b/>
                <w:szCs w:val="22"/>
              </w:rPr>
              <w:lastRenderedPageBreak/>
              <w:t>Objetivos</w:t>
            </w:r>
          </w:p>
        </w:tc>
        <w:tc>
          <w:tcPr>
            <w:tcW w:w="2996" w:type="pct"/>
            <w:gridSpan w:val="4"/>
            <w:tcBorders>
              <w:left w:val="nil"/>
              <w:bottom w:val="single" w:sz="4" w:space="0" w:color="auto"/>
              <w:right w:val="nil"/>
            </w:tcBorders>
            <w:shd w:val="clear" w:color="auto" w:fill="B4C6E7"/>
            <w:vAlign w:val="center"/>
          </w:tcPr>
          <w:p w14:paraId="35F8A48F" w14:textId="77777777" w:rsidR="00CD6A09" w:rsidRPr="00734D3B" w:rsidRDefault="00CD6A09" w:rsidP="00616C68">
            <w:pPr>
              <w:contextualSpacing/>
              <w:jc w:val="center"/>
              <w:rPr>
                <w:rFonts w:cs="Arial"/>
                <w:b/>
                <w:szCs w:val="22"/>
              </w:rPr>
            </w:pPr>
            <w:r w:rsidRPr="00734D3B">
              <w:rPr>
                <w:rFonts w:cs="Arial"/>
                <w:b/>
                <w:szCs w:val="22"/>
              </w:rPr>
              <w:t>Fuentes de Información</w:t>
            </w:r>
          </w:p>
        </w:tc>
      </w:tr>
      <w:tr w:rsidR="00734D3B" w:rsidRPr="00734D3B" w14:paraId="322AB2DC" w14:textId="77777777" w:rsidTr="00616C68">
        <w:trPr>
          <w:trHeight w:val="147"/>
          <w:tblHeader/>
        </w:trPr>
        <w:tc>
          <w:tcPr>
            <w:tcW w:w="2004" w:type="pct"/>
            <w:gridSpan w:val="2"/>
            <w:vMerge/>
            <w:tcBorders>
              <w:top w:val="nil"/>
              <w:bottom w:val="single" w:sz="4" w:space="0" w:color="auto"/>
              <w:right w:val="nil"/>
            </w:tcBorders>
            <w:shd w:val="clear" w:color="auto" w:fill="B4C6E7"/>
            <w:vAlign w:val="center"/>
          </w:tcPr>
          <w:p w14:paraId="59113617" w14:textId="77777777" w:rsidR="00CD6A09" w:rsidRPr="00734D3B" w:rsidRDefault="00CD6A09" w:rsidP="00616C68">
            <w:pPr>
              <w:contextualSpacing/>
              <w:jc w:val="both"/>
              <w:rPr>
                <w:rFonts w:cs="Arial"/>
                <w:bCs/>
                <w:szCs w:val="22"/>
              </w:rPr>
            </w:pPr>
          </w:p>
        </w:tc>
        <w:tc>
          <w:tcPr>
            <w:tcW w:w="1423" w:type="pct"/>
            <w:gridSpan w:val="2"/>
            <w:tcBorders>
              <w:top w:val="single" w:sz="4" w:space="0" w:color="auto"/>
              <w:left w:val="nil"/>
              <w:bottom w:val="single" w:sz="4" w:space="0" w:color="auto"/>
              <w:right w:val="nil"/>
            </w:tcBorders>
            <w:shd w:val="clear" w:color="auto" w:fill="B4C6E7"/>
            <w:vAlign w:val="center"/>
          </w:tcPr>
          <w:p w14:paraId="0454F60A" w14:textId="77777777" w:rsidR="00CD6A09" w:rsidRPr="00734D3B" w:rsidRDefault="00CD6A09" w:rsidP="00616C68">
            <w:pPr>
              <w:contextualSpacing/>
              <w:rPr>
                <w:rFonts w:cs="Arial"/>
                <w:b/>
                <w:szCs w:val="22"/>
              </w:rPr>
            </w:pPr>
            <w:r w:rsidRPr="00734D3B">
              <w:rPr>
                <w:rFonts w:cs="Arial"/>
                <w:b/>
                <w:szCs w:val="22"/>
              </w:rPr>
              <w:t>Primarias</w:t>
            </w:r>
          </w:p>
        </w:tc>
        <w:tc>
          <w:tcPr>
            <w:tcW w:w="1573" w:type="pct"/>
            <w:gridSpan w:val="2"/>
            <w:tcBorders>
              <w:top w:val="single" w:sz="4" w:space="0" w:color="auto"/>
              <w:left w:val="nil"/>
              <w:bottom w:val="single" w:sz="4" w:space="0" w:color="auto"/>
              <w:right w:val="nil"/>
            </w:tcBorders>
            <w:shd w:val="clear" w:color="auto" w:fill="B4C6E7"/>
            <w:vAlign w:val="center"/>
          </w:tcPr>
          <w:p w14:paraId="4A6F7D67" w14:textId="77777777" w:rsidR="00CD6A09" w:rsidRPr="00734D3B" w:rsidRDefault="00CD6A09" w:rsidP="00616C68">
            <w:pPr>
              <w:contextualSpacing/>
              <w:rPr>
                <w:rFonts w:cs="Arial"/>
                <w:b/>
                <w:szCs w:val="22"/>
              </w:rPr>
            </w:pPr>
            <w:r w:rsidRPr="00734D3B">
              <w:rPr>
                <w:rFonts w:cs="Arial"/>
                <w:b/>
                <w:szCs w:val="22"/>
              </w:rPr>
              <w:t>Secundarias</w:t>
            </w:r>
          </w:p>
        </w:tc>
      </w:tr>
      <w:tr w:rsidR="00734D3B" w:rsidRPr="00734D3B" w14:paraId="4FC411ED" w14:textId="77777777" w:rsidTr="00616C68">
        <w:trPr>
          <w:trHeight w:val="1136"/>
        </w:trPr>
        <w:tc>
          <w:tcPr>
            <w:tcW w:w="2004" w:type="pct"/>
            <w:gridSpan w:val="2"/>
            <w:tcBorders>
              <w:bottom w:val="single" w:sz="4" w:space="0" w:color="auto"/>
              <w:right w:val="nil"/>
            </w:tcBorders>
          </w:tcPr>
          <w:p w14:paraId="2B1C5E9E" w14:textId="6CF428CA" w:rsidR="00CD6A09" w:rsidRPr="00734D3B" w:rsidRDefault="000F4D19" w:rsidP="001D692F">
            <w:pPr>
              <w:pStyle w:val="Heading1"/>
              <w:spacing w:line="240" w:lineRule="auto"/>
              <w:rPr>
                <w:rFonts w:cs="Arial"/>
                <w:szCs w:val="22"/>
              </w:rPr>
            </w:pPr>
            <w:bookmarkStart w:id="224" w:name="_Toc227936402"/>
            <w:r w:rsidRPr="00734D3B">
              <w:rPr>
                <w:rFonts w:eastAsia="Calibri" w:cs="Arial"/>
                <w:szCs w:val="22"/>
                <w:lang w:eastAsia="en-US"/>
              </w:rPr>
              <w:t>Diagnosticar el estado actual de las prácticas de sostenibilidad y gestión de residuos aplicadas por contratistas eléctricos en proyectos de data centers en Arizona, EE. UU., para identificar brechas y oportunidades de mejora.</w:t>
            </w:r>
            <w:bookmarkEnd w:id="224"/>
          </w:p>
        </w:tc>
        <w:tc>
          <w:tcPr>
            <w:tcW w:w="1423" w:type="pct"/>
            <w:gridSpan w:val="2"/>
            <w:tcBorders>
              <w:left w:val="nil"/>
              <w:bottom w:val="single" w:sz="4" w:space="0" w:color="auto"/>
              <w:right w:val="nil"/>
            </w:tcBorders>
          </w:tcPr>
          <w:p w14:paraId="29ADD10E" w14:textId="77777777" w:rsidR="00366D35" w:rsidRPr="00734D3B" w:rsidRDefault="00366D35" w:rsidP="001D692F">
            <w:pPr>
              <w:numPr>
                <w:ilvl w:val="0"/>
                <w:numId w:val="31"/>
              </w:numPr>
              <w:spacing w:line="240" w:lineRule="auto"/>
              <w:ind w:left="288" w:hanging="284"/>
              <w:contextualSpacing/>
              <w:rPr>
                <w:rFonts w:cs="Arial"/>
                <w:szCs w:val="22"/>
              </w:rPr>
            </w:pPr>
            <w:r w:rsidRPr="00734D3B">
              <w:rPr>
                <w:rFonts w:eastAsia="Calibri" w:cs="Arial"/>
                <w:szCs w:val="22"/>
                <w:lang w:eastAsia="en-US"/>
              </w:rPr>
              <w:t>Supervisores, encargados ambientales</w:t>
            </w:r>
          </w:p>
          <w:p w14:paraId="4B0EC883" w14:textId="20CC75BE" w:rsidR="00CD6A09" w:rsidRPr="00734D3B" w:rsidRDefault="00366D35" w:rsidP="001D692F">
            <w:pPr>
              <w:numPr>
                <w:ilvl w:val="0"/>
                <w:numId w:val="31"/>
              </w:numPr>
              <w:spacing w:line="240" w:lineRule="auto"/>
              <w:ind w:left="288" w:hanging="284"/>
              <w:contextualSpacing/>
              <w:rPr>
                <w:rFonts w:cs="Arial"/>
                <w:szCs w:val="22"/>
              </w:rPr>
            </w:pPr>
            <w:r w:rsidRPr="00734D3B">
              <w:rPr>
                <w:rFonts w:eastAsia="Calibri" w:cs="Arial"/>
                <w:szCs w:val="22"/>
                <w:lang w:eastAsia="en-US"/>
              </w:rPr>
              <w:t>Jefes de proyecto o personal responsable de la gestión de residuos en las empresas contratistas.</w:t>
            </w:r>
          </w:p>
        </w:tc>
        <w:tc>
          <w:tcPr>
            <w:tcW w:w="1573" w:type="pct"/>
            <w:gridSpan w:val="2"/>
            <w:tcBorders>
              <w:left w:val="nil"/>
              <w:bottom w:val="single" w:sz="4" w:space="0" w:color="auto"/>
              <w:right w:val="nil"/>
            </w:tcBorders>
          </w:tcPr>
          <w:p w14:paraId="57D98B5B" w14:textId="77777777" w:rsidR="00CD6A09" w:rsidRPr="00734D3B" w:rsidRDefault="00CD6A09" w:rsidP="001D692F">
            <w:pPr>
              <w:numPr>
                <w:ilvl w:val="0"/>
                <w:numId w:val="31"/>
              </w:numPr>
              <w:spacing w:line="240" w:lineRule="auto"/>
              <w:ind w:left="288" w:hanging="284"/>
              <w:contextualSpacing/>
              <w:rPr>
                <w:rFonts w:eastAsia="Calibri" w:cs="Arial"/>
                <w:szCs w:val="22"/>
                <w:lang w:eastAsia="en-US"/>
              </w:rPr>
            </w:pPr>
          </w:p>
        </w:tc>
      </w:tr>
      <w:tr w:rsidR="00734D3B" w:rsidRPr="00734D3B" w14:paraId="222FB7C1" w14:textId="77777777" w:rsidTr="00616C68">
        <w:trPr>
          <w:trHeight w:val="568"/>
        </w:trPr>
        <w:tc>
          <w:tcPr>
            <w:tcW w:w="2004" w:type="pct"/>
            <w:gridSpan w:val="2"/>
            <w:tcBorders>
              <w:top w:val="single" w:sz="4" w:space="0" w:color="auto"/>
              <w:bottom w:val="single" w:sz="4" w:space="0" w:color="auto"/>
              <w:right w:val="nil"/>
            </w:tcBorders>
          </w:tcPr>
          <w:p w14:paraId="2FF09235" w14:textId="3FB1BCC0" w:rsidR="00CD6A09" w:rsidRPr="00734D3B" w:rsidRDefault="00366D35" w:rsidP="001D692F">
            <w:pPr>
              <w:pStyle w:val="Heading1"/>
              <w:spacing w:line="240" w:lineRule="auto"/>
              <w:rPr>
                <w:rFonts w:eastAsia="Calibri" w:cs="Arial"/>
                <w:szCs w:val="22"/>
                <w:lang w:eastAsia="en-US"/>
              </w:rPr>
            </w:pPr>
            <w:bookmarkStart w:id="225" w:name="_Toc227936403"/>
            <w:r w:rsidRPr="00734D3B">
              <w:rPr>
                <w:rFonts w:eastAsia="Calibri" w:cs="Arial"/>
                <w:szCs w:val="22"/>
                <w:lang w:eastAsia="en-US"/>
              </w:rPr>
              <w:t>Analizar marcos normativos y buenas prácticas internacionales y regionales aplicables a la gestión ambiental en proyectos eléctricos para fundamentar el diseño de la guía metodológica.</w:t>
            </w:r>
            <w:bookmarkEnd w:id="225"/>
          </w:p>
        </w:tc>
        <w:tc>
          <w:tcPr>
            <w:tcW w:w="1423" w:type="pct"/>
            <w:gridSpan w:val="2"/>
            <w:tcBorders>
              <w:top w:val="single" w:sz="4" w:space="0" w:color="auto"/>
              <w:left w:val="nil"/>
              <w:bottom w:val="single" w:sz="4" w:space="0" w:color="auto"/>
              <w:right w:val="nil"/>
            </w:tcBorders>
          </w:tcPr>
          <w:p w14:paraId="3202F2B5" w14:textId="1CD282E2" w:rsidR="00CD6A09" w:rsidRPr="00734D3B" w:rsidRDefault="00CD6A09" w:rsidP="001D692F">
            <w:pPr>
              <w:numPr>
                <w:ilvl w:val="0"/>
                <w:numId w:val="31"/>
              </w:numPr>
              <w:spacing w:line="240" w:lineRule="auto"/>
              <w:ind w:left="288" w:hanging="284"/>
              <w:contextualSpacing/>
              <w:rPr>
                <w:rFonts w:cs="Arial"/>
                <w:szCs w:val="22"/>
              </w:rPr>
            </w:pPr>
          </w:p>
        </w:tc>
        <w:tc>
          <w:tcPr>
            <w:tcW w:w="1573" w:type="pct"/>
            <w:gridSpan w:val="2"/>
            <w:tcBorders>
              <w:top w:val="single" w:sz="4" w:space="0" w:color="auto"/>
              <w:left w:val="nil"/>
              <w:bottom w:val="single" w:sz="4" w:space="0" w:color="auto"/>
              <w:right w:val="nil"/>
            </w:tcBorders>
          </w:tcPr>
          <w:p w14:paraId="016D66B1" w14:textId="77777777" w:rsidR="00015172" w:rsidRPr="00734D3B" w:rsidRDefault="00015172" w:rsidP="001D692F">
            <w:pPr>
              <w:numPr>
                <w:ilvl w:val="0"/>
                <w:numId w:val="31"/>
              </w:numPr>
              <w:spacing w:line="240" w:lineRule="auto"/>
              <w:contextualSpacing/>
              <w:rPr>
                <w:rFonts w:eastAsia="Calibri" w:cs="Arial"/>
                <w:szCs w:val="22"/>
                <w:lang w:eastAsia="en-US"/>
              </w:rPr>
            </w:pPr>
            <w:r w:rsidRPr="00734D3B">
              <w:rPr>
                <w:rFonts w:eastAsia="Calibri" w:cs="Arial"/>
                <w:szCs w:val="22"/>
                <w:lang w:eastAsia="en-US"/>
              </w:rPr>
              <w:t>Normativa y estándares aplicables (ISO, LEED, NECA, GPM Global).</w:t>
            </w:r>
          </w:p>
          <w:p w14:paraId="5C7C28A2" w14:textId="5D0951BE" w:rsidR="00CD6A09" w:rsidRPr="00734D3B" w:rsidRDefault="00015172" w:rsidP="001D692F">
            <w:pPr>
              <w:numPr>
                <w:ilvl w:val="0"/>
                <w:numId w:val="31"/>
              </w:numPr>
              <w:spacing w:line="240" w:lineRule="auto"/>
              <w:contextualSpacing/>
              <w:rPr>
                <w:rFonts w:eastAsia="Calibri" w:cs="Arial"/>
                <w:szCs w:val="22"/>
                <w:lang w:eastAsia="en-US"/>
              </w:rPr>
            </w:pPr>
            <w:r w:rsidRPr="00734D3B">
              <w:rPr>
                <w:rFonts w:eastAsia="Calibri" w:cs="Arial"/>
                <w:szCs w:val="22"/>
                <w:lang w:eastAsia="en-US"/>
              </w:rPr>
              <w:t>Informe comparativo de buenas prácticas internacionales y nacionales en sostenibilidad del sector eléctrico.</w:t>
            </w:r>
          </w:p>
        </w:tc>
      </w:tr>
      <w:tr w:rsidR="00734D3B" w:rsidRPr="00734D3B" w14:paraId="0ECA30A8" w14:textId="77777777" w:rsidTr="00616C68">
        <w:trPr>
          <w:trHeight w:val="568"/>
        </w:trPr>
        <w:tc>
          <w:tcPr>
            <w:tcW w:w="2004" w:type="pct"/>
            <w:gridSpan w:val="2"/>
            <w:tcBorders>
              <w:top w:val="single" w:sz="4" w:space="0" w:color="auto"/>
              <w:right w:val="nil"/>
            </w:tcBorders>
          </w:tcPr>
          <w:p w14:paraId="1BA925FB" w14:textId="35EC7F36" w:rsidR="00CD6A09" w:rsidRPr="00734D3B" w:rsidRDefault="00015172" w:rsidP="0098497B">
            <w:pPr>
              <w:pStyle w:val="Heading1"/>
              <w:spacing w:line="276" w:lineRule="auto"/>
              <w:jc w:val="both"/>
              <w:rPr>
                <w:rFonts w:eastAsia="Calibri" w:cs="Arial"/>
                <w:szCs w:val="22"/>
                <w:lang w:eastAsia="en-US"/>
              </w:rPr>
            </w:pPr>
            <w:bookmarkStart w:id="226" w:name="_Toc227936404"/>
            <w:bookmarkStart w:id="227" w:name="_Hlk220507894"/>
            <w:r w:rsidRPr="00734D3B">
              <w:rPr>
                <w:rFonts w:eastAsia="Calibri" w:cs="Arial"/>
                <w:szCs w:val="22"/>
                <w:lang w:eastAsia="en-US"/>
              </w:rPr>
              <w:t>Diseñar lineamientos y procedimientos prácticos para la reducción, segregación, reutilización y disposición adecuada de residuos eléctricos en proyectos de construcción de data centers para orientar la gestión sostenible de contratistas eléctricos.</w:t>
            </w:r>
            <w:bookmarkEnd w:id="226"/>
          </w:p>
        </w:tc>
        <w:tc>
          <w:tcPr>
            <w:tcW w:w="1423" w:type="pct"/>
            <w:gridSpan w:val="2"/>
            <w:tcBorders>
              <w:top w:val="single" w:sz="4" w:space="0" w:color="auto"/>
              <w:left w:val="nil"/>
              <w:right w:val="nil"/>
            </w:tcBorders>
          </w:tcPr>
          <w:p w14:paraId="29B3C7D1" w14:textId="3C2F3FE1" w:rsidR="00CD6A09" w:rsidRPr="00734D3B" w:rsidRDefault="009D3CA2" w:rsidP="001D692F">
            <w:pPr>
              <w:numPr>
                <w:ilvl w:val="0"/>
                <w:numId w:val="31"/>
              </w:numPr>
              <w:spacing w:line="240" w:lineRule="auto"/>
              <w:ind w:left="288" w:hanging="284"/>
              <w:contextualSpacing/>
              <w:jc w:val="both"/>
              <w:rPr>
                <w:rFonts w:cs="Arial"/>
                <w:szCs w:val="22"/>
              </w:rPr>
            </w:pPr>
            <w:r w:rsidRPr="00734D3B">
              <w:rPr>
                <w:rFonts w:eastAsia="Calibri" w:cs="Arial"/>
                <w:szCs w:val="22"/>
                <w:lang w:eastAsia="en-US"/>
              </w:rPr>
              <w:t>Elaboración propia a partir de Procedimientos Operativos Estandarizados (POE) utilizados por contratistas eléctricos</w:t>
            </w:r>
          </w:p>
        </w:tc>
        <w:tc>
          <w:tcPr>
            <w:tcW w:w="1573" w:type="pct"/>
            <w:gridSpan w:val="2"/>
            <w:tcBorders>
              <w:top w:val="single" w:sz="4" w:space="0" w:color="auto"/>
              <w:left w:val="nil"/>
              <w:right w:val="nil"/>
            </w:tcBorders>
          </w:tcPr>
          <w:p w14:paraId="74F5A50F" w14:textId="2074C729" w:rsidR="00CD6A09" w:rsidRPr="00734D3B" w:rsidRDefault="00413E54" w:rsidP="001D692F">
            <w:pPr>
              <w:numPr>
                <w:ilvl w:val="0"/>
                <w:numId w:val="31"/>
              </w:numPr>
              <w:spacing w:line="240" w:lineRule="auto"/>
              <w:ind w:left="288" w:hanging="284"/>
              <w:contextualSpacing/>
              <w:jc w:val="both"/>
              <w:rPr>
                <w:rFonts w:cs="Arial"/>
              </w:rPr>
            </w:pPr>
            <w:r w:rsidRPr="00734D3B">
              <w:rPr>
                <w:rFonts w:eastAsia="Calibri" w:cs="Arial"/>
                <w:szCs w:val="22"/>
                <w:lang w:eastAsia="en-US"/>
              </w:rPr>
              <w:t>Documentación técnica y guías de referencia sobre clasificación, almacenamiento temporal, transporte y disposición final de residuos eléctricos</w:t>
            </w:r>
          </w:p>
        </w:tc>
      </w:tr>
      <w:tr w:rsidR="00734D3B" w:rsidRPr="00734D3B" w14:paraId="7A8C7286" w14:textId="77777777" w:rsidTr="00015172">
        <w:trPr>
          <w:gridAfter w:val="1"/>
          <w:wAfter w:w="280" w:type="pct"/>
          <w:trHeight w:val="568"/>
        </w:trPr>
        <w:tc>
          <w:tcPr>
            <w:tcW w:w="1892" w:type="pct"/>
            <w:tcBorders>
              <w:top w:val="single" w:sz="4" w:space="0" w:color="auto"/>
              <w:right w:val="nil"/>
            </w:tcBorders>
          </w:tcPr>
          <w:p w14:paraId="233D485F" w14:textId="287CA8E1" w:rsidR="00015172" w:rsidRPr="00734D3B" w:rsidRDefault="00015172" w:rsidP="00CE1BA2">
            <w:pPr>
              <w:pStyle w:val="Heading1"/>
              <w:spacing w:line="276" w:lineRule="auto"/>
              <w:jc w:val="both"/>
              <w:rPr>
                <w:rFonts w:eastAsia="Calibri" w:cs="Arial"/>
                <w:szCs w:val="22"/>
                <w:lang w:eastAsia="en-US"/>
              </w:rPr>
            </w:pPr>
            <w:bookmarkStart w:id="228" w:name="_Toc227936405"/>
            <w:bookmarkEnd w:id="223"/>
            <w:bookmarkEnd w:id="227"/>
            <w:r w:rsidRPr="00734D3B">
              <w:rPr>
                <w:rFonts w:eastAsia="Calibri" w:cs="Arial"/>
                <w:szCs w:val="22"/>
                <w:lang w:eastAsia="en-US"/>
              </w:rPr>
              <w:lastRenderedPageBreak/>
              <w:t>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bookmarkEnd w:id="228"/>
          </w:p>
        </w:tc>
        <w:tc>
          <w:tcPr>
            <w:tcW w:w="1343" w:type="pct"/>
            <w:gridSpan w:val="2"/>
            <w:tcBorders>
              <w:top w:val="single" w:sz="4" w:space="0" w:color="auto"/>
              <w:left w:val="nil"/>
              <w:right w:val="nil"/>
            </w:tcBorders>
          </w:tcPr>
          <w:p w14:paraId="1798159B" w14:textId="50ADE12E" w:rsidR="00015172" w:rsidRPr="00734D3B" w:rsidRDefault="00CE1BA2" w:rsidP="001D692F">
            <w:pPr>
              <w:numPr>
                <w:ilvl w:val="0"/>
                <w:numId w:val="31"/>
              </w:numPr>
              <w:spacing w:line="240" w:lineRule="auto"/>
              <w:ind w:left="288" w:hanging="284"/>
              <w:contextualSpacing/>
              <w:jc w:val="both"/>
              <w:rPr>
                <w:rFonts w:cs="Arial"/>
                <w:szCs w:val="22"/>
              </w:rPr>
            </w:pPr>
            <w:r w:rsidRPr="00734D3B">
              <w:rPr>
                <w:rFonts w:eastAsia="Calibri" w:cs="Arial"/>
                <w:szCs w:val="22"/>
                <w:lang w:eastAsia="en-US"/>
              </w:rPr>
              <w:t>Elaboración propia del sistema de indicadores de desempeño ambiental (</w:t>
            </w:r>
            <w:proofErr w:type="spellStart"/>
            <w:r w:rsidRPr="00734D3B">
              <w:rPr>
                <w:rFonts w:eastAsia="Calibri" w:cs="Arial"/>
                <w:szCs w:val="22"/>
                <w:lang w:eastAsia="en-US"/>
              </w:rPr>
              <w:t>KPIs</w:t>
            </w:r>
            <w:proofErr w:type="spellEnd"/>
            <w:r w:rsidRPr="00734D3B">
              <w:rPr>
                <w:rFonts w:eastAsia="Calibri" w:cs="Arial"/>
                <w:szCs w:val="22"/>
                <w:lang w:eastAsia="en-US"/>
              </w:rPr>
              <w:t>) para contratistas eléctricos</w:t>
            </w:r>
          </w:p>
        </w:tc>
        <w:tc>
          <w:tcPr>
            <w:tcW w:w="1485" w:type="pct"/>
            <w:gridSpan w:val="2"/>
            <w:tcBorders>
              <w:top w:val="single" w:sz="4" w:space="0" w:color="auto"/>
              <w:left w:val="nil"/>
              <w:right w:val="nil"/>
            </w:tcBorders>
          </w:tcPr>
          <w:p w14:paraId="48BC4AC0" w14:textId="0DF8CE1D" w:rsidR="00015172" w:rsidRPr="00734D3B" w:rsidRDefault="00CE1BA2" w:rsidP="001D692F">
            <w:pPr>
              <w:numPr>
                <w:ilvl w:val="0"/>
                <w:numId w:val="31"/>
              </w:numPr>
              <w:spacing w:line="240" w:lineRule="auto"/>
              <w:ind w:left="288" w:hanging="284"/>
              <w:contextualSpacing/>
              <w:jc w:val="both"/>
              <w:rPr>
                <w:rFonts w:cs="Arial"/>
              </w:rPr>
            </w:pPr>
            <w:r w:rsidRPr="00734D3B">
              <w:rPr>
                <w:rFonts w:eastAsia="Calibri" w:cs="Arial"/>
                <w:szCs w:val="22"/>
                <w:lang w:eastAsia="en-US"/>
              </w:rPr>
              <w:t xml:space="preserve">Guía metodológica de gestión sostenible para contratistas eléctricos en proyectos de data centers, integrando diagnóstico, buenas prácticas, lineamientos operativos y </w:t>
            </w:r>
            <w:proofErr w:type="spellStart"/>
            <w:r w:rsidRPr="00734D3B">
              <w:rPr>
                <w:rFonts w:eastAsia="Calibri" w:cs="Arial"/>
                <w:szCs w:val="22"/>
                <w:lang w:eastAsia="en-US"/>
              </w:rPr>
              <w:t>KPIs</w:t>
            </w:r>
            <w:proofErr w:type="spellEnd"/>
          </w:p>
        </w:tc>
      </w:tr>
    </w:tbl>
    <w:p w14:paraId="554C3F34" w14:textId="2C7D8E99" w:rsidR="0043261A" w:rsidRPr="00734D3B" w:rsidRDefault="0043261A" w:rsidP="0098497B">
      <w:pPr>
        <w:spacing w:after="200"/>
        <w:ind w:firstLine="0"/>
        <w:rPr>
          <w:rFonts w:cs="Arial"/>
          <w:szCs w:val="22"/>
        </w:rPr>
      </w:pPr>
      <w:r w:rsidRPr="00734D3B">
        <w:rPr>
          <w:bCs/>
          <w:i/>
          <w:iCs/>
          <w:szCs w:val="18"/>
        </w:rPr>
        <w:t xml:space="preserve"> </w:t>
      </w:r>
      <w:r w:rsidRPr="00734D3B">
        <w:rPr>
          <w:rFonts w:cs="Arial"/>
          <w:i/>
          <w:iCs/>
          <w:szCs w:val="22"/>
        </w:rPr>
        <w:t>Nota</w:t>
      </w:r>
      <w:r w:rsidRPr="00734D3B">
        <w:rPr>
          <w:rFonts w:cs="Arial"/>
          <w:szCs w:val="22"/>
        </w:rPr>
        <w:t xml:space="preserve">. La Tabla </w:t>
      </w:r>
      <w:r w:rsidR="002675CA" w:rsidRPr="00734D3B">
        <w:rPr>
          <w:rFonts w:cs="Arial"/>
          <w:szCs w:val="22"/>
        </w:rPr>
        <w:t>2</w:t>
      </w:r>
      <w:r w:rsidRPr="00734D3B">
        <w:rPr>
          <w:rFonts w:cs="Arial"/>
          <w:szCs w:val="22"/>
        </w:rPr>
        <w:t xml:space="preserve"> muestra </w:t>
      </w:r>
      <w:r w:rsidR="002675CA" w:rsidRPr="00734D3B">
        <w:rPr>
          <w:rFonts w:cs="Arial"/>
          <w:szCs w:val="22"/>
        </w:rPr>
        <w:t>las fuentes</w:t>
      </w:r>
      <w:r w:rsidRPr="00734D3B">
        <w:rPr>
          <w:rFonts w:cs="Arial"/>
          <w:szCs w:val="22"/>
        </w:rPr>
        <w:t xml:space="preserve"> del proyecto, en correspondencia con cada objetivo. Autoría propia.</w:t>
      </w:r>
    </w:p>
    <w:p w14:paraId="587C2B8A" w14:textId="5380B68F" w:rsidR="00264EEB" w:rsidRPr="00734D3B" w:rsidRDefault="00AA0633" w:rsidP="00AA0633">
      <w:pPr>
        <w:pStyle w:val="Heading2"/>
        <w:numPr>
          <w:ilvl w:val="0"/>
          <w:numId w:val="0"/>
        </w:numPr>
        <w:ind w:left="936" w:hanging="576"/>
      </w:pPr>
      <w:bookmarkStart w:id="229" w:name="_Toc354770525"/>
      <w:bookmarkStart w:id="230" w:name="_Toc211465604"/>
      <w:bookmarkStart w:id="231" w:name="_Toc227936406"/>
      <w:bookmarkEnd w:id="222"/>
      <w:r w:rsidRPr="00734D3B">
        <w:t xml:space="preserve">3.2 </w:t>
      </w:r>
      <w:r w:rsidR="00264EEB" w:rsidRPr="00734D3B">
        <w:t>Métodos de Investigación</w:t>
      </w:r>
      <w:bookmarkEnd w:id="229"/>
      <w:r w:rsidR="002608CB" w:rsidRPr="00734D3B">
        <w:t xml:space="preserve"> y estrategias lógicas de razonamiento</w:t>
      </w:r>
      <w:bookmarkEnd w:id="230"/>
      <w:bookmarkEnd w:id="231"/>
    </w:p>
    <w:p w14:paraId="78786D71" w14:textId="608B9FC4" w:rsidR="00BC0BB4" w:rsidRPr="00734D3B" w:rsidRDefault="009B1DF2" w:rsidP="009B1DF2">
      <w:r w:rsidRPr="00734D3B">
        <w:t>Los métodos de investigación son los pasos que se siguen de forma ordenada y planificada para obtener información confiable sobre un tema o problema. Según Hernández-Sampieri, Fernández-Collado y Baptista (2022), un método de investigación es una forma estructurada de reunir, analizar e interpretar datos con el fin de responder una pregunta o comprobar una idea</w:t>
      </w:r>
      <w:r w:rsidR="001C1ED8" w:rsidRPr="00734D3B">
        <w:t xml:space="preserve">. </w:t>
      </w:r>
    </w:p>
    <w:p w14:paraId="74250D79" w14:textId="6BA6C8F6" w:rsidR="009B1DF2" w:rsidRPr="00734D3B" w:rsidRDefault="009B1DF2" w:rsidP="009B1DF2">
      <w:r w:rsidRPr="00734D3B">
        <w:t xml:space="preserve"> De manera similar, Bernal (2020) explica que los métodos de investigación son los caminos que guían al investigador en la búsqueda de conocimiento, ayudando a mantener la objetividad y la relación entre los objetivos, los datos y los resultados.</w:t>
      </w:r>
    </w:p>
    <w:p w14:paraId="70F8A750" w14:textId="0FED86E7" w:rsidR="00D0022E" w:rsidRPr="00734D3B" w:rsidRDefault="00DA181D" w:rsidP="009B1DF2">
      <w:r w:rsidRPr="00734D3B">
        <w:t xml:space="preserve">En cambio, las estrategias lógicas de razonamiento se refieren a los procesos mentales utilizados para analizar, interpretar y </w:t>
      </w:r>
      <w:r w:rsidR="000D48A0" w:rsidRPr="00734D3B">
        <w:t>sacar</w:t>
      </w:r>
      <w:r w:rsidRPr="00734D3B">
        <w:t xml:space="preserve"> conclusiones a partir de la información obtenida</w:t>
      </w:r>
      <w:r w:rsidR="009B1DF2" w:rsidRPr="00734D3B">
        <w:t xml:space="preserve">. De acuerdo con Tamayo y Tamayo (2005), estrategias como la inducción, la deducción o </w:t>
      </w:r>
      <w:r w:rsidR="00E868CE" w:rsidRPr="00734D3B">
        <w:t xml:space="preserve">el </w:t>
      </w:r>
      <w:r w:rsidR="00EB6F2D" w:rsidRPr="00734D3B">
        <w:t>analítico -sintético</w:t>
      </w:r>
      <w:r w:rsidR="009B1DF2" w:rsidRPr="00734D3B">
        <w:t xml:space="preserve"> ayudan a convertir los datos en conocimiento mediante el uso del pensamiento crítico y la lógica. Hernández-Sampieri y sus colegas (2022) señalan que los </w:t>
      </w:r>
      <w:r w:rsidR="009B1DF2" w:rsidRPr="00734D3B">
        <w:lastRenderedPageBreak/>
        <w:t xml:space="preserve">métodos de investigación muestran qué se hace y cómo se hace, mientras que las estrategias de razonamiento explican </w:t>
      </w:r>
      <w:r w:rsidR="00170D5A" w:rsidRPr="00734D3B">
        <w:t>el razonamiento del</w:t>
      </w:r>
      <w:r w:rsidR="009B1DF2" w:rsidRPr="00734D3B">
        <w:t xml:space="preserve"> investigador </w:t>
      </w:r>
      <w:r w:rsidR="002E337C" w:rsidRPr="00734D3B">
        <w:t xml:space="preserve">de cómo </w:t>
      </w:r>
      <w:r w:rsidR="009B1DF2" w:rsidRPr="00734D3B">
        <w:t>interpretar los datos.</w:t>
      </w:r>
    </w:p>
    <w:p w14:paraId="34868F5F" w14:textId="2F5DEC49" w:rsidR="002351D4" w:rsidRPr="00734D3B" w:rsidRDefault="002351D4" w:rsidP="002351D4">
      <w:r w:rsidRPr="00734D3B">
        <w:t xml:space="preserve">La diferencia principal entre ambos conceptos está en cómo se aplican: los métodos son los pasos formales que se usan para reunir y analizar datos, mientras que las estrategias lógicas son las formas de pensar que </w:t>
      </w:r>
      <w:r w:rsidR="00211EC5" w:rsidRPr="00734D3B">
        <w:t>permiten</w:t>
      </w:r>
      <w:r w:rsidRPr="00734D3B">
        <w:t xml:space="preserve"> interpretar esa información y crear conocimiento.</w:t>
      </w:r>
    </w:p>
    <w:p w14:paraId="1846A8F0" w14:textId="33C8F086" w:rsidR="002E416C" w:rsidRPr="00734D3B" w:rsidRDefault="00CC13B4" w:rsidP="002351D4">
      <w:r w:rsidRPr="00734D3B">
        <w:t>En esta investigación se emplearon tres métodos</w:t>
      </w:r>
      <w:r w:rsidR="001D5918" w:rsidRPr="00734D3B">
        <w:t xml:space="preserve"> </w:t>
      </w:r>
      <w:r w:rsidRPr="00734D3B">
        <w:t xml:space="preserve">principales: investigación documental, investigación de campo e investigación descriptiva. La investigación documental permitió analizar fuentes bibliográficas, normativas y técnicas, tales como </w:t>
      </w:r>
      <w:r w:rsidR="00F41CE8" w:rsidRPr="00734D3B">
        <w:t xml:space="preserve">a </w:t>
      </w:r>
      <w:r w:rsidR="00F41CE8" w:rsidRPr="00734D3B">
        <w:rPr>
          <w:i/>
          <w:iCs/>
        </w:rPr>
        <w:t>PMBOK Guide</w:t>
      </w:r>
      <w:r w:rsidR="00F41CE8" w:rsidRPr="00734D3B">
        <w:t xml:space="preserve"> (2021), los estándares LEED (2019) y la guía P5 (2021)</w:t>
      </w:r>
      <w:r w:rsidRPr="00734D3B">
        <w:t>, con el fin de fundamentar teóricamente la guía metodológica. La investigación de campo se desarrolló mediante la aplicación de encuestas y entrevistas a contratistas eléctricos que participan en proyectos de construcción de data centers en Arizona, obteniendo información directa sobre sus prácticas sostenibles y desafíos operativos. Finalmente, la investigación descriptiva se aplicó para caracterizar las condiciones actuales de la gestión ambiental y de residuos eléctricos, sin manipular las variables del entorno, con el propósito de identificar brechas y oportunidades de mejora.</w:t>
      </w:r>
    </w:p>
    <w:p w14:paraId="5822F356" w14:textId="1C502D13" w:rsidR="00F745D3" w:rsidRPr="00734D3B" w:rsidRDefault="00055290" w:rsidP="002351D4">
      <w:r w:rsidRPr="00734D3B">
        <w:t xml:space="preserve">Respecto a las estrategias lógicas de razonamiento, </w:t>
      </w:r>
      <w:r w:rsidR="00477A94" w:rsidRPr="00734D3B">
        <w:t xml:space="preserve">se aplicaron tres estrategias principales. La estrategia inductiva permitió formular conclusiones generales a partir de casos particulares observados en los contratistas eléctricos encuestados, identificando patrones de comportamiento en la gestión de sostenibilidad. La estrategia deductiva facilitó la validación de los resultados empíricos comparándolos con teorías, normas y buenas prácticas internacionales, verificando su coherencia con los estándares del Project Management Institute (PMI) y el GPM Global. Finalmente, la estrategia analítico-sintética posibilitó descomponer la información en elementos específicos, como aspectos técnicos, ambientales y organizativos, y </w:t>
      </w:r>
      <w:r w:rsidR="00477A94" w:rsidRPr="00734D3B">
        <w:lastRenderedPageBreak/>
        <w:t>posteriormente integrarlos para construir una visión global y coherente de la gestión sostenible aplicada a los proyectos eléctricos de data centers.</w:t>
      </w:r>
    </w:p>
    <w:p w14:paraId="2E8E34D3" w14:textId="77777777" w:rsidR="00776051" w:rsidRPr="00734D3B" w:rsidRDefault="00776051" w:rsidP="00776051">
      <w:r w:rsidRPr="00734D3B">
        <w:t>El enfoque de investigación fue mixto, porque combinó partes del enfoque cualitativo y del cuantitativo para lograr una comprensión más completa del tema estudiado.</w:t>
      </w:r>
      <w:r w:rsidRPr="00734D3B">
        <w:br/>
        <w:t>La parte cualitativa permitió conocer las opiniones, actitudes y experiencias de los contratistas eléctricos sobre la sostenibilidad, identificando aspectos culturales, organizativos y de trabajo que influyen en la aplicación de prácticas ambientales.</w:t>
      </w:r>
      <w:r w:rsidRPr="00734D3B">
        <w:br/>
        <w:t>Este enfoque se basó en entrevistas y observaciones directas, lo que ayudó a entender mejor cómo funcionan los procesos y qué motiva a las personas que participan en ellos.</w:t>
      </w:r>
    </w:p>
    <w:p w14:paraId="208D4C29" w14:textId="77777777" w:rsidR="00776051" w:rsidRPr="00734D3B" w:rsidRDefault="00776051" w:rsidP="00776051">
      <w:r w:rsidRPr="00734D3B">
        <w:t>Por otro lado, la parte cuantitativa permitió medir con números la frecuencia, alcance y efectividad de esas prácticas, por medio de encuestas y del análisis de los datos obtenidos.</w:t>
      </w:r>
      <w:r w:rsidRPr="00734D3B">
        <w:br/>
        <w:t>Esto ayudó a identificar tendencias, porcentajes y niveles de cumplimiento ambiental entre las diferentes empresas contratistas.</w:t>
      </w:r>
    </w:p>
    <w:p w14:paraId="646776D2" w14:textId="77777777" w:rsidR="00B110A3" w:rsidRPr="00734D3B" w:rsidRDefault="00B110A3" w:rsidP="00B110A3">
      <w:r w:rsidRPr="00734D3B">
        <w:t>El tipo de investigación fue descriptiva y aplicada. Fue descriptiva porque buscó explicar las características, procesos y estrategias sostenibles dentro de los proyectos eléctricos de centros de datos. También fue aplicada, porque los resultados se usaron para crear una guía práctica que ayude a mejorar la gestión sostenible de los contratistas eléctricos en Estados Unidos.</w:t>
      </w:r>
    </w:p>
    <w:p w14:paraId="4123CFD9" w14:textId="77777777" w:rsidR="00C46DB4" w:rsidRPr="00734D3B" w:rsidRDefault="00C46DB4" w:rsidP="00C46DB4">
      <w:r w:rsidRPr="00734D3B">
        <w:t>En conjunto, la integración de los métodos de investigación, las estrategias de razonamiento, el enfoque mixto y el carácter aplicado-descriptivo garantizó la coherencia del proceso investigativo. Esto permitió vincular la teoría con la práctica, fortaleciendo la validez de los resultados y su contribución a la mejora ambiental y operativa de la industria eléctrica en los proyectos de centros de datos.</w:t>
      </w:r>
    </w:p>
    <w:p w14:paraId="43914EF5" w14:textId="60987837" w:rsidR="003D4023" w:rsidRPr="00734D3B" w:rsidRDefault="003D4023" w:rsidP="003D4023">
      <w:pPr>
        <w:spacing w:after="200"/>
        <w:ind w:firstLine="0"/>
        <w:rPr>
          <w:bCs/>
          <w:i/>
          <w:iCs/>
          <w:szCs w:val="18"/>
        </w:rPr>
      </w:pPr>
      <w:bookmarkStart w:id="232" w:name="_Toc228342083"/>
      <w:bookmarkStart w:id="233" w:name="_Hlk219285372"/>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3</w:t>
      </w:r>
      <w:r w:rsidRPr="00734D3B">
        <w:rPr>
          <w:b/>
          <w:szCs w:val="18"/>
        </w:rPr>
        <w:fldChar w:fldCharType="end"/>
      </w:r>
      <w:r w:rsidRPr="00734D3B">
        <w:rPr>
          <w:b/>
          <w:szCs w:val="18"/>
        </w:rPr>
        <w:t xml:space="preserve"> </w:t>
      </w:r>
      <w:r w:rsidRPr="00734D3B">
        <w:rPr>
          <w:b/>
          <w:szCs w:val="18"/>
        </w:rPr>
        <w:br/>
      </w:r>
      <w:r w:rsidRPr="00734D3B">
        <w:rPr>
          <w:bCs/>
          <w:i/>
          <w:iCs/>
          <w:szCs w:val="18"/>
        </w:rPr>
        <w:t>Métodos de investigación</w:t>
      </w:r>
      <w:bookmarkEnd w:id="232"/>
      <w:r w:rsidRPr="00734D3B">
        <w:rPr>
          <w:bCs/>
          <w:i/>
          <w:iCs/>
          <w:szCs w:val="18"/>
        </w:rPr>
        <w:t xml:space="preserve"> </w:t>
      </w:r>
    </w:p>
    <w:tbl>
      <w:tblPr>
        <w:tblW w:w="5170" w:type="pct"/>
        <w:jc w:val="center"/>
        <w:tblBorders>
          <w:top w:val="single" w:sz="4" w:space="0" w:color="auto"/>
          <w:bottom w:val="single" w:sz="4" w:space="0" w:color="auto"/>
        </w:tblBorders>
        <w:tblLook w:val="0000" w:firstRow="0" w:lastRow="0" w:firstColumn="0" w:lastColumn="0" w:noHBand="0" w:noVBand="0"/>
      </w:tblPr>
      <w:tblGrid>
        <w:gridCol w:w="2830"/>
        <w:gridCol w:w="1774"/>
        <w:gridCol w:w="1635"/>
        <w:gridCol w:w="1708"/>
        <w:gridCol w:w="1733"/>
      </w:tblGrid>
      <w:tr w:rsidR="00734D3B" w:rsidRPr="00734D3B" w14:paraId="65855EEB" w14:textId="77777777" w:rsidTr="00B07E5A">
        <w:trPr>
          <w:trHeight w:val="173"/>
          <w:tblHeader/>
          <w:jc w:val="center"/>
        </w:trPr>
        <w:tc>
          <w:tcPr>
            <w:tcW w:w="1473" w:type="pct"/>
            <w:vMerge w:val="restart"/>
            <w:tcBorders>
              <w:top w:val="single" w:sz="4" w:space="0" w:color="auto"/>
              <w:bottom w:val="nil"/>
            </w:tcBorders>
            <w:shd w:val="clear" w:color="auto" w:fill="B4C6E7"/>
            <w:vAlign w:val="center"/>
          </w:tcPr>
          <w:p w14:paraId="27990DBF" w14:textId="77777777" w:rsidR="00A4251D" w:rsidRPr="00734D3B" w:rsidRDefault="00A4251D" w:rsidP="00616C68">
            <w:pPr>
              <w:contextualSpacing/>
              <w:jc w:val="center"/>
              <w:rPr>
                <w:rFonts w:cs="Arial"/>
                <w:b/>
                <w:szCs w:val="22"/>
              </w:rPr>
            </w:pPr>
            <w:bookmarkStart w:id="234" w:name="_Hlk108883527"/>
            <w:r w:rsidRPr="00734D3B">
              <w:rPr>
                <w:rFonts w:cs="Arial"/>
                <w:b/>
                <w:szCs w:val="22"/>
              </w:rPr>
              <w:lastRenderedPageBreak/>
              <w:t>Objetivos</w:t>
            </w:r>
          </w:p>
        </w:tc>
        <w:tc>
          <w:tcPr>
            <w:tcW w:w="3527" w:type="pct"/>
            <w:gridSpan w:val="4"/>
            <w:tcBorders>
              <w:top w:val="single" w:sz="4" w:space="0" w:color="auto"/>
              <w:bottom w:val="single" w:sz="4" w:space="0" w:color="auto"/>
            </w:tcBorders>
            <w:shd w:val="clear" w:color="auto" w:fill="B4C6E7"/>
            <w:vAlign w:val="center"/>
          </w:tcPr>
          <w:p w14:paraId="35B11528" w14:textId="77777777" w:rsidR="00A4251D" w:rsidRPr="00734D3B" w:rsidRDefault="00A4251D" w:rsidP="00616C68">
            <w:pPr>
              <w:contextualSpacing/>
              <w:jc w:val="center"/>
              <w:rPr>
                <w:rFonts w:cs="Arial"/>
                <w:b/>
                <w:szCs w:val="22"/>
              </w:rPr>
            </w:pPr>
            <w:r w:rsidRPr="00734D3B">
              <w:rPr>
                <w:rFonts w:cs="Arial"/>
                <w:b/>
                <w:szCs w:val="22"/>
              </w:rPr>
              <w:t>Métodos de Investigación</w:t>
            </w:r>
          </w:p>
        </w:tc>
      </w:tr>
      <w:tr w:rsidR="00734D3B" w:rsidRPr="00734D3B" w14:paraId="4786518C" w14:textId="77777777" w:rsidTr="00B07E5A">
        <w:trPr>
          <w:trHeight w:val="614"/>
          <w:tblHeader/>
          <w:jc w:val="center"/>
        </w:trPr>
        <w:tc>
          <w:tcPr>
            <w:tcW w:w="1473" w:type="pct"/>
            <w:vMerge/>
            <w:tcBorders>
              <w:top w:val="nil"/>
              <w:bottom w:val="single" w:sz="4" w:space="0" w:color="auto"/>
            </w:tcBorders>
            <w:shd w:val="clear" w:color="auto" w:fill="B4C6E7"/>
            <w:vAlign w:val="center"/>
          </w:tcPr>
          <w:p w14:paraId="489750D6" w14:textId="77777777" w:rsidR="00A4251D" w:rsidRPr="00734D3B" w:rsidRDefault="00A4251D" w:rsidP="00616C68">
            <w:pPr>
              <w:contextualSpacing/>
              <w:jc w:val="both"/>
              <w:rPr>
                <w:rFonts w:cs="Arial"/>
                <w:b/>
                <w:szCs w:val="22"/>
              </w:rPr>
            </w:pPr>
          </w:p>
        </w:tc>
        <w:tc>
          <w:tcPr>
            <w:tcW w:w="927" w:type="pct"/>
            <w:tcBorders>
              <w:top w:val="single" w:sz="4" w:space="0" w:color="auto"/>
              <w:bottom w:val="single" w:sz="4" w:space="0" w:color="auto"/>
            </w:tcBorders>
            <w:shd w:val="clear" w:color="auto" w:fill="B4C6E7"/>
            <w:vAlign w:val="center"/>
          </w:tcPr>
          <w:p w14:paraId="7004F80F" w14:textId="77777777" w:rsidR="00A4251D" w:rsidRPr="00734D3B" w:rsidRDefault="00A4251D" w:rsidP="00616C68">
            <w:pPr>
              <w:spacing w:line="240" w:lineRule="auto"/>
              <w:ind w:firstLine="0"/>
              <w:contextualSpacing/>
              <w:jc w:val="center"/>
              <w:rPr>
                <w:rFonts w:cs="Arial"/>
                <w:b/>
                <w:szCs w:val="22"/>
              </w:rPr>
            </w:pPr>
            <w:r w:rsidRPr="00734D3B">
              <w:rPr>
                <w:rFonts w:cs="Arial"/>
                <w:b/>
                <w:szCs w:val="22"/>
              </w:rPr>
              <w:t>Método analítico-sintético</w:t>
            </w:r>
          </w:p>
        </w:tc>
        <w:tc>
          <w:tcPr>
            <w:tcW w:w="854" w:type="pct"/>
            <w:tcBorders>
              <w:top w:val="single" w:sz="4" w:space="0" w:color="auto"/>
              <w:bottom w:val="single" w:sz="4" w:space="0" w:color="auto"/>
            </w:tcBorders>
            <w:shd w:val="clear" w:color="auto" w:fill="B4C6E7"/>
            <w:vAlign w:val="center"/>
          </w:tcPr>
          <w:p w14:paraId="09AD3AE2" w14:textId="77777777" w:rsidR="00A4251D" w:rsidRPr="00734D3B" w:rsidRDefault="00A4251D" w:rsidP="00616C68">
            <w:pPr>
              <w:spacing w:line="240" w:lineRule="auto"/>
              <w:ind w:firstLine="0"/>
              <w:contextualSpacing/>
              <w:jc w:val="center"/>
              <w:rPr>
                <w:rFonts w:cs="Arial"/>
                <w:b/>
                <w:szCs w:val="22"/>
              </w:rPr>
            </w:pPr>
            <w:r w:rsidRPr="00734D3B">
              <w:rPr>
                <w:rFonts w:cs="Arial"/>
                <w:b/>
                <w:szCs w:val="22"/>
              </w:rPr>
              <w:t>Método inductivo</w:t>
            </w:r>
          </w:p>
        </w:tc>
        <w:tc>
          <w:tcPr>
            <w:tcW w:w="858" w:type="pct"/>
            <w:tcBorders>
              <w:top w:val="single" w:sz="4" w:space="0" w:color="auto"/>
              <w:bottom w:val="single" w:sz="4" w:space="0" w:color="auto"/>
            </w:tcBorders>
            <w:shd w:val="clear" w:color="auto" w:fill="B4C6E7"/>
            <w:vAlign w:val="center"/>
          </w:tcPr>
          <w:p w14:paraId="55B8A513" w14:textId="77777777" w:rsidR="00A4251D" w:rsidRPr="00734D3B" w:rsidRDefault="00A4251D" w:rsidP="00616C68">
            <w:pPr>
              <w:spacing w:line="240" w:lineRule="auto"/>
              <w:ind w:firstLine="0"/>
              <w:contextualSpacing/>
              <w:jc w:val="center"/>
              <w:rPr>
                <w:rFonts w:cs="Arial"/>
                <w:b/>
                <w:szCs w:val="22"/>
              </w:rPr>
            </w:pPr>
            <w:r w:rsidRPr="00734D3B">
              <w:rPr>
                <w:rFonts w:cs="Arial"/>
                <w:b/>
                <w:szCs w:val="22"/>
              </w:rPr>
              <w:t>Método deductivo</w:t>
            </w:r>
          </w:p>
        </w:tc>
        <w:tc>
          <w:tcPr>
            <w:tcW w:w="889" w:type="pct"/>
            <w:tcBorders>
              <w:top w:val="single" w:sz="4" w:space="0" w:color="auto"/>
              <w:bottom w:val="single" w:sz="4" w:space="0" w:color="auto"/>
            </w:tcBorders>
            <w:shd w:val="clear" w:color="auto" w:fill="B4C6E7"/>
          </w:tcPr>
          <w:p w14:paraId="27A1B3DA" w14:textId="77777777" w:rsidR="00A4251D" w:rsidRPr="00734D3B" w:rsidRDefault="00A4251D" w:rsidP="00616C68">
            <w:pPr>
              <w:spacing w:line="240" w:lineRule="auto"/>
              <w:ind w:firstLine="0"/>
              <w:contextualSpacing/>
              <w:jc w:val="center"/>
              <w:rPr>
                <w:rFonts w:cs="Arial"/>
              </w:rPr>
            </w:pPr>
            <w:r w:rsidRPr="00734D3B">
              <w:rPr>
                <w:rFonts w:cs="Arial"/>
                <w:b/>
                <w:szCs w:val="22"/>
              </w:rPr>
              <w:t>Técnicas</w:t>
            </w:r>
            <w:r w:rsidRPr="00734D3B">
              <w:rPr>
                <w:rFonts w:cs="Arial"/>
              </w:rPr>
              <w:t xml:space="preserve"> </w:t>
            </w:r>
            <w:r w:rsidRPr="00734D3B">
              <w:rPr>
                <w:rFonts w:cs="Arial"/>
                <w:b/>
                <w:bCs/>
              </w:rPr>
              <w:t>de Investigación documentales</w:t>
            </w:r>
          </w:p>
          <w:p w14:paraId="017D85E5" w14:textId="77777777" w:rsidR="00A4251D" w:rsidRPr="00734D3B" w:rsidRDefault="00A4251D" w:rsidP="00616C68">
            <w:pPr>
              <w:spacing w:line="240" w:lineRule="auto"/>
              <w:ind w:firstLine="0"/>
              <w:contextualSpacing/>
              <w:jc w:val="center"/>
              <w:rPr>
                <w:rFonts w:cs="Arial"/>
                <w:b/>
                <w:szCs w:val="22"/>
              </w:rPr>
            </w:pPr>
          </w:p>
        </w:tc>
      </w:tr>
      <w:tr w:rsidR="00734D3B" w:rsidRPr="00734D3B" w14:paraId="7412F6B3" w14:textId="77777777" w:rsidTr="00B07E5A">
        <w:trPr>
          <w:trHeight w:val="217"/>
          <w:jc w:val="center"/>
        </w:trPr>
        <w:tc>
          <w:tcPr>
            <w:tcW w:w="1473" w:type="pct"/>
            <w:tcBorders>
              <w:bottom w:val="nil"/>
            </w:tcBorders>
          </w:tcPr>
          <w:p w14:paraId="266E95BC" w14:textId="7B730783" w:rsidR="00B07E5A" w:rsidRPr="00734D3B" w:rsidRDefault="00B07E5A" w:rsidP="001D692F">
            <w:pPr>
              <w:pStyle w:val="ListParagraph"/>
              <w:numPr>
                <w:ilvl w:val="0"/>
                <w:numId w:val="33"/>
              </w:numPr>
              <w:spacing w:line="240" w:lineRule="auto"/>
              <w:contextualSpacing/>
              <w:rPr>
                <w:rFonts w:cs="Arial"/>
                <w:szCs w:val="22"/>
              </w:rPr>
            </w:pPr>
            <w:r w:rsidRPr="00734D3B">
              <w:rPr>
                <w:rFonts w:cs="Arial"/>
                <w:szCs w:val="22"/>
              </w:rPr>
              <w:t>Diagnosticar el estado actual de las prácticas de sostenibilidad y gestión de residuos aplicadas por contratistas eléctricos en proyectos de data centers en Arizona, EE. UU., para identificar brechas y oportunidades de mejora.</w:t>
            </w:r>
          </w:p>
          <w:p w14:paraId="3C015A9D" w14:textId="74391BAF" w:rsidR="00255FFF" w:rsidRPr="00734D3B" w:rsidRDefault="00255FFF" w:rsidP="00255FFF">
            <w:pPr>
              <w:spacing w:line="240" w:lineRule="auto"/>
              <w:contextualSpacing/>
              <w:rPr>
                <w:rFonts w:eastAsia="Calibri" w:cs="Arial"/>
                <w:szCs w:val="22"/>
                <w:lang w:eastAsia="en-US"/>
              </w:rPr>
            </w:pPr>
          </w:p>
        </w:tc>
        <w:tc>
          <w:tcPr>
            <w:tcW w:w="927" w:type="pct"/>
            <w:tcBorders>
              <w:top w:val="single" w:sz="4" w:space="0" w:color="auto"/>
              <w:bottom w:val="single" w:sz="4" w:space="0" w:color="auto"/>
            </w:tcBorders>
          </w:tcPr>
          <w:p w14:paraId="1AFE1101" w14:textId="18532979" w:rsidR="00B07E5A" w:rsidRPr="00734D3B" w:rsidRDefault="008406A6" w:rsidP="00B07E5A">
            <w:pPr>
              <w:spacing w:line="240" w:lineRule="auto"/>
              <w:ind w:firstLine="0"/>
              <w:contextualSpacing/>
              <w:rPr>
                <w:rFonts w:cs="Arial"/>
                <w:szCs w:val="22"/>
              </w:rPr>
            </w:pPr>
            <w:r w:rsidRPr="00734D3B">
              <w:rPr>
                <w:rFonts w:cs="Arial"/>
                <w:szCs w:val="22"/>
              </w:rPr>
              <w:t>Análisis de la información recolectada para identificar patrones, brechas y oportunidades de mejora en las prácticas de sostenibilidad y gestión de residuos.</w:t>
            </w:r>
          </w:p>
        </w:tc>
        <w:tc>
          <w:tcPr>
            <w:tcW w:w="854" w:type="pct"/>
            <w:tcBorders>
              <w:top w:val="single" w:sz="4" w:space="0" w:color="auto"/>
              <w:bottom w:val="single" w:sz="4" w:space="0" w:color="auto"/>
            </w:tcBorders>
          </w:tcPr>
          <w:p w14:paraId="1FDF1048" w14:textId="4F2FDF7A" w:rsidR="00B07E5A" w:rsidRPr="00734D3B" w:rsidRDefault="00732842" w:rsidP="00B07E5A">
            <w:pPr>
              <w:spacing w:line="240" w:lineRule="auto"/>
              <w:ind w:firstLine="0"/>
              <w:contextualSpacing/>
              <w:rPr>
                <w:rFonts w:cs="Arial"/>
                <w:szCs w:val="22"/>
              </w:rPr>
            </w:pPr>
            <w:r w:rsidRPr="00734D3B">
              <w:rPr>
                <w:rFonts w:cs="Arial"/>
                <w:szCs w:val="22"/>
              </w:rPr>
              <w:t>A partir de casos y observaciones particulares se derivaron conclusiones generales sobre el estado actual de las prácticas aplicadas por los contratistas eléctricos.</w:t>
            </w:r>
          </w:p>
        </w:tc>
        <w:tc>
          <w:tcPr>
            <w:tcW w:w="858" w:type="pct"/>
            <w:tcBorders>
              <w:top w:val="single" w:sz="4" w:space="0" w:color="auto"/>
              <w:bottom w:val="single" w:sz="4" w:space="0" w:color="auto"/>
            </w:tcBorders>
          </w:tcPr>
          <w:p w14:paraId="4B80677B" w14:textId="77777777" w:rsidR="00B07E5A" w:rsidRPr="00734D3B" w:rsidRDefault="00B07E5A" w:rsidP="00B07E5A">
            <w:pPr>
              <w:spacing w:line="240" w:lineRule="auto"/>
              <w:ind w:firstLine="0"/>
              <w:contextualSpacing/>
              <w:rPr>
                <w:rFonts w:cs="Arial"/>
                <w:szCs w:val="22"/>
              </w:rPr>
            </w:pPr>
          </w:p>
        </w:tc>
        <w:tc>
          <w:tcPr>
            <w:tcW w:w="889" w:type="pct"/>
            <w:tcBorders>
              <w:top w:val="single" w:sz="4" w:space="0" w:color="auto"/>
              <w:bottom w:val="single" w:sz="4" w:space="0" w:color="auto"/>
            </w:tcBorders>
          </w:tcPr>
          <w:p w14:paraId="09A4CF5A" w14:textId="27DB9331" w:rsidR="00B07E5A" w:rsidRPr="00734D3B" w:rsidRDefault="00732842" w:rsidP="00B07E5A">
            <w:pPr>
              <w:spacing w:line="240" w:lineRule="auto"/>
              <w:ind w:firstLine="0"/>
              <w:contextualSpacing/>
              <w:rPr>
                <w:rFonts w:cs="Arial"/>
                <w:szCs w:val="22"/>
              </w:rPr>
            </w:pPr>
            <w:r w:rsidRPr="00734D3B">
              <w:rPr>
                <w:rFonts w:cs="Arial"/>
                <w:szCs w:val="22"/>
              </w:rPr>
              <w:t>Revisión de informes internos, registros de gestión de residuos y documentación técnica de proyectos de data centers.</w:t>
            </w:r>
          </w:p>
          <w:p w14:paraId="12B365B9" w14:textId="77777777" w:rsidR="00B07E5A" w:rsidRPr="00734D3B" w:rsidRDefault="00B07E5A" w:rsidP="00B07E5A">
            <w:pPr>
              <w:spacing w:line="240" w:lineRule="auto"/>
              <w:ind w:firstLine="0"/>
              <w:contextualSpacing/>
              <w:rPr>
                <w:rFonts w:cs="Arial"/>
                <w:szCs w:val="22"/>
              </w:rPr>
            </w:pPr>
          </w:p>
          <w:p w14:paraId="07521C43" w14:textId="77777777" w:rsidR="00B07E5A" w:rsidRPr="00734D3B" w:rsidRDefault="00B07E5A" w:rsidP="00B07E5A">
            <w:pPr>
              <w:spacing w:line="240" w:lineRule="auto"/>
              <w:ind w:firstLine="0"/>
              <w:contextualSpacing/>
              <w:rPr>
                <w:rFonts w:cs="Arial"/>
                <w:szCs w:val="22"/>
              </w:rPr>
            </w:pPr>
          </w:p>
        </w:tc>
      </w:tr>
      <w:tr w:rsidR="00734D3B" w:rsidRPr="00734D3B" w14:paraId="50750E67" w14:textId="77777777" w:rsidTr="00B07E5A">
        <w:trPr>
          <w:trHeight w:val="217"/>
          <w:jc w:val="center"/>
        </w:trPr>
        <w:tc>
          <w:tcPr>
            <w:tcW w:w="1473" w:type="pct"/>
            <w:tcBorders>
              <w:top w:val="nil"/>
              <w:bottom w:val="nil"/>
            </w:tcBorders>
          </w:tcPr>
          <w:p w14:paraId="1BC5B74D" w14:textId="4DE80BB3" w:rsidR="00B07E5A" w:rsidRPr="00734D3B" w:rsidRDefault="00B07E5A" w:rsidP="00B07E5A">
            <w:pPr>
              <w:spacing w:line="240" w:lineRule="auto"/>
              <w:ind w:left="284" w:firstLine="0"/>
              <w:contextualSpacing/>
              <w:rPr>
                <w:rFonts w:cs="Arial"/>
                <w:szCs w:val="22"/>
              </w:rPr>
            </w:pPr>
            <w:r w:rsidRPr="00734D3B">
              <w:rPr>
                <w:rFonts w:cs="Arial"/>
                <w:szCs w:val="22"/>
              </w:rPr>
              <w:t>2. Analizar marcos normativos y buenas prácticas internacionales y regionales aplicables a la gestión ambiental en proyectos eléctricos para fundamentar el diseño de la guía metodológica.</w:t>
            </w:r>
          </w:p>
        </w:tc>
        <w:tc>
          <w:tcPr>
            <w:tcW w:w="927" w:type="pct"/>
            <w:tcBorders>
              <w:top w:val="single" w:sz="4" w:space="0" w:color="auto"/>
              <w:bottom w:val="single" w:sz="4" w:space="0" w:color="auto"/>
            </w:tcBorders>
          </w:tcPr>
          <w:p w14:paraId="0B15D094" w14:textId="3FDEE0F1" w:rsidR="00B07E5A" w:rsidRPr="00734D3B" w:rsidRDefault="00510AA7" w:rsidP="00B07E5A">
            <w:pPr>
              <w:spacing w:line="240" w:lineRule="auto"/>
              <w:ind w:firstLine="0"/>
              <w:contextualSpacing/>
              <w:rPr>
                <w:rFonts w:cs="Arial"/>
                <w:szCs w:val="22"/>
              </w:rPr>
            </w:pPr>
            <w:r w:rsidRPr="00734D3B">
              <w:rPr>
                <w:rFonts w:cs="Arial"/>
                <w:szCs w:val="22"/>
              </w:rPr>
              <w:t>Estudio comparativo y síntesis de normativas y estándares internacionales y regionales en materia de sostenibilidad ambiental.</w:t>
            </w:r>
          </w:p>
        </w:tc>
        <w:tc>
          <w:tcPr>
            <w:tcW w:w="854" w:type="pct"/>
            <w:tcBorders>
              <w:top w:val="single" w:sz="4" w:space="0" w:color="auto"/>
              <w:bottom w:val="single" w:sz="4" w:space="0" w:color="auto"/>
            </w:tcBorders>
          </w:tcPr>
          <w:p w14:paraId="5EEF7BCE" w14:textId="64686613" w:rsidR="00B07E5A" w:rsidRPr="00734D3B" w:rsidRDefault="00B07E5A" w:rsidP="00B07E5A">
            <w:pPr>
              <w:spacing w:line="240" w:lineRule="auto"/>
              <w:ind w:firstLine="0"/>
              <w:contextualSpacing/>
              <w:rPr>
                <w:rFonts w:cs="Arial"/>
                <w:szCs w:val="22"/>
              </w:rPr>
            </w:pPr>
          </w:p>
        </w:tc>
        <w:tc>
          <w:tcPr>
            <w:tcW w:w="858" w:type="pct"/>
            <w:tcBorders>
              <w:top w:val="single" w:sz="4" w:space="0" w:color="auto"/>
              <w:bottom w:val="single" w:sz="4" w:space="0" w:color="auto"/>
            </w:tcBorders>
          </w:tcPr>
          <w:p w14:paraId="246D76F6" w14:textId="43C1BC94" w:rsidR="00B07E5A" w:rsidRPr="00734D3B" w:rsidRDefault="00510AA7" w:rsidP="00B07E5A">
            <w:pPr>
              <w:spacing w:line="240" w:lineRule="auto"/>
              <w:ind w:firstLine="0"/>
              <w:contextualSpacing/>
              <w:rPr>
                <w:rFonts w:cs="Arial"/>
                <w:szCs w:val="22"/>
              </w:rPr>
            </w:pPr>
            <w:r w:rsidRPr="00734D3B">
              <w:rPr>
                <w:rFonts w:cs="Arial"/>
                <w:szCs w:val="22"/>
              </w:rPr>
              <w:t>A partir de los principios generales establecidos en las normativas y estándares se derivaron lineamientos aplicables a proyectos eléctricos de data centers.</w:t>
            </w:r>
          </w:p>
        </w:tc>
        <w:tc>
          <w:tcPr>
            <w:tcW w:w="889" w:type="pct"/>
            <w:tcBorders>
              <w:top w:val="single" w:sz="4" w:space="0" w:color="auto"/>
              <w:bottom w:val="single" w:sz="4" w:space="0" w:color="auto"/>
            </w:tcBorders>
          </w:tcPr>
          <w:p w14:paraId="16798F24" w14:textId="0DF5CCDA" w:rsidR="00B07E5A" w:rsidRPr="00734D3B" w:rsidRDefault="00CD3BED" w:rsidP="00B07E5A">
            <w:pPr>
              <w:spacing w:line="240" w:lineRule="auto"/>
              <w:ind w:firstLine="0"/>
              <w:contextualSpacing/>
              <w:rPr>
                <w:rFonts w:cs="Arial"/>
                <w:szCs w:val="22"/>
              </w:rPr>
            </w:pPr>
            <w:r w:rsidRPr="00734D3B">
              <w:rPr>
                <w:rFonts w:cs="Arial"/>
                <w:szCs w:val="22"/>
              </w:rPr>
              <w:t>Revisión documental de normas ISO, LEED, NECA, GPM Global y estudios sobre buenas prácticas del sector eléctrico.</w:t>
            </w:r>
          </w:p>
        </w:tc>
      </w:tr>
      <w:tr w:rsidR="00734D3B" w:rsidRPr="00734D3B" w14:paraId="1D91D4EB" w14:textId="77777777" w:rsidTr="00B07E5A">
        <w:trPr>
          <w:trHeight w:val="217"/>
          <w:jc w:val="center"/>
        </w:trPr>
        <w:tc>
          <w:tcPr>
            <w:tcW w:w="1473" w:type="pct"/>
            <w:tcBorders>
              <w:top w:val="nil"/>
              <w:bottom w:val="nil"/>
            </w:tcBorders>
          </w:tcPr>
          <w:p w14:paraId="5B4DE853" w14:textId="77777777" w:rsidR="00B07E5A" w:rsidRPr="00734D3B" w:rsidRDefault="00B07E5A" w:rsidP="00255FFF">
            <w:pPr>
              <w:spacing w:line="240" w:lineRule="auto"/>
              <w:ind w:left="284" w:firstLine="0"/>
              <w:contextualSpacing/>
              <w:rPr>
                <w:rFonts w:eastAsia="Calibri" w:cs="Arial"/>
                <w:szCs w:val="22"/>
                <w:lang w:eastAsia="en-US"/>
              </w:rPr>
            </w:pPr>
            <w:r w:rsidRPr="00734D3B">
              <w:rPr>
                <w:rFonts w:cs="Arial"/>
                <w:szCs w:val="22"/>
              </w:rPr>
              <w:t>3. Diseñar lineamientos y procedimientos prácticos para la reducción, segregación, reutilización y disposición adecuada de residuos eléctricos en proyectos de construcción de data centers para orientar la gestión sostenible de contratistas eléctricos.</w:t>
            </w:r>
          </w:p>
          <w:p w14:paraId="177EFD5F" w14:textId="77777777" w:rsidR="00255FFF" w:rsidRPr="00734D3B" w:rsidRDefault="00255FFF" w:rsidP="00255FFF">
            <w:pPr>
              <w:spacing w:line="240" w:lineRule="auto"/>
              <w:ind w:left="284" w:firstLine="0"/>
              <w:contextualSpacing/>
              <w:rPr>
                <w:rFonts w:eastAsia="Calibri" w:cs="Arial"/>
                <w:szCs w:val="22"/>
                <w:lang w:eastAsia="en-US"/>
              </w:rPr>
            </w:pPr>
          </w:p>
          <w:p w14:paraId="35B65358" w14:textId="7FEBE361" w:rsidR="00B07E5A" w:rsidRPr="00734D3B" w:rsidRDefault="00B07E5A" w:rsidP="00255FFF">
            <w:pPr>
              <w:spacing w:line="240" w:lineRule="auto"/>
              <w:ind w:left="284" w:firstLine="0"/>
              <w:contextualSpacing/>
              <w:rPr>
                <w:rFonts w:eastAsia="Calibri" w:cs="Arial"/>
                <w:szCs w:val="22"/>
                <w:lang w:eastAsia="en-US"/>
              </w:rPr>
            </w:pPr>
            <w:r w:rsidRPr="00734D3B">
              <w:rPr>
                <w:rFonts w:eastAsia="Calibri" w:cs="Arial"/>
                <w:szCs w:val="22"/>
                <w:lang w:eastAsia="en-US"/>
              </w:rPr>
              <w:lastRenderedPageBreak/>
              <w:t>4. 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p>
        </w:tc>
        <w:tc>
          <w:tcPr>
            <w:tcW w:w="927" w:type="pct"/>
            <w:tcBorders>
              <w:top w:val="single" w:sz="4" w:space="0" w:color="auto"/>
              <w:bottom w:val="single" w:sz="4" w:space="0" w:color="auto"/>
            </w:tcBorders>
          </w:tcPr>
          <w:p w14:paraId="0AF5CAFB" w14:textId="77777777" w:rsidR="00B07E5A" w:rsidRPr="00734D3B" w:rsidRDefault="004B72E4" w:rsidP="00B07E5A">
            <w:pPr>
              <w:spacing w:line="240" w:lineRule="auto"/>
              <w:ind w:firstLine="0"/>
              <w:contextualSpacing/>
              <w:rPr>
                <w:rFonts w:cs="Arial"/>
                <w:szCs w:val="22"/>
              </w:rPr>
            </w:pPr>
            <w:r w:rsidRPr="00734D3B">
              <w:rPr>
                <w:rFonts w:cs="Arial"/>
                <w:szCs w:val="22"/>
              </w:rPr>
              <w:lastRenderedPageBreak/>
              <w:t>Integración y síntesis de la información normativa y técnica para estructurar procedimientos operativos aplicables a la gestión de residuos eléctricos.</w:t>
            </w:r>
          </w:p>
          <w:p w14:paraId="50B796BB" w14:textId="77777777" w:rsidR="00EA7456" w:rsidRPr="00734D3B" w:rsidRDefault="00EA7456" w:rsidP="00B07E5A">
            <w:pPr>
              <w:spacing w:line="240" w:lineRule="auto"/>
              <w:ind w:firstLine="0"/>
              <w:contextualSpacing/>
              <w:rPr>
                <w:rFonts w:cs="Arial"/>
                <w:szCs w:val="22"/>
              </w:rPr>
            </w:pPr>
          </w:p>
          <w:p w14:paraId="5C81F7CD" w14:textId="77777777" w:rsidR="00EA7456" w:rsidRPr="00734D3B" w:rsidRDefault="00EA7456" w:rsidP="00B07E5A">
            <w:pPr>
              <w:spacing w:line="240" w:lineRule="auto"/>
              <w:ind w:firstLine="0"/>
              <w:contextualSpacing/>
              <w:rPr>
                <w:rFonts w:cs="Arial"/>
                <w:szCs w:val="22"/>
              </w:rPr>
            </w:pPr>
          </w:p>
          <w:p w14:paraId="2EA82D36" w14:textId="6FDA24F2" w:rsidR="00EA7456" w:rsidRPr="00734D3B" w:rsidRDefault="00EA7456" w:rsidP="00B07E5A">
            <w:pPr>
              <w:spacing w:line="240" w:lineRule="auto"/>
              <w:ind w:firstLine="0"/>
              <w:contextualSpacing/>
              <w:rPr>
                <w:rFonts w:cs="Arial"/>
                <w:szCs w:val="22"/>
              </w:rPr>
            </w:pPr>
            <w:r w:rsidRPr="00734D3B">
              <w:rPr>
                <w:rFonts w:cs="Arial"/>
                <w:szCs w:val="22"/>
              </w:rPr>
              <w:lastRenderedPageBreak/>
              <w:t>Síntesis integral de los resultados del diagnóstico, el análisis normativo y los lineamientos propuestos para estructurar la guía metodológica.</w:t>
            </w:r>
          </w:p>
        </w:tc>
        <w:tc>
          <w:tcPr>
            <w:tcW w:w="854" w:type="pct"/>
            <w:tcBorders>
              <w:top w:val="single" w:sz="4" w:space="0" w:color="auto"/>
              <w:bottom w:val="single" w:sz="4" w:space="0" w:color="auto"/>
            </w:tcBorders>
          </w:tcPr>
          <w:p w14:paraId="6A410255" w14:textId="77777777" w:rsidR="00B07E5A" w:rsidRPr="00734D3B" w:rsidRDefault="00B07E5A" w:rsidP="00B07E5A">
            <w:pPr>
              <w:spacing w:line="240" w:lineRule="auto"/>
              <w:ind w:firstLine="0"/>
              <w:contextualSpacing/>
              <w:rPr>
                <w:rFonts w:cs="Arial"/>
                <w:szCs w:val="22"/>
              </w:rPr>
            </w:pPr>
          </w:p>
          <w:p w14:paraId="2B6A1B6E" w14:textId="77777777" w:rsidR="00CC4424" w:rsidRPr="00734D3B" w:rsidRDefault="00CC4424" w:rsidP="00B07E5A">
            <w:pPr>
              <w:spacing w:line="240" w:lineRule="auto"/>
              <w:ind w:firstLine="0"/>
              <w:contextualSpacing/>
              <w:rPr>
                <w:rFonts w:cs="Arial"/>
                <w:szCs w:val="22"/>
              </w:rPr>
            </w:pPr>
          </w:p>
          <w:p w14:paraId="5BCA5687" w14:textId="77777777" w:rsidR="00CC4424" w:rsidRPr="00734D3B" w:rsidRDefault="00CC4424" w:rsidP="00B07E5A">
            <w:pPr>
              <w:spacing w:line="240" w:lineRule="auto"/>
              <w:ind w:firstLine="0"/>
              <w:contextualSpacing/>
              <w:rPr>
                <w:rFonts w:cs="Arial"/>
                <w:szCs w:val="22"/>
              </w:rPr>
            </w:pPr>
          </w:p>
          <w:p w14:paraId="01438334" w14:textId="77777777" w:rsidR="00CC4424" w:rsidRPr="00734D3B" w:rsidRDefault="00CC4424" w:rsidP="00B07E5A">
            <w:pPr>
              <w:spacing w:line="240" w:lineRule="auto"/>
              <w:ind w:firstLine="0"/>
              <w:contextualSpacing/>
              <w:rPr>
                <w:rFonts w:cs="Arial"/>
                <w:szCs w:val="22"/>
              </w:rPr>
            </w:pPr>
          </w:p>
          <w:p w14:paraId="0CFF9F96" w14:textId="77777777" w:rsidR="00CC4424" w:rsidRPr="00734D3B" w:rsidRDefault="00CC4424" w:rsidP="00B07E5A">
            <w:pPr>
              <w:spacing w:line="240" w:lineRule="auto"/>
              <w:ind w:firstLine="0"/>
              <w:contextualSpacing/>
              <w:rPr>
                <w:rFonts w:cs="Arial"/>
                <w:szCs w:val="22"/>
              </w:rPr>
            </w:pPr>
          </w:p>
          <w:p w14:paraId="3EDC2EE6" w14:textId="77777777" w:rsidR="00CC4424" w:rsidRPr="00734D3B" w:rsidRDefault="00CC4424" w:rsidP="00B07E5A">
            <w:pPr>
              <w:spacing w:line="240" w:lineRule="auto"/>
              <w:ind w:firstLine="0"/>
              <w:contextualSpacing/>
              <w:rPr>
                <w:rFonts w:cs="Arial"/>
                <w:szCs w:val="22"/>
              </w:rPr>
            </w:pPr>
          </w:p>
          <w:p w14:paraId="3B006CAF" w14:textId="77777777" w:rsidR="00CC4424" w:rsidRPr="00734D3B" w:rsidRDefault="00CC4424" w:rsidP="00B07E5A">
            <w:pPr>
              <w:spacing w:line="240" w:lineRule="auto"/>
              <w:ind w:firstLine="0"/>
              <w:contextualSpacing/>
              <w:rPr>
                <w:rFonts w:cs="Arial"/>
                <w:szCs w:val="22"/>
              </w:rPr>
            </w:pPr>
          </w:p>
          <w:p w14:paraId="7C7F03AF" w14:textId="77777777" w:rsidR="00CC4424" w:rsidRPr="00734D3B" w:rsidRDefault="00CC4424" w:rsidP="00B07E5A">
            <w:pPr>
              <w:spacing w:line="240" w:lineRule="auto"/>
              <w:ind w:firstLine="0"/>
              <w:contextualSpacing/>
              <w:rPr>
                <w:rFonts w:cs="Arial"/>
                <w:szCs w:val="22"/>
              </w:rPr>
            </w:pPr>
          </w:p>
          <w:p w14:paraId="0D520E26" w14:textId="77777777" w:rsidR="00CC4424" w:rsidRPr="00734D3B" w:rsidRDefault="00CC4424" w:rsidP="00B07E5A">
            <w:pPr>
              <w:spacing w:line="240" w:lineRule="auto"/>
              <w:ind w:firstLine="0"/>
              <w:contextualSpacing/>
              <w:rPr>
                <w:rFonts w:cs="Arial"/>
                <w:szCs w:val="22"/>
              </w:rPr>
            </w:pPr>
          </w:p>
          <w:p w14:paraId="286A609D" w14:textId="77777777" w:rsidR="00CC4424" w:rsidRPr="00734D3B" w:rsidRDefault="00CC4424" w:rsidP="00B07E5A">
            <w:pPr>
              <w:spacing w:line="240" w:lineRule="auto"/>
              <w:ind w:firstLine="0"/>
              <w:contextualSpacing/>
              <w:rPr>
                <w:rFonts w:cs="Arial"/>
                <w:szCs w:val="22"/>
              </w:rPr>
            </w:pPr>
          </w:p>
          <w:p w14:paraId="3F2DA406" w14:textId="77777777" w:rsidR="00CC4424" w:rsidRPr="00734D3B" w:rsidRDefault="00CC4424" w:rsidP="00B07E5A">
            <w:pPr>
              <w:spacing w:line="240" w:lineRule="auto"/>
              <w:ind w:firstLine="0"/>
              <w:contextualSpacing/>
              <w:rPr>
                <w:rFonts w:cs="Arial"/>
                <w:szCs w:val="22"/>
              </w:rPr>
            </w:pPr>
          </w:p>
          <w:p w14:paraId="24A69C46" w14:textId="77777777" w:rsidR="00CC4424" w:rsidRPr="00734D3B" w:rsidRDefault="00CC4424" w:rsidP="00B07E5A">
            <w:pPr>
              <w:spacing w:line="240" w:lineRule="auto"/>
              <w:ind w:firstLine="0"/>
              <w:contextualSpacing/>
              <w:rPr>
                <w:rFonts w:cs="Arial"/>
                <w:szCs w:val="22"/>
              </w:rPr>
            </w:pPr>
          </w:p>
          <w:p w14:paraId="0FF4DF3E" w14:textId="77777777" w:rsidR="00CC4424" w:rsidRPr="00734D3B" w:rsidRDefault="00CC4424" w:rsidP="00B07E5A">
            <w:pPr>
              <w:spacing w:line="240" w:lineRule="auto"/>
              <w:ind w:firstLine="0"/>
              <w:contextualSpacing/>
              <w:rPr>
                <w:rFonts w:cs="Arial"/>
                <w:szCs w:val="22"/>
              </w:rPr>
            </w:pPr>
          </w:p>
          <w:p w14:paraId="651A6063" w14:textId="77777777" w:rsidR="00CC4424" w:rsidRPr="00734D3B" w:rsidRDefault="00CC4424" w:rsidP="00B07E5A">
            <w:pPr>
              <w:spacing w:line="240" w:lineRule="auto"/>
              <w:ind w:firstLine="0"/>
              <w:contextualSpacing/>
              <w:rPr>
                <w:rFonts w:cs="Arial"/>
                <w:szCs w:val="22"/>
              </w:rPr>
            </w:pPr>
          </w:p>
          <w:p w14:paraId="04DB4D15" w14:textId="3F3652BD" w:rsidR="00CC4424" w:rsidRPr="00734D3B" w:rsidRDefault="00CC4424" w:rsidP="00B07E5A">
            <w:pPr>
              <w:spacing w:line="240" w:lineRule="auto"/>
              <w:ind w:firstLine="0"/>
              <w:contextualSpacing/>
              <w:rPr>
                <w:rFonts w:cs="Arial"/>
                <w:szCs w:val="22"/>
              </w:rPr>
            </w:pPr>
            <w:r w:rsidRPr="00734D3B">
              <w:rPr>
                <w:rFonts w:cs="Arial"/>
                <w:szCs w:val="22"/>
              </w:rPr>
              <w:lastRenderedPageBreak/>
              <w:t>A partir de experiencias y resultados particulares se formularon conclusiones generales aplicables a distintos proyectos de data centers.</w:t>
            </w:r>
          </w:p>
        </w:tc>
        <w:tc>
          <w:tcPr>
            <w:tcW w:w="858" w:type="pct"/>
            <w:tcBorders>
              <w:top w:val="single" w:sz="4" w:space="0" w:color="auto"/>
              <w:bottom w:val="single" w:sz="4" w:space="0" w:color="auto"/>
            </w:tcBorders>
          </w:tcPr>
          <w:p w14:paraId="75E5DDE8" w14:textId="75AA7E03" w:rsidR="00B07E5A" w:rsidRPr="00734D3B" w:rsidRDefault="004B72E4" w:rsidP="00B07E5A">
            <w:pPr>
              <w:spacing w:line="240" w:lineRule="auto"/>
              <w:ind w:firstLine="0"/>
              <w:contextualSpacing/>
              <w:rPr>
                <w:rFonts w:cs="Arial"/>
                <w:szCs w:val="22"/>
              </w:rPr>
            </w:pPr>
            <w:r w:rsidRPr="00734D3B">
              <w:rPr>
                <w:rFonts w:cs="Arial"/>
                <w:szCs w:val="22"/>
              </w:rPr>
              <w:lastRenderedPageBreak/>
              <w:t>Aplicación de principios y buenas prácticas generales para definir procedimientos específicos y replicables en proyectos eléctricos.</w:t>
            </w:r>
          </w:p>
          <w:p w14:paraId="112F934B" w14:textId="77777777" w:rsidR="004B72E4" w:rsidRPr="00734D3B" w:rsidRDefault="004B72E4" w:rsidP="00B07E5A">
            <w:pPr>
              <w:spacing w:line="240" w:lineRule="auto"/>
              <w:ind w:firstLine="0"/>
              <w:contextualSpacing/>
              <w:rPr>
                <w:rFonts w:cs="Arial"/>
              </w:rPr>
            </w:pPr>
          </w:p>
          <w:p w14:paraId="01C4678B" w14:textId="77777777" w:rsidR="00CC4424" w:rsidRPr="00734D3B" w:rsidRDefault="00CC4424" w:rsidP="00B07E5A">
            <w:pPr>
              <w:spacing w:line="240" w:lineRule="auto"/>
              <w:ind w:firstLine="0"/>
              <w:contextualSpacing/>
              <w:rPr>
                <w:rFonts w:cs="Arial"/>
              </w:rPr>
            </w:pPr>
          </w:p>
          <w:p w14:paraId="2DC0DF97" w14:textId="77777777" w:rsidR="00CC4424" w:rsidRPr="00734D3B" w:rsidRDefault="00CC4424" w:rsidP="00B07E5A">
            <w:pPr>
              <w:spacing w:line="240" w:lineRule="auto"/>
              <w:ind w:firstLine="0"/>
              <w:contextualSpacing/>
              <w:rPr>
                <w:rFonts w:cs="Arial"/>
              </w:rPr>
            </w:pPr>
          </w:p>
          <w:p w14:paraId="0E7F0EFC" w14:textId="776BE415" w:rsidR="00B07E5A" w:rsidRPr="00734D3B" w:rsidRDefault="00CC4424" w:rsidP="00B07E5A">
            <w:pPr>
              <w:spacing w:line="240" w:lineRule="auto"/>
              <w:ind w:firstLine="0"/>
              <w:contextualSpacing/>
              <w:rPr>
                <w:rFonts w:cs="Arial"/>
                <w:szCs w:val="22"/>
              </w:rPr>
            </w:pPr>
            <w:r w:rsidRPr="00734D3B">
              <w:rPr>
                <w:rFonts w:cs="Arial"/>
              </w:rPr>
              <w:lastRenderedPageBreak/>
              <w:t>Aplicación de principios generales de gestión ambiental y sostenibilidad para diseñar indicadores y criterios específicos de evaluación.</w:t>
            </w:r>
          </w:p>
        </w:tc>
        <w:tc>
          <w:tcPr>
            <w:tcW w:w="889" w:type="pct"/>
            <w:tcBorders>
              <w:top w:val="single" w:sz="4" w:space="0" w:color="auto"/>
              <w:bottom w:val="single" w:sz="4" w:space="0" w:color="auto"/>
            </w:tcBorders>
          </w:tcPr>
          <w:p w14:paraId="6D216F8E" w14:textId="77777777" w:rsidR="00B07E5A" w:rsidRPr="00734D3B" w:rsidRDefault="00EA7456" w:rsidP="00B07E5A">
            <w:pPr>
              <w:spacing w:line="240" w:lineRule="auto"/>
              <w:ind w:firstLine="0"/>
              <w:contextualSpacing/>
              <w:rPr>
                <w:rFonts w:cs="Arial"/>
                <w:szCs w:val="22"/>
              </w:rPr>
            </w:pPr>
            <w:r w:rsidRPr="00734D3B">
              <w:rPr>
                <w:rFonts w:cs="Arial"/>
                <w:szCs w:val="22"/>
              </w:rPr>
              <w:lastRenderedPageBreak/>
              <w:t>Análisis de guías técnicas, manuales operativos y Procedimientos Operativos Estandarizados (POE) relacionados con la gestión de residuos eléctricos.</w:t>
            </w:r>
          </w:p>
          <w:p w14:paraId="37824100" w14:textId="77777777" w:rsidR="008B5E96" w:rsidRPr="00734D3B" w:rsidRDefault="008B5E96" w:rsidP="00B07E5A">
            <w:pPr>
              <w:spacing w:line="240" w:lineRule="auto"/>
              <w:ind w:firstLine="0"/>
              <w:contextualSpacing/>
              <w:rPr>
                <w:rFonts w:cs="Arial"/>
                <w:szCs w:val="22"/>
              </w:rPr>
            </w:pPr>
          </w:p>
          <w:p w14:paraId="12E023D8" w14:textId="77777777" w:rsidR="008B5E96" w:rsidRPr="00734D3B" w:rsidRDefault="008B5E96" w:rsidP="00B07E5A">
            <w:pPr>
              <w:spacing w:line="240" w:lineRule="auto"/>
              <w:ind w:firstLine="0"/>
              <w:contextualSpacing/>
              <w:rPr>
                <w:rFonts w:cs="Arial"/>
                <w:szCs w:val="22"/>
              </w:rPr>
            </w:pPr>
          </w:p>
          <w:p w14:paraId="3B6E9D35" w14:textId="4D796442" w:rsidR="008B5E96" w:rsidRPr="00734D3B" w:rsidRDefault="008B5E96" w:rsidP="00B07E5A">
            <w:pPr>
              <w:spacing w:line="240" w:lineRule="auto"/>
              <w:ind w:firstLine="0"/>
              <w:contextualSpacing/>
              <w:rPr>
                <w:rFonts w:cs="Arial"/>
                <w:szCs w:val="22"/>
              </w:rPr>
            </w:pPr>
            <w:r w:rsidRPr="00734D3B">
              <w:rPr>
                <w:rFonts w:cs="Arial"/>
                <w:szCs w:val="22"/>
              </w:rPr>
              <w:lastRenderedPageBreak/>
              <w:t>Revisión de modelos de guías metodológicas, sistemas de indicadores ambientales (</w:t>
            </w:r>
            <w:proofErr w:type="spellStart"/>
            <w:r w:rsidRPr="00734D3B">
              <w:rPr>
                <w:rFonts w:cs="Arial"/>
                <w:szCs w:val="22"/>
              </w:rPr>
              <w:t>KPIs</w:t>
            </w:r>
            <w:proofErr w:type="spellEnd"/>
            <w:r w:rsidRPr="00734D3B">
              <w:rPr>
                <w:rFonts w:cs="Arial"/>
                <w:szCs w:val="22"/>
              </w:rPr>
              <w:t>) y documentación especializada en sostenibilidad aplicada a proyectos eléctricos.</w:t>
            </w:r>
          </w:p>
        </w:tc>
      </w:tr>
    </w:tbl>
    <w:bookmarkEnd w:id="234"/>
    <w:p w14:paraId="596CA646" w14:textId="571A84F1" w:rsidR="003D4023" w:rsidRPr="00734D3B" w:rsidRDefault="003D4023" w:rsidP="003D4023">
      <w:pPr>
        <w:spacing w:line="240" w:lineRule="auto"/>
        <w:ind w:firstLine="0"/>
        <w:contextualSpacing/>
        <w:rPr>
          <w:rFonts w:cs="Arial"/>
          <w:szCs w:val="22"/>
        </w:rPr>
      </w:pPr>
      <w:r w:rsidRPr="00734D3B">
        <w:rPr>
          <w:rFonts w:cs="Arial"/>
          <w:i/>
          <w:iCs/>
          <w:szCs w:val="22"/>
        </w:rPr>
        <w:lastRenderedPageBreak/>
        <w:t>Nota</w:t>
      </w:r>
      <w:r w:rsidRPr="00734D3B">
        <w:rPr>
          <w:rFonts w:cs="Arial"/>
          <w:szCs w:val="22"/>
        </w:rPr>
        <w:t xml:space="preserve">. La Tabla </w:t>
      </w:r>
      <w:r w:rsidR="00CA7A34" w:rsidRPr="00734D3B">
        <w:rPr>
          <w:rFonts w:cs="Arial"/>
          <w:szCs w:val="22"/>
        </w:rPr>
        <w:t>3</w:t>
      </w:r>
      <w:r w:rsidRPr="00734D3B">
        <w:rPr>
          <w:rFonts w:cs="Arial"/>
          <w:szCs w:val="22"/>
        </w:rPr>
        <w:t xml:space="preserve"> muestra </w:t>
      </w:r>
      <w:r w:rsidR="0093737F" w:rsidRPr="00734D3B">
        <w:rPr>
          <w:rFonts w:cs="Arial"/>
          <w:szCs w:val="22"/>
        </w:rPr>
        <w:t>el método</w:t>
      </w:r>
      <w:r w:rsidRPr="00734D3B">
        <w:rPr>
          <w:rFonts w:cs="Arial"/>
          <w:szCs w:val="22"/>
        </w:rPr>
        <w:t xml:space="preserve"> del proyecto, en correspondencia con cada objetivo. Autoría propia.</w:t>
      </w:r>
    </w:p>
    <w:bookmarkEnd w:id="233"/>
    <w:p w14:paraId="5C7412A9" w14:textId="77777777" w:rsidR="003D4023" w:rsidRPr="00734D3B" w:rsidRDefault="003D4023" w:rsidP="004337E3">
      <w:pPr>
        <w:ind w:firstLine="0"/>
      </w:pPr>
    </w:p>
    <w:p w14:paraId="16FBF987" w14:textId="38E145A3" w:rsidR="00264EEB" w:rsidRPr="00734D3B" w:rsidRDefault="00AA0633" w:rsidP="00AA0633">
      <w:pPr>
        <w:pStyle w:val="Heading3"/>
        <w:numPr>
          <w:ilvl w:val="0"/>
          <w:numId w:val="0"/>
        </w:numPr>
      </w:pPr>
      <w:bookmarkStart w:id="235" w:name="_Toc227936407"/>
      <w:r w:rsidRPr="00734D3B">
        <w:t>3.2.1</w:t>
      </w:r>
      <w:r w:rsidR="00B35146" w:rsidRPr="00734D3B">
        <w:t xml:space="preserve"> </w:t>
      </w:r>
      <w:r w:rsidR="00192B25" w:rsidRPr="00734D3B">
        <w:t>A</w:t>
      </w:r>
      <w:r w:rsidR="00264EEB" w:rsidRPr="00734D3B">
        <w:t>nalítico-sintético</w:t>
      </w:r>
      <w:bookmarkStart w:id="236" w:name="_Toc301889083"/>
      <w:bookmarkEnd w:id="235"/>
    </w:p>
    <w:p w14:paraId="3E5E7A31" w14:textId="77777777" w:rsidR="00AA0C64" w:rsidRPr="00734D3B" w:rsidRDefault="00AA0C64" w:rsidP="00AA0C64">
      <w:r w:rsidRPr="00734D3B">
        <w:t>La estrategia de razonamiento analítico-sintética es un recurso muy importante en la investigación, porque ayuda a entender temas complejos dividiéndolos en partes más pequeñas (análisis) y luego juntándolas para tener una visión general (síntesis). Según Tamayo y Tamayo (2005), esta estrategia consiste en separar un todo en sus partes para estudiar cómo funciona, y después unir los resultados para formar un conocimiento completo. De forma similar, Hernández-Sampieri, Fernández-Collado y Baptista (2022) explican que el análisis y la síntesis son pasos que se complementan: el análisis ayuda a entender cada detalle, mientras que la síntesis permite ver el panorama completo.</w:t>
      </w:r>
    </w:p>
    <w:p w14:paraId="2F5CF81D" w14:textId="77777777" w:rsidR="00AA0C64" w:rsidRPr="00734D3B" w:rsidRDefault="00AA0C64" w:rsidP="00AA0C64">
      <w:r w:rsidRPr="00734D3B">
        <w:t xml:space="preserve">En esta investigación, la estrategia analítico-sintética fue muy útil para estudiar los diferentes elementos de la gestión sostenible en los proyectos eléctricos de los centros de datos. En la parte del análisis, se estudiaron por separado los aspectos técnicos, ambientales y </w:t>
      </w:r>
      <w:r w:rsidRPr="00734D3B">
        <w:lastRenderedPageBreak/>
        <w:t>organizacionales de los contratistas eléctricos, para ver cómo cada uno afecta la sostenibilidad del proyecto. Se revisaron temas como las prácticas de instalación, el uso de materiales, el consumo de energía, el manejo de residuos y el cumplimiento de las normas. También se tomaron en cuenta aspectos humanos, como la capacitación del personal y la cultura de sostenibilidad dentro de las empresas.</w:t>
      </w:r>
    </w:p>
    <w:p w14:paraId="34AD2448" w14:textId="074E7E2D" w:rsidR="00AA0C64" w:rsidRPr="00734D3B" w:rsidRDefault="00247AD9" w:rsidP="00AA0C64">
      <w:r w:rsidRPr="00734D3B">
        <w:t>Posteriormente,</w:t>
      </w:r>
      <w:r w:rsidR="00AA0C64" w:rsidRPr="00734D3B">
        <w:t xml:space="preserve"> toda la información se unió para crear una idea general de cómo estos factores se relacionan entre sí dentro de los proyectos eléctricos. Esto permitió conectar los resultados obtenidos con las teorías estudiadas, como el desarrollo regenerativo, la economía circular y el modelo P5 de sostenibilidad. Con esto se logró una base sólida para crear una guía práctica que pueda usarse en diferentes proyectos.</w:t>
      </w:r>
    </w:p>
    <w:p w14:paraId="6E1CA0D6" w14:textId="4B52705B" w:rsidR="00AA0C64" w:rsidRPr="00734D3B" w:rsidRDefault="00AA0C64" w:rsidP="00AA0C64">
      <w:r w:rsidRPr="00734D3B">
        <w:t>Además, el uso de esta estrategia de razonamiento ayudó a encontrar patrones y buenas prácticas entre los contratistas, así como puntos donde se puede mejorar el manejo de materiales, la planificación del trabajo y el cuidado del ambiente. Gracias a este proceso se pudieron definir criterios y recomendaciones para reducir el desperdicio, mejorar la eficiencia energética y fomentar una gestión más responsable.</w:t>
      </w:r>
    </w:p>
    <w:p w14:paraId="31F51CCF" w14:textId="203A337A" w:rsidR="00E6696D" w:rsidRPr="00734D3B" w:rsidRDefault="00AA0C64" w:rsidP="00AA0C64">
      <w:r w:rsidRPr="00734D3B">
        <w:t>En definitiva, la estrategia analítico-sintética permitió organizar la información de forma lógica y clara. Ayudó a pasar de observaciones individuales a una visión completa del proceso eléctrico sostenible en los centros de datos, dando más valor y confianza a los resultados obtenidos en esta investigación.</w:t>
      </w:r>
    </w:p>
    <w:p w14:paraId="6603B514" w14:textId="29AD9E7F" w:rsidR="00264EEB" w:rsidRPr="00734D3B" w:rsidRDefault="00B35146" w:rsidP="00B35146">
      <w:pPr>
        <w:pStyle w:val="Heading3"/>
        <w:numPr>
          <w:ilvl w:val="0"/>
          <w:numId w:val="0"/>
        </w:numPr>
        <w:ind w:left="886" w:hanging="436"/>
      </w:pPr>
      <w:bookmarkStart w:id="237" w:name="_Toc227936408"/>
      <w:bookmarkEnd w:id="236"/>
      <w:r w:rsidRPr="00734D3B">
        <w:t xml:space="preserve">3.2.2 </w:t>
      </w:r>
      <w:r w:rsidR="00192B25" w:rsidRPr="00734D3B">
        <w:t>Inducción</w:t>
      </w:r>
      <w:bookmarkEnd w:id="237"/>
    </w:p>
    <w:p w14:paraId="30BCD9C2" w14:textId="77777777" w:rsidR="00E31742" w:rsidRPr="00734D3B" w:rsidRDefault="00E31742" w:rsidP="00E31742">
      <w:r w:rsidRPr="00734D3B">
        <w:t xml:space="preserve">La estrategia de razonamiento inductiva es una forma de razonamiento que se basa en observar hechos o situaciones reales para llegar a conclusiones generales. Según Hernández-Sampieri, Fernández-Collado y Baptista (2022), esta estrategia busca encontrar patrones o principios comunes a partir del análisis de varios casos. Por su parte, Kerlinger y Lee (2002) </w:t>
      </w:r>
      <w:r w:rsidRPr="00734D3B">
        <w:lastRenderedPageBreak/>
        <w:t>explican que la inducción es muy útil en los estudios prácticos, porque permite construir conocimiento a partir de la experiencia y los datos obtenidos directamente en el trabajo.</w:t>
      </w:r>
    </w:p>
    <w:p w14:paraId="49305999" w14:textId="77777777" w:rsidR="00E31742" w:rsidRPr="00734D3B" w:rsidRDefault="00E31742" w:rsidP="00E31742">
      <w:r w:rsidRPr="00734D3B">
        <w:t>En esta investigación, la estrategia inductiva ayudó a estudiar los proyectos eléctricos de los centros de datos a partir de la experiencia real de los contratistas eléctricos. A través de encuestas y revisión de documentos, se identificaron acciones, procesos y estrategias que muestran cómo las empresas aplicaban la sostenibilidad en su trabajo diario. Estas observaciones permitieron crear ideas generales sobre el manejo ambiental, la eficiencia energética, la planificación de los trabajos y la reducción de residuos. De esta forma, la estrategia de razonamiento permitió pasar del análisis de casos concretos a conclusiones que pueden aplicarse a toda la industria.</w:t>
      </w:r>
    </w:p>
    <w:p w14:paraId="57931E6C" w14:textId="77777777" w:rsidR="00E31742" w:rsidRPr="00734D3B" w:rsidRDefault="00E31742" w:rsidP="00E31742">
      <w:r w:rsidRPr="00734D3B">
        <w:t>También se utilizó esta estrategia para analizar las respuestas obtenidas en las encuestas a contratistas y personal técnico. Gracias a esta información se conocieron las prácticas más comunes y las opiniones del sector sobre sostenibilidad, innovación y cumplimiento de normas. Entre los resultados más repetidos se encontraron el uso de materiales reciclables, el aumento del trabajo con piezas prefabricadas y la instalación de sistemas para controlar el consumo de energía. Estos datos ayudaron a formular las recomendaciones incluidas en la guía metodológica.</w:t>
      </w:r>
    </w:p>
    <w:p w14:paraId="055B406C" w14:textId="77777777" w:rsidR="00E31742" w:rsidRPr="00734D3B" w:rsidRDefault="00E31742" w:rsidP="00E31742">
      <w:r w:rsidRPr="00734D3B">
        <w:t>Además, el razonamiento inductivo permitió relacionar los resultados observados con teorías como el modelo P5 del Green Project Management y los principios del desarrollo regenerativo. Al comparar la práctica con la teoría, fue posible crear una visión más clara y completa de cómo los contratistas pueden mejorar su desempeño ambiental. Este proceso ayudó a que el estudio tuviera conclusiones reales, basadas en hechos y aplicables a otros proyectos eléctricos.</w:t>
      </w:r>
    </w:p>
    <w:p w14:paraId="4F6B0E4A" w14:textId="6DAB9F6D" w:rsidR="00187548" w:rsidRPr="00734D3B" w:rsidRDefault="00E31742" w:rsidP="00E31742">
      <w:r w:rsidRPr="00734D3B">
        <w:t xml:space="preserve">Como conclusión, la estrategia de razonamiento inductiva fue la base principal de esta investigación, ya que permitió obtener resultados confiables a partir de la realidad del trabajo de </w:t>
      </w:r>
      <w:r w:rsidRPr="00734D3B">
        <w:lastRenderedPageBreak/>
        <w:t>los contratistas eléctricos. Gracias a este enfoque, la guía metodológica se construyó con información verdadera, útil y adaptada al sector de la construcción.</w:t>
      </w:r>
    </w:p>
    <w:p w14:paraId="46DB3E89" w14:textId="4EC8709A" w:rsidR="00264EEB" w:rsidRPr="00734D3B" w:rsidRDefault="00B35146" w:rsidP="00B35146">
      <w:pPr>
        <w:pStyle w:val="Heading3"/>
        <w:numPr>
          <w:ilvl w:val="0"/>
          <w:numId w:val="0"/>
        </w:numPr>
        <w:ind w:left="886" w:hanging="436"/>
      </w:pPr>
      <w:bookmarkStart w:id="238" w:name="_Toc227936409"/>
      <w:r w:rsidRPr="00734D3B">
        <w:t>3.2.</w:t>
      </w:r>
      <w:r w:rsidR="00E9494E" w:rsidRPr="00734D3B">
        <w:t xml:space="preserve"> </w:t>
      </w:r>
      <w:r w:rsidR="00192B25" w:rsidRPr="00734D3B">
        <w:t>Deducción</w:t>
      </w:r>
      <w:bookmarkEnd w:id="238"/>
    </w:p>
    <w:p w14:paraId="63E8FAA1" w14:textId="25326ADB" w:rsidR="006C700C" w:rsidRPr="00734D3B" w:rsidRDefault="006C700C" w:rsidP="006C700C">
      <w:r w:rsidRPr="00734D3B">
        <w:t>La estrategia de razonamiento deductiva es una forma de razonamiento que parte de ideas o principios generales para llegar a conclusiones más específicas. Según Hernández-Sampieri, Fernández-Collado y Baptista (2022), esta estrategia usa teorías ya conocidas para aplicarlas a casos reales y comprobar si son válidas. De manera similar, Bernal (2020) señala que la deducción ayuda a conectar el conocimiento general con la práctica, asegurando que las conclusiones sean lógicas y coherentes. En la investigación científica, esta estrategia de razonamiento es importante porque permite mantener orden y claridad entre la teoría y la realidad observada</w:t>
      </w:r>
      <w:r w:rsidR="0048081C" w:rsidRPr="00734D3B">
        <w:t xml:space="preserve"> en el campo</w:t>
      </w:r>
      <w:r w:rsidRPr="00734D3B">
        <w:t>.</w:t>
      </w:r>
    </w:p>
    <w:p w14:paraId="6D985EE2" w14:textId="77777777" w:rsidR="006C700C" w:rsidRPr="00734D3B" w:rsidRDefault="006C700C" w:rsidP="006C700C">
      <w:r w:rsidRPr="00734D3B">
        <w:t>En esta investigación, el razonamiento deductivo se usó para aplicar los principios y guías de la dirección de proyectos, como los del Project Management Institute (PMI, 2021), al trabajo que realizan los contratistas eléctricos en los proyectos de centros de datos en Estados Unidos. A partir de esas guías generales se desarrollaron recomendaciones concretas para planificar, ejecutar, controlar y cerrar proyectos eléctricos de manera más sostenible. Gracias a esto, las propuestas de la guía metodológica quedaron alineadas con los estándares internacionales pero adaptadas al trabajo real de los contratistas locales.</w:t>
      </w:r>
    </w:p>
    <w:p w14:paraId="19B99181" w14:textId="77777777" w:rsidR="006C700C" w:rsidRPr="00734D3B" w:rsidRDefault="006C700C" w:rsidP="006C700C">
      <w:r w:rsidRPr="00734D3B">
        <w:t>También se aplicó esta estrategia al estudiar modelos de sostenibilidad como el estándar P5 de Green Project Management (GPM Global, 2021) y la teoría del desarrollo regenerativo. Estas bases teóricas ayudaron a crear criterios para medir el desempeño ambiental, social y económico de los proyectos eléctricos. Por ejemplo, se definieron indicadores sobre reducción de desperdicios, mejor uso de materiales, rutas más cortas de cableado y eficiencia energética.</w:t>
      </w:r>
    </w:p>
    <w:p w14:paraId="18594008" w14:textId="0AA8EA9A" w:rsidR="006C700C" w:rsidRPr="00734D3B" w:rsidRDefault="006C700C" w:rsidP="006C700C">
      <w:r w:rsidRPr="00734D3B">
        <w:lastRenderedPageBreak/>
        <w:t xml:space="preserve">El razonamiento deductivo </w:t>
      </w:r>
      <w:r w:rsidR="005B58F1" w:rsidRPr="00734D3B">
        <w:t>asimismo</w:t>
      </w:r>
      <w:r w:rsidRPr="00734D3B">
        <w:t xml:space="preserve"> sirvió para comparar los resultados de las encuestas con las teorías ya existentes sobre sostenibilidad. Esto permitió comprobar que los hallazgos del estudio eran coherentes con los principios internacionales y daban una visión más completa del sector eléctrico.</w:t>
      </w:r>
    </w:p>
    <w:p w14:paraId="7D4EF2EB" w14:textId="378A9495" w:rsidR="002C07BD" w:rsidRPr="00734D3B" w:rsidRDefault="006C700C" w:rsidP="006C700C">
      <w:r w:rsidRPr="00734D3B">
        <w:t>La estrategia de razonamiento deductiva ayudó a unir la teoría con la práctica, garantizando que las conclusiones fueran claras, comprobables y útiles. Gracias a este enfoque, la guía metodológica propuesta se construyó con una base sólida y práctica que puede aplicarse en proyectos eléctricos reales y aporta valor tanto académico como profesional al sector de los centros de datos.</w:t>
      </w:r>
    </w:p>
    <w:p w14:paraId="579CDDCE" w14:textId="77CBB37C" w:rsidR="00264EEB" w:rsidRPr="00734D3B" w:rsidRDefault="00E9494E" w:rsidP="00E9494E">
      <w:pPr>
        <w:pStyle w:val="Heading2"/>
        <w:numPr>
          <w:ilvl w:val="0"/>
          <w:numId w:val="0"/>
        </w:numPr>
        <w:ind w:left="936" w:hanging="576"/>
      </w:pPr>
      <w:bookmarkStart w:id="239" w:name="_Toc354770526"/>
      <w:bookmarkStart w:id="240" w:name="_Toc211465605"/>
      <w:bookmarkStart w:id="241" w:name="_Toc227936410"/>
      <w:bookmarkStart w:id="242" w:name="_Toc221368093"/>
      <w:bookmarkStart w:id="243" w:name="_Toc221407368"/>
      <w:bookmarkStart w:id="244" w:name="_Toc221759838"/>
      <w:r w:rsidRPr="00734D3B">
        <w:t xml:space="preserve">3.3 </w:t>
      </w:r>
      <w:r w:rsidR="00264EEB" w:rsidRPr="00734D3B">
        <w:t>Herramientas</w:t>
      </w:r>
      <w:bookmarkEnd w:id="239"/>
      <w:bookmarkEnd w:id="240"/>
      <w:bookmarkEnd w:id="241"/>
    </w:p>
    <w:p w14:paraId="77EC29AB" w14:textId="77777777" w:rsidR="00E557C5" w:rsidRPr="00734D3B" w:rsidRDefault="00E557C5" w:rsidP="00E557C5">
      <w:pPr>
        <w:contextualSpacing/>
        <w:rPr>
          <w:rFonts w:cs="Arial"/>
          <w:szCs w:val="22"/>
        </w:rPr>
      </w:pPr>
      <w:bookmarkStart w:id="245" w:name="_Toc354770527"/>
      <w:r w:rsidRPr="00734D3B">
        <w:rPr>
          <w:rFonts w:cs="Arial"/>
          <w:szCs w:val="22"/>
        </w:rPr>
        <w:t>Las herramientas de la gestión de proyectos son recursos que ayudan a planear, organizar, controlar y terminar los proyectos de forma ordenada. Según el Project Management Institute (PMI, 2023), estas herramientas sirven para tomar decisiones, comunicarse mejor, usar bien el tiempo y aprovechar los recursos. Kerzner (2022) dice que cuando se usan correctamente, ayudan a trabajar mejor, entregar proyectos de calidad y mantener una buena coordinación entre los equipos.</w:t>
      </w:r>
    </w:p>
    <w:p w14:paraId="561EDBF3" w14:textId="4DA6B211" w:rsidR="00264EEB" w:rsidRPr="00734D3B" w:rsidRDefault="00E557C5" w:rsidP="00E557C5">
      <w:pPr>
        <w:contextualSpacing/>
        <w:rPr>
          <w:rFonts w:cs="Arial"/>
          <w:szCs w:val="22"/>
        </w:rPr>
      </w:pPr>
      <w:r w:rsidRPr="00734D3B">
        <w:rPr>
          <w:rFonts w:cs="Arial"/>
          <w:szCs w:val="22"/>
        </w:rPr>
        <w:t>En los proyectos eléctricos de centros de datos, estas herramientas son muy importantes porque ayudan a organizar el trabajo entre muchas áreas, cumplir con las normas ambientales y asegurar que los sistemas eléctricos sean seguros y funcionen bien. A continuación, se explican las principales herramientas usadas, su propósito y cómo ayudaron en este trabajo.</w:t>
      </w:r>
    </w:p>
    <w:p w14:paraId="4D6881E3" w14:textId="77777777" w:rsidR="002E133B" w:rsidRPr="00734D3B" w:rsidRDefault="002E133B" w:rsidP="00E557C5">
      <w:pPr>
        <w:contextualSpacing/>
        <w:rPr>
          <w:rFonts w:cs="Arial"/>
          <w:szCs w:val="22"/>
        </w:rPr>
      </w:pPr>
    </w:p>
    <w:p w14:paraId="4D1F0B8B" w14:textId="1EC12408" w:rsidR="00326E29" w:rsidRPr="00734D3B" w:rsidRDefault="00326E29" w:rsidP="00710DCA">
      <w:pPr>
        <w:pStyle w:val="Caption"/>
        <w:rPr>
          <w:i/>
          <w:iCs/>
          <w:color w:val="auto"/>
        </w:rPr>
      </w:pPr>
      <w:bookmarkStart w:id="246" w:name="_Toc228342084"/>
      <w:r w:rsidRPr="00734D3B">
        <w:rPr>
          <w:color w:val="auto"/>
        </w:rPr>
        <w:t xml:space="preserve">Tabla </w:t>
      </w:r>
      <w:r w:rsidR="00CA7A34" w:rsidRPr="00734D3B">
        <w:rPr>
          <w:color w:val="auto"/>
        </w:rPr>
        <w:fldChar w:fldCharType="begin"/>
      </w:r>
      <w:r w:rsidR="00CA7A34" w:rsidRPr="00734D3B">
        <w:rPr>
          <w:color w:val="auto"/>
        </w:rPr>
        <w:instrText xml:space="preserve"> SEQ Tabla \* ARABIC </w:instrText>
      </w:r>
      <w:r w:rsidR="00CA7A34" w:rsidRPr="00734D3B">
        <w:rPr>
          <w:color w:val="auto"/>
        </w:rPr>
        <w:fldChar w:fldCharType="separate"/>
      </w:r>
      <w:r w:rsidR="00374D60" w:rsidRPr="00734D3B">
        <w:rPr>
          <w:noProof/>
          <w:color w:val="auto"/>
        </w:rPr>
        <w:t>4</w:t>
      </w:r>
      <w:r w:rsidR="00CA7A34" w:rsidRPr="00734D3B">
        <w:rPr>
          <w:noProof/>
          <w:color w:val="auto"/>
        </w:rPr>
        <w:fldChar w:fldCharType="end"/>
      </w:r>
      <w:r w:rsidR="00710DCA" w:rsidRPr="00734D3B">
        <w:rPr>
          <w:color w:val="auto"/>
        </w:rPr>
        <w:t xml:space="preserve"> </w:t>
      </w:r>
      <w:r w:rsidR="00710DCA" w:rsidRPr="00734D3B">
        <w:rPr>
          <w:color w:val="auto"/>
        </w:rPr>
        <w:br/>
      </w:r>
      <w:r w:rsidR="00A221DD" w:rsidRPr="00734D3B">
        <w:rPr>
          <w:b w:val="0"/>
          <w:bCs/>
          <w:i/>
          <w:iCs/>
          <w:color w:val="auto"/>
        </w:rPr>
        <w:t>Herramientas de dirección de proyectos aplicadas en la gestión sostenible de contratistas eléctricos en data centers</w:t>
      </w:r>
      <w:r w:rsidR="00A221DD" w:rsidRPr="00734D3B">
        <w:rPr>
          <w:i/>
          <w:iCs/>
          <w:color w:val="auto"/>
        </w:rPr>
        <w:t>.</w:t>
      </w:r>
      <w:bookmarkEnd w:id="246"/>
    </w:p>
    <w:tbl>
      <w:tblPr>
        <w:tblpPr w:leftFromText="141" w:rightFromText="141" w:vertAnchor="text" w:horzAnchor="margin" w:tblpY="137"/>
        <w:tblW w:w="4792" w:type="pct"/>
        <w:tblBorders>
          <w:top w:val="single" w:sz="4" w:space="0" w:color="auto"/>
          <w:bottom w:val="single" w:sz="4" w:space="0" w:color="auto"/>
        </w:tblBorders>
        <w:tblLook w:val="0000" w:firstRow="0" w:lastRow="0" w:firstColumn="0" w:lastColumn="0" w:noHBand="0" w:noVBand="0"/>
      </w:tblPr>
      <w:tblGrid>
        <w:gridCol w:w="5788"/>
        <w:gridCol w:w="3185"/>
      </w:tblGrid>
      <w:tr w:rsidR="00734D3B" w:rsidRPr="00734D3B" w14:paraId="106EC9D9" w14:textId="77777777" w:rsidTr="00616C68">
        <w:trPr>
          <w:trHeight w:val="552"/>
          <w:tblHeader/>
        </w:trPr>
        <w:tc>
          <w:tcPr>
            <w:tcW w:w="3225" w:type="pct"/>
            <w:tcBorders>
              <w:top w:val="single" w:sz="4" w:space="0" w:color="auto"/>
              <w:bottom w:val="single" w:sz="4" w:space="0" w:color="auto"/>
            </w:tcBorders>
            <w:shd w:val="clear" w:color="auto" w:fill="B4C6E7"/>
            <w:vAlign w:val="center"/>
          </w:tcPr>
          <w:p w14:paraId="1A59406B" w14:textId="77777777" w:rsidR="004063C2" w:rsidRPr="00734D3B" w:rsidRDefault="004063C2" w:rsidP="00616C68">
            <w:pPr>
              <w:ind w:firstLine="0"/>
              <w:contextualSpacing/>
              <w:jc w:val="center"/>
              <w:rPr>
                <w:rFonts w:cs="Arial"/>
                <w:b/>
                <w:szCs w:val="22"/>
              </w:rPr>
            </w:pPr>
            <w:bookmarkStart w:id="247" w:name="_Hlk108883553"/>
            <w:r w:rsidRPr="00734D3B">
              <w:rPr>
                <w:rFonts w:cs="Arial"/>
                <w:b/>
                <w:szCs w:val="22"/>
              </w:rPr>
              <w:lastRenderedPageBreak/>
              <w:t>Objetivos</w:t>
            </w:r>
          </w:p>
        </w:tc>
        <w:tc>
          <w:tcPr>
            <w:tcW w:w="1775" w:type="pct"/>
            <w:tcBorders>
              <w:top w:val="single" w:sz="4" w:space="0" w:color="auto"/>
              <w:bottom w:val="single" w:sz="4" w:space="0" w:color="auto"/>
            </w:tcBorders>
            <w:shd w:val="clear" w:color="auto" w:fill="B4C6E7"/>
            <w:vAlign w:val="center"/>
          </w:tcPr>
          <w:p w14:paraId="6D0914C5" w14:textId="77777777" w:rsidR="004063C2" w:rsidRPr="00734D3B" w:rsidRDefault="004063C2" w:rsidP="00616C68">
            <w:pPr>
              <w:ind w:firstLine="0"/>
              <w:contextualSpacing/>
              <w:jc w:val="center"/>
              <w:rPr>
                <w:rFonts w:cs="Arial"/>
                <w:b/>
                <w:szCs w:val="22"/>
              </w:rPr>
            </w:pPr>
            <w:r w:rsidRPr="00734D3B">
              <w:rPr>
                <w:rFonts w:cs="Arial"/>
                <w:b/>
                <w:szCs w:val="22"/>
              </w:rPr>
              <w:t>Herramientas</w:t>
            </w:r>
          </w:p>
        </w:tc>
      </w:tr>
      <w:tr w:rsidR="00734D3B" w:rsidRPr="00734D3B" w14:paraId="6165AF4A" w14:textId="77777777" w:rsidTr="00671AD2">
        <w:trPr>
          <w:trHeight w:val="956"/>
        </w:trPr>
        <w:tc>
          <w:tcPr>
            <w:tcW w:w="3225" w:type="pct"/>
            <w:tcBorders>
              <w:bottom w:val="nil"/>
            </w:tcBorders>
          </w:tcPr>
          <w:p w14:paraId="274B6FFB" w14:textId="77777777" w:rsidR="00664EBD" w:rsidRPr="00734D3B" w:rsidRDefault="00664EBD" w:rsidP="001D692F">
            <w:pPr>
              <w:pStyle w:val="ListParagraph"/>
              <w:numPr>
                <w:ilvl w:val="0"/>
                <w:numId w:val="51"/>
              </w:numPr>
              <w:spacing w:line="240" w:lineRule="auto"/>
              <w:contextualSpacing/>
              <w:rPr>
                <w:rFonts w:cs="Arial"/>
                <w:szCs w:val="22"/>
              </w:rPr>
            </w:pPr>
            <w:r w:rsidRPr="00734D3B">
              <w:rPr>
                <w:rFonts w:cs="Arial"/>
                <w:szCs w:val="22"/>
              </w:rPr>
              <w:t>Diagnosticar el estado actual de las prácticas de sostenibilidad y gestión de residuos aplicadas por contratistas eléctricos en proyectos de data centers en Arizona, EE. UU., para identificar brechas y oportunidades de mejora.</w:t>
            </w:r>
          </w:p>
          <w:p w14:paraId="5908D370" w14:textId="77777777" w:rsidR="00664EBD" w:rsidRPr="00734D3B" w:rsidRDefault="00664EBD" w:rsidP="00664EBD">
            <w:pPr>
              <w:spacing w:line="240" w:lineRule="auto"/>
              <w:ind w:firstLine="0"/>
              <w:contextualSpacing/>
              <w:rPr>
                <w:rFonts w:cs="Arial"/>
                <w:szCs w:val="22"/>
              </w:rPr>
            </w:pPr>
          </w:p>
        </w:tc>
        <w:tc>
          <w:tcPr>
            <w:tcW w:w="1775" w:type="pct"/>
            <w:tcBorders>
              <w:top w:val="single" w:sz="4" w:space="0" w:color="auto"/>
              <w:bottom w:val="single" w:sz="4" w:space="0" w:color="auto"/>
            </w:tcBorders>
          </w:tcPr>
          <w:p w14:paraId="37B622E6" w14:textId="45B52AE0" w:rsidR="00664EBD" w:rsidRPr="00734D3B" w:rsidRDefault="00BF4596" w:rsidP="001D692F">
            <w:pPr>
              <w:numPr>
                <w:ilvl w:val="0"/>
                <w:numId w:val="31"/>
              </w:numPr>
              <w:spacing w:line="240" w:lineRule="auto"/>
              <w:ind w:left="288" w:hanging="284"/>
              <w:contextualSpacing/>
              <w:rPr>
                <w:rFonts w:cs="Arial"/>
                <w:szCs w:val="22"/>
              </w:rPr>
            </w:pPr>
            <w:r w:rsidRPr="00734D3B">
              <w:rPr>
                <w:rFonts w:eastAsia="Calibri" w:cs="Arial"/>
                <w:szCs w:val="22"/>
                <w:lang w:eastAsia="en-US"/>
              </w:rPr>
              <w:t>Encuestas y entrevistas estructuradas: obtención de datos primarios sobre prácticas reales de gestión de residuos</w:t>
            </w:r>
            <w:r w:rsidR="00971B2F" w:rsidRPr="00734D3B">
              <w:rPr>
                <w:rFonts w:eastAsia="Calibri" w:cs="Arial"/>
                <w:szCs w:val="22"/>
                <w:lang w:eastAsia="en-US"/>
              </w:rPr>
              <w:t xml:space="preserve">. </w:t>
            </w:r>
            <w:r w:rsidRPr="00734D3B">
              <w:rPr>
                <w:rFonts w:eastAsia="Calibri" w:cs="Arial"/>
                <w:szCs w:val="22"/>
                <w:lang w:eastAsia="en-US"/>
              </w:rPr>
              <w:t>Análisis de datos: sistematización y evaluación de la información recolectada</w:t>
            </w:r>
            <w:r w:rsidR="00971B2F" w:rsidRPr="00734D3B">
              <w:rPr>
                <w:rFonts w:eastAsia="Calibri" w:cs="Arial"/>
                <w:szCs w:val="22"/>
                <w:lang w:eastAsia="en-US"/>
              </w:rPr>
              <w:t xml:space="preserve">. </w:t>
            </w:r>
            <w:r w:rsidRPr="00734D3B">
              <w:rPr>
                <w:rFonts w:eastAsia="Calibri" w:cs="Arial"/>
                <w:szCs w:val="22"/>
                <w:lang w:eastAsia="en-US"/>
              </w:rPr>
              <w:t>Análisis de interesados: identificación de contratistas, clientes y organismos ambientales relevantes</w:t>
            </w:r>
            <w:r w:rsidR="00971B2F" w:rsidRPr="00734D3B">
              <w:rPr>
                <w:rFonts w:eastAsia="Calibri" w:cs="Arial"/>
                <w:szCs w:val="22"/>
                <w:lang w:eastAsia="en-US"/>
              </w:rPr>
              <w:t xml:space="preserve">. </w:t>
            </w:r>
            <w:r w:rsidRPr="00734D3B">
              <w:rPr>
                <w:rFonts w:eastAsia="Calibri" w:cs="Arial"/>
                <w:szCs w:val="22"/>
                <w:lang w:eastAsia="en-US"/>
              </w:rPr>
              <w:t>Análisis FODA: identificación de fortalezas, debilidades, oportunidades y amenazas en la gestión sostenible.</w:t>
            </w:r>
          </w:p>
        </w:tc>
      </w:tr>
      <w:tr w:rsidR="00734D3B" w:rsidRPr="00734D3B" w14:paraId="0AC564A6" w14:textId="77777777" w:rsidTr="00671AD2">
        <w:trPr>
          <w:trHeight w:val="1451"/>
        </w:trPr>
        <w:tc>
          <w:tcPr>
            <w:tcW w:w="3225" w:type="pct"/>
            <w:tcBorders>
              <w:top w:val="nil"/>
              <w:bottom w:val="nil"/>
            </w:tcBorders>
          </w:tcPr>
          <w:p w14:paraId="1DDA327E" w14:textId="1413C1B5" w:rsidR="00664EBD" w:rsidRPr="00734D3B" w:rsidRDefault="00664EBD" w:rsidP="00664EBD">
            <w:pPr>
              <w:spacing w:line="240" w:lineRule="auto"/>
              <w:ind w:firstLine="0"/>
              <w:contextualSpacing/>
              <w:rPr>
                <w:rFonts w:cs="Arial"/>
                <w:szCs w:val="22"/>
              </w:rPr>
            </w:pPr>
            <w:r w:rsidRPr="00734D3B">
              <w:rPr>
                <w:rFonts w:cs="Arial"/>
                <w:szCs w:val="22"/>
              </w:rPr>
              <w:t>2. Analizar marcos normativos y buenas prácticas internacionales y regionales aplicables a la gestión ambiental en proyectos eléctricos para fundamentar el diseño de la guía metodológica.</w:t>
            </w:r>
          </w:p>
        </w:tc>
        <w:tc>
          <w:tcPr>
            <w:tcW w:w="1775" w:type="pct"/>
            <w:tcBorders>
              <w:top w:val="single" w:sz="4" w:space="0" w:color="auto"/>
              <w:bottom w:val="single" w:sz="4" w:space="0" w:color="auto"/>
            </w:tcBorders>
          </w:tcPr>
          <w:p w14:paraId="7C169E57" w14:textId="1ED554EF" w:rsidR="00664EBD" w:rsidRPr="00734D3B" w:rsidRDefault="00C87699" w:rsidP="001D692F">
            <w:pPr>
              <w:numPr>
                <w:ilvl w:val="0"/>
                <w:numId w:val="31"/>
              </w:numPr>
              <w:spacing w:line="240" w:lineRule="auto"/>
              <w:ind w:left="288" w:hanging="284"/>
              <w:contextualSpacing/>
              <w:rPr>
                <w:rFonts w:cs="Arial"/>
                <w:szCs w:val="22"/>
              </w:rPr>
            </w:pPr>
            <w:r w:rsidRPr="00734D3B">
              <w:rPr>
                <w:rFonts w:eastAsia="Calibri" w:cs="Arial"/>
                <w:szCs w:val="22"/>
                <w:lang w:eastAsia="en-US"/>
              </w:rPr>
              <w:t>Análisis documental: revisión de normas y estándares (ISO, LEED, NECA, GPM Global</w:t>
            </w:r>
            <w:proofErr w:type="gramStart"/>
            <w:r w:rsidRPr="00734D3B">
              <w:rPr>
                <w:rFonts w:eastAsia="Calibri" w:cs="Arial"/>
                <w:szCs w:val="22"/>
                <w:lang w:eastAsia="en-US"/>
              </w:rPr>
              <w:t>).-</w:t>
            </w:r>
            <w:proofErr w:type="gramEnd"/>
            <w:r w:rsidRPr="00734D3B">
              <w:rPr>
                <w:rFonts w:eastAsia="Calibri" w:cs="Arial"/>
                <w:szCs w:val="22"/>
                <w:lang w:eastAsia="en-US"/>
              </w:rPr>
              <w:t xml:space="preserve"> Matriz de trazabilidad de requisitos: vinculación entre exigencias normativas y objetivos del </w:t>
            </w:r>
            <w:proofErr w:type="gramStart"/>
            <w:r w:rsidRPr="00734D3B">
              <w:rPr>
                <w:rFonts w:eastAsia="Calibri" w:cs="Arial"/>
                <w:szCs w:val="22"/>
                <w:lang w:eastAsia="en-US"/>
              </w:rPr>
              <w:t>proyecto.-</w:t>
            </w:r>
            <w:proofErr w:type="gramEnd"/>
            <w:r w:rsidRPr="00734D3B">
              <w:rPr>
                <w:rFonts w:eastAsia="Calibri" w:cs="Arial"/>
                <w:szCs w:val="22"/>
                <w:lang w:eastAsia="en-US"/>
              </w:rPr>
              <w:t xml:space="preserve"> Análisis comparativo de buenas prácticas: contraste entre marcos internacionales y el contexto de los data centers.</w:t>
            </w:r>
          </w:p>
        </w:tc>
      </w:tr>
      <w:tr w:rsidR="00734D3B" w:rsidRPr="00734D3B" w14:paraId="1C36D243" w14:textId="77777777" w:rsidTr="00671AD2">
        <w:trPr>
          <w:trHeight w:val="1451"/>
        </w:trPr>
        <w:tc>
          <w:tcPr>
            <w:tcW w:w="3225" w:type="pct"/>
            <w:tcBorders>
              <w:top w:val="nil"/>
              <w:bottom w:val="nil"/>
            </w:tcBorders>
          </w:tcPr>
          <w:p w14:paraId="3D76AFB9" w14:textId="3DAB2C4B" w:rsidR="00664EBD" w:rsidRPr="00734D3B" w:rsidRDefault="00664EBD" w:rsidP="001D692F">
            <w:pPr>
              <w:pStyle w:val="ListParagraph"/>
              <w:numPr>
                <w:ilvl w:val="0"/>
                <w:numId w:val="51"/>
              </w:numPr>
              <w:spacing w:line="240" w:lineRule="auto"/>
              <w:contextualSpacing/>
              <w:rPr>
                <w:rFonts w:cs="Arial"/>
                <w:szCs w:val="22"/>
              </w:rPr>
            </w:pPr>
            <w:r w:rsidRPr="00734D3B">
              <w:rPr>
                <w:rFonts w:cs="Arial"/>
                <w:szCs w:val="22"/>
              </w:rPr>
              <w:t>Diseñar lineamientos y procedimientos prácticos para la reducción, segregación, reutilización y disposición adecuada de residuos eléctricos en proyectos de construcción de data centers para orientar la gestión sostenible de contratistas eléctricos.</w:t>
            </w:r>
          </w:p>
          <w:p w14:paraId="62D5C31D" w14:textId="77777777" w:rsidR="002B14CF" w:rsidRPr="00734D3B" w:rsidRDefault="002B14CF" w:rsidP="002B14CF">
            <w:pPr>
              <w:pStyle w:val="ListParagraph"/>
              <w:spacing w:line="240" w:lineRule="auto"/>
              <w:ind w:left="644" w:firstLine="0"/>
              <w:contextualSpacing/>
              <w:rPr>
                <w:rFonts w:eastAsia="Calibri" w:cs="Arial"/>
                <w:szCs w:val="22"/>
                <w:lang w:eastAsia="en-US"/>
              </w:rPr>
            </w:pPr>
          </w:p>
          <w:p w14:paraId="54C08CF4" w14:textId="77777777" w:rsidR="002B14CF" w:rsidRPr="00734D3B" w:rsidRDefault="002B14CF" w:rsidP="002B14CF">
            <w:pPr>
              <w:pStyle w:val="ListParagraph"/>
              <w:spacing w:line="240" w:lineRule="auto"/>
              <w:ind w:left="644" w:firstLine="0"/>
              <w:contextualSpacing/>
              <w:rPr>
                <w:rFonts w:eastAsia="Calibri" w:cs="Arial"/>
                <w:szCs w:val="22"/>
                <w:lang w:eastAsia="en-US"/>
              </w:rPr>
            </w:pPr>
          </w:p>
          <w:p w14:paraId="7A2D3946" w14:textId="77777777" w:rsidR="002B14CF" w:rsidRPr="00734D3B" w:rsidRDefault="002B14CF" w:rsidP="002B14CF">
            <w:pPr>
              <w:pStyle w:val="ListParagraph"/>
              <w:spacing w:line="240" w:lineRule="auto"/>
              <w:ind w:left="644" w:firstLine="0"/>
              <w:contextualSpacing/>
              <w:rPr>
                <w:rFonts w:eastAsia="Calibri" w:cs="Arial"/>
                <w:szCs w:val="22"/>
                <w:lang w:eastAsia="en-US"/>
              </w:rPr>
            </w:pPr>
          </w:p>
          <w:p w14:paraId="0D401737" w14:textId="77777777" w:rsidR="00664EBD" w:rsidRPr="00734D3B" w:rsidRDefault="00664EBD" w:rsidP="00664EBD">
            <w:pPr>
              <w:spacing w:line="240" w:lineRule="auto"/>
              <w:ind w:left="284" w:firstLine="0"/>
              <w:contextualSpacing/>
              <w:rPr>
                <w:rFonts w:eastAsia="Calibri" w:cs="Arial"/>
                <w:szCs w:val="22"/>
                <w:lang w:eastAsia="en-US"/>
              </w:rPr>
            </w:pPr>
          </w:p>
          <w:p w14:paraId="43D5A500" w14:textId="77777777" w:rsidR="002B14CF" w:rsidRPr="00734D3B" w:rsidRDefault="002B14CF" w:rsidP="002B14CF">
            <w:pPr>
              <w:spacing w:line="240" w:lineRule="auto"/>
              <w:ind w:left="284" w:firstLine="0"/>
              <w:contextualSpacing/>
              <w:rPr>
                <w:rFonts w:eastAsia="Calibri" w:cs="Arial"/>
                <w:szCs w:val="22"/>
                <w:lang w:eastAsia="en-US"/>
              </w:rPr>
            </w:pPr>
          </w:p>
          <w:p w14:paraId="6E24DCB7" w14:textId="77777777" w:rsidR="002B14CF" w:rsidRPr="00734D3B" w:rsidRDefault="002B14CF" w:rsidP="002B14CF">
            <w:pPr>
              <w:spacing w:line="240" w:lineRule="auto"/>
              <w:ind w:left="284" w:firstLine="0"/>
              <w:contextualSpacing/>
              <w:rPr>
                <w:rFonts w:eastAsia="Calibri" w:cs="Arial"/>
                <w:szCs w:val="22"/>
                <w:lang w:eastAsia="en-US"/>
              </w:rPr>
            </w:pPr>
          </w:p>
          <w:p w14:paraId="4E96FF2F" w14:textId="77777777" w:rsidR="002B14CF" w:rsidRPr="00734D3B" w:rsidRDefault="002B14CF" w:rsidP="002B14CF">
            <w:pPr>
              <w:spacing w:line="240" w:lineRule="auto"/>
              <w:ind w:left="284" w:firstLine="0"/>
              <w:contextualSpacing/>
              <w:rPr>
                <w:rFonts w:eastAsia="Calibri" w:cs="Arial"/>
                <w:szCs w:val="22"/>
                <w:lang w:eastAsia="en-US"/>
              </w:rPr>
            </w:pPr>
          </w:p>
          <w:p w14:paraId="53891F65" w14:textId="77777777" w:rsidR="002B14CF" w:rsidRPr="00734D3B" w:rsidRDefault="002B14CF" w:rsidP="002B14CF">
            <w:pPr>
              <w:spacing w:line="240" w:lineRule="auto"/>
              <w:ind w:left="284" w:firstLine="0"/>
              <w:contextualSpacing/>
              <w:rPr>
                <w:rFonts w:eastAsia="Calibri" w:cs="Arial"/>
                <w:szCs w:val="22"/>
                <w:lang w:eastAsia="en-US"/>
              </w:rPr>
            </w:pPr>
          </w:p>
          <w:p w14:paraId="134DC765" w14:textId="77777777" w:rsidR="002B14CF" w:rsidRPr="00734D3B" w:rsidRDefault="002B14CF" w:rsidP="002B14CF">
            <w:pPr>
              <w:spacing w:line="240" w:lineRule="auto"/>
              <w:ind w:left="284" w:firstLine="0"/>
              <w:contextualSpacing/>
              <w:rPr>
                <w:rFonts w:eastAsia="Calibri" w:cs="Arial"/>
                <w:szCs w:val="22"/>
                <w:lang w:eastAsia="en-US"/>
              </w:rPr>
            </w:pPr>
          </w:p>
          <w:p w14:paraId="2423D275" w14:textId="77777777" w:rsidR="002B14CF" w:rsidRPr="00734D3B" w:rsidRDefault="002B14CF" w:rsidP="002B14CF">
            <w:pPr>
              <w:spacing w:line="240" w:lineRule="auto"/>
              <w:ind w:left="284" w:firstLine="0"/>
              <w:contextualSpacing/>
              <w:rPr>
                <w:rFonts w:eastAsia="Calibri" w:cs="Arial"/>
                <w:szCs w:val="22"/>
                <w:lang w:eastAsia="en-US"/>
              </w:rPr>
            </w:pPr>
          </w:p>
          <w:p w14:paraId="74F0FF22" w14:textId="77777777" w:rsidR="002B14CF" w:rsidRPr="00734D3B" w:rsidRDefault="002B14CF" w:rsidP="002B14CF">
            <w:pPr>
              <w:spacing w:line="240" w:lineRule="auto"/>
              <w:ind w:left="284" w:firstLine="0"/>
              <w:contextualSpacing/>
              <w:rPr>
                <w:rFonts w:eastAsia="Calibri" w:cs="Arial"/>
                <w:szCs w:val="22"/>
                <w:lang w:eastAsia="en-US"/>
              </w:rPr>
            </w:pPr>
          </w:p>
          <w:p w14:paraId="51B2DD4A" w14:textId="0D4D98F1" w:rsidR="00664EBD" w:rsidRPr="00734D3B" w:rsidRDefault="00664EBD" w:rsidP="002B14CF">
            <w:pPr>
              <w:spacing w:line="240" w:lineRule="auto"/>
              <w:ind w:left="284" w:firstLine="0"/>
              <w:contextualSpacing/>
              <w:rPr>
                <w:rFonts w:eastAsia="Calibri" w:cs="Arial"/>
                <w:szCs w:val="22"/>
                <w:lang w:eastAsia="en-US"/>
              </w:rPr>
            </w:pPr>
            <w:r w:rsidRPr="00734D3B">
              <w:rPr>
                <w:rFonts w:eastAsia="Calibri" w:cs="Arial"/>
                <w:szCs w:val="22"/>
                <w:lang w:eastAsia="en-US"/>
              </w:rPr>
              <w:t>4. 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p>
        </w:tc>
        <w:tc>
          <w:tcPr>
            <w:tcW w:w="1775" w:type="pct"/>
            <w:tcBorders>
              <w:top w:val="single" w:sz="4" w:space="0" w:color="auto"/>
              <w:bottom w:val="single" w:sz="4" w:space="0" w:color="auto"/>
            </w:tcBorders>
          </w:tcPr>
          <w:p w14:paraId="44608FFC" w14:textId="77777777" w:rsidR="00664EBD" w:rsidRPr="00734D3B" w:rsidRDefault="002B14CF" w:rsidP="00664EBD">
            <w:pPr>
              <w:spacing w:line="240" w:lineRule="auto"/>
              <w:ind w:firstLine="0"/>
              <w:contextualSpacing/>
            </w:pPr>
            <w:r w:rsidRPr="00734D3B">
              <w:lastRenderedPageBreak/>
              <w:t xml:space="preserve">EDT (Estructura de Desglose del Trabajo): organización de los lineamientos y procedimientos por fases y </w:t>
            </w:r>
            <w:proofErr w:type="gramStart"/>
            <w:r w:rsidRPr="00734D3B">
              <w:t>actividades.-</w:t>
            </w:r>
            <w:proofErr w:type="gramEnd"/>
            <w:r w:rsidRPr="00734D3B">
              <w:t xml:space="preserve"> Procedimientos Operativos Estandarizados (POE): definición técnica de procesos de gestión de </w:t>
            </w:r>
            <w:proofErr w:type="gramStart"/>
            <w:r w:rsidRPr="00734D3B">
              <w:t>residuos.-</w:t>
            </w:r>
            <w:proofErr w:type="gramEnd"/>
            <w:r w:rsidRPr="00734D3B">
              <w:t xml:space="preserve"> Análisis costo-beneficio: evaluación de la viabilidad de implementar medidas </w:t>
            </w:r>
            <w:proofErr w:type="gramStart"/>
            <w:r w:rsidRPr="00734D3B">
              <w:t>sostenibles.-</w:t>
            </w:r>
            <w:proofErr w:type="gramEnd"/>
            <w:r w:rsidRPr="00734D3B">
              <w:t xml:space="preserve"> Análisis de impacto P5: valoración de impactos en personas, planeta, prosperidad, procesos y productos.</w:t>
            </w:r>
          </w:p>
          <w:p w14:paraId="2A807404" w14:textId="77777777" w:rsidR="00A62646" w:rsidRPr="00734D3B" w:rsidRDefault="00A62646" w:rsidP="00664EBD">
            <w:pPr>
              <w:spacing w:line="240" w:lineRule="auto"/>
              <w:ind w:firstLine="0"/>
              <w:contextualSpacing/>
            </w:pPr>
          </w:p>
          <w:p w14:paraId="4BAF3952" w14:textId="6B33F573" w:rsidR="00A62646" w:rsidRPr="00734D3B" w:rsidRDefault="00A62646" w:rsidP="00664EBD">
            <w:pPr>
              <w:spacing w:line="240" w:lineRule="auto"/>
              <w:ind w:firstLine="0"/>
              <w:contextualSpacing/>
              <w:rPr>
                <w:rFonts w:cs="Arial"/>
                <w:szCs w:val="22"/>
              </w:rPr>
            </w:pPr>
            <w:r w:rsidRPr="00734D3B">
              <w:rPr>
                <w:rFonts w:cs="Arial"/>
                <w:szCs w:val="22"/>
              </w:rPr>
              <w:t xml:space="preserve">Indicadores KPI ambientales: definición de métricas de desempeño en </w:t>
            </w:r>
            <w:proofErr w:type="gramStart"/>
            <w:r w:rsidRPr="00734D3B">
              <w:rPr>
                <w:rFonts w:cs="Arial"/>
                <w:szCs w:val="22"/>
              </w:rPr>
              <w:t>sostenibilidad.-</w:t>
            </w:r>
            <w:proofErr w:type="gramEnd"/>
            <w:r w:rsidRPr="00734D3B">
              <w:rPr>
                <w:rFonts w:cs="Arial"/>
                <w:szCs w:val="22"/>
              </w:rPr>
              <w:t xml:space="preserve"> Acta de constitución del proyecto: delimitación de alcance y objetivos de la </w:t>
            </w:r>
            <w:proofErr w:type="gramStart"/>
            <w:r w:rsidRPr="00734D3B">
              <w:rPr>
                <w:rFonts w:cs="Arial"/>
                <w:szCs w:val="22"/>
              </w:rPr>
              <w:t>guía.-</w:t>
            </w:r>
            <w:proofErr w:type="gramEnd"/>
            <w:r w:rsidRPr="00734D3B">
              <w:rPr>
                <w:rFonts w:cs="Arial"/>
                <w:szCs w:val="22"/>
              </w:rPr>
              <w:t xml:space="preserve"> Plan de gestión de la calidad: aseguramiento de coherencia metodológica y validación de la </w:t>
            </w:r>
            <w:proofErr w:type="gramStart"/>
            <w:r w:rsidRPr="00734D3B">
              <w:rPr>
                <w:rFonts w:cs="Arial"/>
                <w:szCs w:val="22"/>
              </w:rPr>
              <w:t>guía.-</w:t>
            </w:r>
            <w:proofErr w:type="gramEnd"/>
            <w:r w:rsidRPr="00734D3B">
              <w:rPr>
                <w:rFonts w:cs="Arial"/>
                <w:szCs w:val="22"/>
              </w:rPr>
              <w:t xml:space="preserve"> Diagrama de Gantt y MS Project: planificación y control del desarrollo de la </w:t>
            </w:r>
            <w:proofErr w:type="gramStart"/>
            <w:r w:rsidRPr="00734D3B">
              <w:rPr>
                <w:rFonts w:cs="Arial"/>
                <w:szCs w:val="22"/>
              </w:rPr>
              <w:t>guía.-</w:t>
            </w:r>
            <w:proofErr w:type="gramEnd"/>
            <w:r w:rsidRPr="00734D3B">
              <w:rPr>
                <w:rFonts w:cs="Arial"/>
                <w:szCs w:val="22"/>
              </w:rPr>
              <w:t xml:space="preserve"> Lecciones aprendidas: sistematización de buenas prácticas para replicabilidad.</w:t>
            </w:r>
          </w:p>
        </w:tc>
      </w:tr>
    </w:tbl>
    <w:bookmarkEnd w:id="247"/>
    <w:p w14:paraId="5E3283D6" w14:textId="5BD53427" w:rsidR="00001907" w:rsidRPr="00734D3B" w:rsidRDefault="00001907" w:rsidP="00530C14">
      <w:pPr>
        <w:ind w:firstLine="0"/>
      </w:pPr>
      <w:r w:rsidRPr="00734D3B">
        <w:rPr>
          <w:i/>
          <w:iCs/>
        </w:rPr>
        <w:lastRenderedPageBreak/>
        <w:t>Nota.</w:t>
      </w:r>
      <w:r w:rsidRPr="00734D3B">
        <w:t xml:space="preserve"> Elaboración propia a partir de Project Management Institute (2023).</w:t>
      </w:r>
    </w:p>
    <w:p w14:paraId="662D1679" w14:textId="3BCF2F09" w:rsidR="0076159D" w:rsidRPr="00734D3B" w:rsidRDefault="0058758B" w:rsidP="00E557C5">
      <w:pPr>
        <w:contextualSpacing/>
        <w:rPr>
          <w:rFonts w:cs="Arial"/>
          <w:szCs w:val="22"/>
        </w:rPr>
      </w:pPr>
      <w:r w:rsidRPr="00734D3B">
        <w:rPr>
          <w:rFonts w:cs="Arial"/>
          <w:szCs w:val="22"/>
        </w:rPr>
        <w:t>El uso de estas herramientas permitió aplicar los principios del PMBOK (2021) y del enfoque PRiSM, ayudando a que los procesos del proyecto se mantuvieran alineados con los objetivos de sostenibilidad y buen uso de los recursos. El uso de tablas, indicadores y programas de planificación ayudó a tener un mejor control técnico y administrativo del trabajo, reduciendo errores y repeticiones. Además, el análisis de la información obtenida de diferentes fuentes permitió tomar decisiones más seguras y basadas en hechos reales. En general, estas herramientas no solo mejoraron la forma de manejar el proyecto, sino que también ayudaron a crear una cultura de mejora constante dentro de las empresas eléctricas que trabajan en centros de datos.</w:t>
      </w:r>
    </w:p>
    <w:p w14:paraId="033065CD" w14:textId="77777777" w:rsidR="00433E2C" w:rsidRPr="00734D3B" w:rsidRDefault="00433E2C">
      <w:pPr>
        <w:spacing w:line="240" w:lineRule="auto"/>
        <w:ind w:firstLine="0"/>
        <w:rPr>
          <w:b/>
          <w:szCs w:val="18"/>
        </w:rPr>
      </w:pPr>
      <w:bookmarkStart w:id="248" w:name="_Hlk219285650"/>
      <w:r w:rsidRPr="00734D3B">
        <w:rPr>
          <w:b/>
          <w:szCs w:val="18"/>
        </w:rPr>
        <w:br w:type="page"/>
      </w:r>
    </w:p>
    <w:p w14:paraId="771D1FFE" w14:textId="39F97A19" w:rsidR="00764755" w:rsidRPr="00734D3B" w:rsidRDefault="00764755" w:rsidP="00764755">
      <w:pPr>
        <w:spacing w:after="200"/>
        <w:ind w:firstLine="0"/>
        <w:rPr>
          <w:b/>
          <w:szCs w:val="18"/>
        </w:rPr>
      </w:pPr>
      <w:bookmarkStart w:id="249" w:name="_Toc228342085"/>
      <w:r w:rsidRPr="00734D3B">
        <w:rPr>
          <w:b/>
          <w:szCs w:val="18"/>
        </w:rPr>
        <w:lastRenderedPageBreak/>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5</w:t>
      </w:r>
      <w:r w:rsidRPr="00734D3B">
        <w:rPr>
          <w:b/>
          <w:szCs w:val="18"/>
        </w:rPr>
        <w:fldChar w:fldCharType="end"/>
      </w:r>
      <w:r w:rsidRPr="00734D3B">
        <w:rPr>
          <w:b/>
          <w:szCs w:val="18"/>
        </w:rPr>
        <w:t xml:space="preserve"> </w:t>
      </w:r>
      <w:r w:rsidRPr="00734D3B">
        <w:rPr>
          <w:b/>
          <w:szCs w:val="18"/>
        </w:rPr>
        <w:br/>
      </w:r>
      <w:r w:rsidRPr="00734D3B">
        <w:rPr>
          <w:bCs/>
          <w:i/>
          <w:iCs/>
          <w:szCs w:val="18"/>
        </w:rPr>
        <w:t>Herramientas</w:t>
      </w:r>
      <w:bookmarkEnd w:id="249"/>
      <w:r w:rsidRPr="00734D3B">
        <w:rPr>
          <w:bCs/>
          <w:i/>
          <w:iCs/>
          <w:szCs w:val="18"/>
        </w:rPr>
        <w:t xml:space="preserve"> </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734D3B" w:rsidRPr="00734D3B" w14:paraId="417AA17F" w14:textId="77777777" w:rsidTr="007C6CB9">
        <w:trPr>
          <w:trHeight w:val="552"/>
        </w:trPr>
        <w:tc>
          <w:tcPr>
            <w:tcW w:w="2522" w:type="pct"/>
            <w:shd w:val="clear" w:color="auto" w:fill="9CC2E5" w:themeFill="accent5" w:themeFillTint="99"/>
            <w:vAlign w:val="center"/>
          </w:tcPr>
          <w:p w14:paraId="33615A72" w14:textId="77777777" w:rsidR="00764755" w:rsidRPr="00734D3B" w:rsidRDefault="00764755" w:rsidP="007C6CB9">
            <w:pPr>
              <w:contextualSpacing/>
              <w:jc w:val="center"/>
              <w:rPr>
                <w:rFonts w:cs="Arial"/>
                <w:b/>
                <w:szCs w:val="22"/>
              </w:rPr>
            </w:pPr>
            <w:r w:rsidRPr="00734D3B">
              <w:rPr>
                <w:rFonts w:cs="Arial"/>
                <w:b/>
                <w:szCs w:val="22"/>
              </w:rPr>
              <w:t>Objetivos Específicos</w:t>
            </w:r>
          </w:p>
        </w:tc>
        <w:tc>
          <w:tcPr>
            <w:tcW w:w="2478" w:type="pct"/>
            <w:shd w:val="clear" w:color="auto" w:fill="9CC2E5" w:themeFill="accent5" w:themeFillTint="99"/>
            <w:vAlign w:val="center"/>
          </w:tcPr>
          <w:p w14:paraId="38D794F7" w14:textId="7CDFCF62" w:rsidR="00764755" w:rsidRPr="00734D3B" w:rsidRDefault="00764755" w:rsidP="007C6CB9">
            <w:pPr>
              <w:contextualSpacing/>
              <w:jc w:val="center"/>
              <w:rPr>
                <w:rFonts w:cs="Arial"/>
                <w:b/>
                <w:szCs w:val="22"/>
              </w:rPr>
            </w:pPr>
            <w:r w:rsidRPr="00734D3B">
              <w:rPr>
                <w:rFonts w:cs="Arial"/>
                <w:b/>
                <w:szCs w:val="22"/>
              </w:rPr>
              <w:t>Herramientas</w:t>
            </w:r>
          </w:p>
        </w:tc>
      </w:tr>
      <w:tr w:rsidR="00734D3B" w:rsidRPr="00734D3B" w14:paraId="6BD6233F" w14:textId="77777777" w:rsidTr="00B561B4">
        <w:trPr>
          <w:trHeight w:val="956"/>
        </w:trPr>
        <w:tc>
          <w:tcPr>
            <w:tcW w:w="2522" w:type="pct"/>
            <w:tcBorders>
              <w:bottom w:val="nil"/>
            </w:tcBorders>
          </w:tcPr>
          <w:p w14:paraId="18924FD8" w14:textId="77777777" w:rsidR="00764755" w:rsidRPr="00734D3B" w:rsidRDefault="00764755" w:rsidP="00B561B4">
            <w:pPr>
              <w:spacing w:line="240" w:lineRule="auto"/>
              <w:ind w:firstLine="0"/>
              <w:contextualSpacing/>
              <w:rPr>
                <w:rFonts w:cs="Arial"/>
                <w:szCs w:val="22"/>
              </w:rPr>
            </w:pPr>
            <w:r w:rsidRPr="00734D3B">
              <w:rPr>
                <w:rFonts w:cs="Arial"/>
                <w:szCs w:val="22"/>
              </w:rPr>
              <w:t>1. Diagnosticar el estado actual de las prácticas de sostenibilidad y gestión de residuos aplicadas por contratistas eléctricos en proyectos de data centers en Arizona, EE. UU., para identificar brechas y oportunidades de mejora.</w:t>
            </w:r>
          </w:p>
        </w:tc>
        <w:tc>
          <w:tcPr>
            <w:tcW w:w="2478" w:type="pct"/>
            <w:tcBorders>
              <w:bottom w:val="nil"/>
            </w:tcBorders>
          </w:tcPr>
          <w:p w14:paraId="41C2D218" w14:textId="77777777" w:rsidR="00916C53" w:rsidRPr="00734D3B" w:rsidRDefault="00916C53" w:rsidP="00916C53">
            <w:pPr>
              <w:spacing w:line="240" w:lineRule="auto"/>
              <w:ind w:firstLine="0"/>
              <w:contextualSpacing/>
              <w:rPr>
                <w:rFonts w:cs="Arial"/>
                <w:szCs w:val="22"/>
              </w:rPr>
            </w:pPr>
            <w:r w:rsidRPr="00734D3B">
              <w:rPr>
                <w:rFonts w:cs="Arial"/>
                <w:szCs w:val="22"/>
              </w:rPr>
              <w:t>Encuestas y entrevistas estructuradas</w:t>
            </w:r>
          </w:p>
          <w:p w14:paraId="6A02C4DF" w14:textId="77777777" w:rsidR="00916C53" w:rsidRPr="00734D3B" w:rsidRDefault="00916C53" w:rsidP="00916C53">
            <w:pPr>
              <w:spacing w:line="240" w:lineRule="auto"/>
              <w:ind w:firstLine="0"/>
              <w:contextualSpacing/>
              <w:rPr>
                <w:rFonts w:cs="Arial"/>
                <w:szCs w:val="22"/>
              </w:rPr>
            </w:pPr>
            <w:r w:rsidRPr="00734D3B">
              <w:rPr>
                <w:rFonts w:cs="Arial"/>
                <w:szCs w:val="22"/>
              </w:rPr>
              <w:t>• Análisis FODA</w:t>
            </w:r>
          </w:p>
          <w:p w14:paraId="07479D45" w14:textId="77777777" w:rsidR="00916C53" w:rsidRPr="00734D3B" w:rsidRDefault="00916C53" w:rsidP="00916C53">
            <w:pPr>
              <w:spacing w:line="240" w:lineRule="auto"/>
              <w:ind w:firstLine="0"/>
              <w:contextualSpacing/>
              <w:rPr>
                <w:rFonts w:cs="Arial"/>
                <w:szCs w:val="22"/>
              </w:rPr>
            </w:pPr>
            <w:r w:rsidRPr="00734D3B">
              <w:rPr>
                <w:rFonts w:cs="Arial"/>
                <w:szCs w:val="22"/>
              </w:rPr>
              <w:t>• Análisis de interesados</w:t>
            </w:r>
          </w:p>
          <w:p w14:paraId="61691603" w14:textId="77777777" w:rsidR="00916C53" w:rsidRPr="00734D3B" w:rsidRDefault="00916C53" w:rsidP="00916C53">
            <w:pPr>
              <w:spacing w:line="240" w:lineRule="auto"/>
              <w:ind w:firstLine="0"/>
              <w:contextualSpacing/>
              <w:rPr>
                <w:rFonts w:cs="Arial"/>
                <w:szCs w:val="22"/>
              </w:rPr>
            </w:pPr>
            <w:r w:rsidRPr="00734D3B">
              <w:rPr>
                <w:rFonts w:cs="Arial"/>
                <w:szCs w:val="22"/>
              </w:rPr>
              <w:t>• Matriz de trazabilidad de requisitos</w:t>
            </w:r>
          </w:p>
          <w:p w14:paraId="400DC89E" w14:textId="177E68E7" w:rsidR="00764755" w:rsidRPr="00734D3B" w:rsidRDefault="00916C53" w:rsidP="00916C53">
            <w:pPr>
              <w:spacing w:line="240" w:lineRule="auto"/>
              <w:ind w:firstLine="0"/>
              <w:contextualSpacing/>
              <w:rPr>
                <w:rFonts w:cs="Arial"/>
                <w:szCs w:val="22"/>
              </w:rPr>
            </w:pPr>
            <w:r w:rsidRPr="00734D3B">
              <w:rPr>
                <w:rFonts w:cs="Arial"/>
                <w:szCs w:val="22"/>
              </w:rPr>
              <w:t>• Indicadores KPI ambientales preliminares</w:t>
            </w:r>
          </w:p>
        </w:tc>
      </w:tr>
      <w:tr w:rsidR="00734D3B" w:rsidRPr="00734D3B" w14:paraId="4D58A33D" w14:textId="77777777" w:rsidTr="00B561B4">
        <w:trPr>
          <w:trHeight w:val="664"/>
        </w:trPr>
        <w:tc>
          <w:tcPr>
            <w:tcW w:w="2522" w:type="pct"/>
            <w:tcBorders>
              <w:top w:val="nil"/>
              <w:bottom w:val="nil"/>
            </w:tcBorders>
          </w:tcPr>
          <w:p w14:paraId="11131D87" w14:textId="77777777" w:rsidR="00764755" w:rsidRPr="00734D3B" w:rsidRDefault="00764755" w:rsidP="00B561B4">
            <w:pPr>
              <w:spacing w:line="240" w:lineRule="auto"/>
              <w:ind w:firstLine="0"/>
              <w:contextualSpacing/>
              <w:rPr>
                <w:rFonts w:cs="Arial"/>
                <w:szCs w:val="22"/>
              </w:rPr>
            </w:pPr>
            <w:r w:rsidRPr="00734D3B">
              <w:rPr>
                <w:rFonts w:cs="Arial"/>
                <w:szCs w:val="22"/>
              </w:rPr>
              <w:t>2. Analizar marcos normativos y buenas prácticas internacionales y regionales aplicables a la gestión ambiental en proyectos eléctricos para fundamentar el diseño de la guía metodológica.</w:t>
            </w:r>
          </w:p>
        </w:tc>
        <w:tc>
          <w:tcPr>
            <w:tcW w:w="2478" w:type="pct"/>
            <w:tcBorders>
              <w:top w:val="nil"/>
              <w:bottom w:val="nil"/>
            </w:tcBorders>
          </w:tcPr>
          <w:p w14:paraId="7EEC5424" w14:textId="77777777" w:rsidR="008F74F7" w:rsidRPr="00734D3B" w:rsidRDefault="008F74F7" w:rsidP="008F74F7">
            <w:pPr>
              <w:spacing w:line="240" w:lineRule="auto"/>
              <w:ind w:firstLine="0"/>
              <w:contextualSpacing/>
              <w:rPr>
                <w:rFonts w:cs="Arial"/>
                <w:szCs w:val="22"/>
              </w:rPr>
            </w:pPr>
            <w:r w:rsidRPr="00734D3B">
              <w:rPr>
                <w:rFonts w:cs="Arial"/>
                <w:szCs w:val="22"/>
              </w:rPr>
              <w:t>• Revisión documental normativa (ISO, LEED, NECA, GPM Global)</w:t>
            </w:r>
          </w:p>
          <w:p w14:paraId="4B64D918" w14:textId="77777777" w:rsidR="008F74F7" w:rsidRPr="00734D3B" w:rsidRDefault="008F74F7" w:rsidP="008F74F7">
            <w:pPr>
              <w:spacing w:line="240" w:lineRule="auto"/>
              <w:ind w:firstLine="0"/>
              <w:contextualSpacing/>
              <w:rPr>
                <w:rFonts w:cs="Arial"/>
                <w:szCs w:val="22"/>
              </w:rPr>
            </w:pPr>
            <w:r w:rsidRPr="00734D3B">
              <w:rPr>
                <w:rFonts w:cs="Arial"/>
                <w:szCs w:val="22"/>
              </w:rPr>
              <w:t>• Análisis comparativo de buenas prácticas</w:t>
            </w:r>
          </w:p>
          <w:p w14:paraId="76E95CD6" w14:textId="77777777" w:rsidR="008F74F7" w:rsidRPr="00734D3B" w:rsidRDefault="008F74F7" w:rsidP="008F74F7">
            <w:pPr>
              <w:spacing w:line="240" w:lineRule="auto"/>
              <w:ind w:firstLine="0"/>
              <w:contextualSpacing/>
              <w:rPr>
                <w:rFonts w:cs="Arial"/>
                <w:szCs w:val="22"/>
              </w:rPr>
            </w:pPr>
            <w:r w:rsidRPr="00734D3B">
              <w:rPr>
                <w:rFonts w:cs="Arial"/>
                <w:szCs w:val="22"/>
              </w:rPr>
              <w:t>• Análisis de impacto P5</w:t>
            </w:r>
          </w:p>
          <w:p w14:paraId="21BD5E1E" w14:textId="77777777" w:rsidR="00764755" w:rsidRPr="00734D3B" w:rsidRDefault="008F74F7" w:rsidP="008F74F7">
            <w:pPr>
              <w:spacing w:line="240" w:lineRule="auto"/>
              <w:ind w:firstLine="0"/>
              <w:contextualSpacing/>
              <w:rPr>
                <w:rFonts w:cs="Arial"/>
                <w:szCs w:val="22"/>
              </w:rPr>
            </w:pPr>
            <w:r w:rsidRPr="00734D3B">
              <w:rPr>
                <w:rFonts w:cs="Arial"/>
                <w:szCs w:val="22"/>
              </w:rPr>
              <w:t>• Plan de gestión de calidad</w:t>
            </w:r>
          </w:p>
          <w:p w14:paraId="01DE6F18" w14:textId="719B65E4" w:rsidR="000F1E89" w:rsidRPr="00734D3B" w:rsidRDefault="000F1E89" w:rsidP="008F74F7">
            <w:pPr>
              <w:spacing w:line="240" w:lineRule="auto"/>
              <w:ind w:firstLine="0"/>
              <w:contextualSpacing/>
              <w:rPr>
                <w:rFonts w:cs="Arial"/>
                <w:szCs w:val="22"/>
              </w:rPr>
            </w:pPr>
          </w:p>
        </w:tc>
      </w:tr>
      <w:tr w:rsidR="00734D3B" w:rsidRPr="00734D3B" w14:paraId="4159CEE1" w14:textId="77777777" w:rsidTr="00B561B4">
        <w:trPr>
          <w:trHeight w:val="664"/>
        </w:trPr>
        <w:tc>
          <w:tcPr>
            <w:tcW w:w="2522" w:type="pct"/>
            <w:tcBorders>
              <w:top w:val="nil"/>
              <w:bottom w:val="nil"/>
            </w:tcBorders>
          </w:tcPr>
          <w:p w14:paraId="5C7B4BDA" w14:textId="77777777" w:rsidR="00764755" w:rsidRPr="00734D3B" w:rsidRDefault="00764755" w:rsidP="00B561B4">
            <w:pPr>
              <w:spacing w:line="240" w:lineRule="auto"/>
              <w:ind w:firstLine="0"/>
              <w:contextualSpacing/>
              <w:rPr>
                <w:rFonts w:cs="Arial"/>
                <w:szCs w:val="22"/>
              </w:rPr>
            </w:pPr>
            <w:r w:rsidRPr="00734D3B">
              <w:rPr>
                <w:rFonts w:cs="Arial"/>
                <w:szCs w:val="22"/>
              </w:rPr>
              <w:t>3. Diseñar lineamientos y procedimientos prácticos para la reducción, segregación, reutilización y disposición adecuada de residuos eléctricos en proyectos de construcción de data centers para orientar la gestión sostenible de contratistas eléctricos.</w:t>
            </w:r>
          </w:p>
        </w:tc>
        <w:tc>
          <w:tcPr>
            <w:tcW w:w="2478" w:type="pct"/>
            <w:tcBorders>
              <w:top w:val="nil"/>
              <w:bottom w:val="nil"/>
            </w:tcBorders>
          </w:tcPr>
          <w:p w14:paraId="70F425BB" w14:textId="77777777" w:rsidR="008F74F7" w:rsidRPr="00734D3B" w:rsidRDefault="008F74F7" w:rsidP="008F74F7">
            <w:pPr>
              <w:spacing w:line="240" w:lineRule="auto"/>
              <w:ind w:firstLine="0"/>
              <w:contextualSpacing/>
              <w:rPr>
                <w:rFonts w:cs="Arial"/>
                <w:szCs w:val="22"/>
              </w:rPr>
            </w:pPr>
            <w:r w:rsidRPr="00734D3B">
              <w:rPr>
                <w:rFonts w:cs="Arial"/>
                <w:szCs w:val="22"/>
              </w:rPr>
              <w:t>• Estructura de Desglose del Trabajo (EDT)</w:t>
            </w:r>
          </w:p>
          <w:p w14:paraId="6158708A" w14:textId="77777777" w:rsidR="008F74F7" w:rsidRPr="00734D3B" w:rsidRDefault="008F74F7" w:rsidP="008F74F7">
            <w:pPr>
              <w:spacing w:line="240" w:lineRule="auto"/>
              <w:ind w:firstLine="0"/>
              <w:contextualSpacing/>
              <w:rPr>
                <w:rFonts w:cs="Arial"/>
                <w:szCs w:val="22"/>
              </w:rPr>
            </w:pPr>
            <w:r w:rsidRPr="00734D3B">
              <w:rPr>
                <w:rFonts w:cs="Arial"/>
                <w:szCs w:val="22"/>
              </w:rPr>
              <w:t>• Procedimientos Operativos Estandarizados (POE)</w:t>
            </w:r>
          </w:p>
          <w:p w14:paraId="18E256D8" w14:textId="77777777" w:rsidR="008F74F7" w:rsidRPr="00734D3B" w:rsidRDefault="008F74F7" w:rsidP="008F74F7">
            <w:pPr>
              <w:spacing w:line="240" w:lineRule="auto"/>
              <w:ind w:firstLine="0"/>
              <w:contextualSpacing/>
              <w:rPr>
                <w:rFonts w:cs="Arial"/>
                <w:szCs w:val="22"/>
              </w:rPr>
            </w:pPr>
            <w:r w:rsidRPr="00734D3B">
              <w:rPr>
                <w:rFonts w:cs="Arial"/>
                <w:szCs w:val="22"/>
              </w:rPr>
              <w:t>• Matriz RACI</w:t>
            </w:r>
          </w:p>
          <w:p w14:paraId="3E2A67D9" w14:textId="77777777" w:rsidR="008F74F7" w:rsidRPr="00734D3B" w:rsidRDefault="008F74F7" w:rsidP="008F74F7">
            <w:pPr>
              <w:spacing w:line="240" w:lineRule="auto"/>
              <w:ind w:firstLine="0"/>
              <w:contextualSpacing/>
              <w:rPr>
                <w:rFonts w:cs="Arial"/>
                <w:szCs w:val="22"/>
              </w:rPr>
            </w:pPr>
            <w:r w:rsidRPr="00734D3B">
              <w:rPr>
                <w:rFonts w:cs="Arial"/>
                <w:szCs w:val="22"/>
              </w:rPr>
              <w:t>• Matriz de riesgos</w:t>
            </w:r>
          </w:p>
          <w:p w14:paraId="5908CAD2" w14:textId="6BF1DA45" w:rsidR="00764755" w:rsidRPr="00734D3B" w:rsidRDefault="008F74F7" w:rsidP="008F74F7">
            <w:pPr>
              <w:spacing w:line="240" w:lineRule="auto"/>
              <w:ind w:firstLine="0"/>
              <w:contextualSpacing/>
              <w:rPr>
                <w:rFonts w:cs="Arial"/>
                <w:szCs w:val="22"/>
                <w:highlight w:val="yellow"/>
              </w:rPr>
            </w:pPr>
            <w:r w:rsidRPr="00734D3B">
              <w:rPr>
                <w:rFonts w:cs="Arial"/>
                <w:szCs w:val="22"/>
              </w:rPr>
              <w:t>• Análisis costo-beneficio</w:t>
            </w:r>
          </w:p>
        </w:tc>
      </w:tr>
      <w:tr w:rsidR="00734D3B" w:rsidRPr="00734D3B" w14:paraId="3A23634C" w14:textId="77777777" w:rsidTr="00B561B4">
        <w:trPr>
          <w:trHeight w:val="664"/>
        </w:trPr>
        <w:tc>
          <w:tcPr>
            <w:tcW w:w="2522" w:type="pct"/>
            <w:tcBorders>
              <w:top w:val="nil"/>
            </w:tcBorders>
          </w:tcPr>
          <w:p w14:paraId="2D6264F5" w14:textId="77777777" w:rsidR="00764755" w:rsidRPr="00734D3B" w:rsidRDefault="00764755" w:rsidP="00B561B4">
            <w:pPr>
              <w:spacing w:line="240" w:lineRule="auto"/>
              <w:ind w:firstLine="0"/>
              <w:contextualSpacing/>
              <w:rPr>
                <w:rFonts w:cs="Arial"/>
                <w:szCs w:val="22"/>
              </w:rPr>
            </w:pPr>
          </w:p>
          <w:p w14:paraId="32C7CEF7" w14:textId="77777777" w:rsidR="00764755" w:rsidRPr="00734D3B" w:rsidRDefault="00764755" w:rsidP="00B561B4">
            <w:pPr>
              <w:spacing w:line="240" w:lineRule="auto"/>
              <w:ind w:firstLine="0"/>
              <w:contextualSpacing/>
              <w:rPr>
                <w:rFonts w:cs="Arial"/>
                <w:szCs w:val="22"/>
              </w:rPr>
            </w:pPr>
            <w:r w:rsidRPr="00734D3B">
              <w:rPr>
                <w:rFonts w:cs="Arial"/>
                <w:szCs w:val="22"/>
              </w:rPr>
              <w:t>4. 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p>
          <w:p w14:paraId="365BA9E8" w14:textId="77777777" w:rsidR="00764755" w:rsidRPr="00734D3B" w:rsidRDefault="00764755" w:rsidP="00B561B4">
            <w:pPr>
              <w:spacing w:line="240" w:lineRule="auto"/>
              <w:ind w:firstLine="0"/>
              <w:contextualSpacing/>
              <w:rPr>
                <w:rFonts w:cs="Arial"/>
                <w:szCs w:val="22"/>
              </w:rPr>
            </w:pPr>
          </w:p>
        </w:tc>
        <w:tc>
          <w:tcPr>
            <w:tcW w:w="2478" w:type="pct"/>
            <w:tcBorders>
              <w:top w:val="nil"/>
            </w:tcBorders>
          </w:tcPr>
          <w:p w14:paraId="7591EA64" w14:textId="77777777" w:rsidR="00764755" w:rsidRPr="00734D3B" w:rsidRDefault="00764755" w:rsidP="00B561B4">
            <w:pPr>
              <w:spacing w:line="240" w:lineRule="auto"/>
              <w:ind w:firstLine="0"/>
              <w:contextualSpacing/>
              <w:rPr>
                <w:rFonts w:cs="Arial"/>
                <w:szCs w:val="22"/>
                <w:highlight w:val="yellow"/>
              </w:rPr>
            </w:pPr>
          </w:p>
          <w:p w14:paraId="7F7C8529" w14:textId="77777777" w:rsidR="000F1E89" w:rsidRPr="00734D3B" w:rsidRDefault="000F1E89" w:rsidP="000F1E89">
            <w:pPr>
              <w:spacing w:line="240" w:lineRule="auto"/>
              <w:ind w:firstLine="0"/>
              <w:contextualSpacing/>
              <w:rPr>
                <w:rFonts w:cs="Arial"/>
                <w:szCs w:val="22"/>
              </w:rPr>
            </w:pPr>
            <w:r w:rsidRPr="00734D3B">
              <w:rPr>
                <w:rFonts w:cs="Arial"/>
                <w:szCs w:val="22"/>
              </w:rPr>
              <w:t>• Indicadores KPI ambientales definitivos</w:t>
            </w:r>
          </w:p>
          <w:p w14:paraId="670D81A2" w14:textId="77777777" w:rsidR="000F1E89" w:rsidRPr="00734D3B" w:rsidRDefault="000F1E89" w:rsidP="000F1E89">
            <w:pPr>
              <w:spacing w:line="240" w:lineRule="auto"/>
              <w:ind w:firstLine="0"/>
              <w:contextualSpacing/>
              <w:rPr>
                <w:rFonts w:cs="Arial"/>
                <w:szCs w:val="22"/>
              </w:rPr>
            </w:pPr>
            <w:r w:rsidRPr="00734D3B">
              <w:rPr>
                <w:rFonts w:cs="Arial"/>
                <w:szCs w:val="22"/>
              </w:rPr>
              <w:t>• Acta de constitución del proyecto</w:t>
            </w:r>
          </w:p>
          <w:p w14:paraId="0C331AEB" w14:textId="77777777" w:rsidR="000F1E89" w:rsidRPr="00734D3B" w:rsidRDefault="000F1E89" w:rsidP="000F1E89">
            <w:pPr>
              <w:spacing w:line="240" w:lineRule="auto"/>
              <w:ind w:firstLine="0"/>
              <w:contextualSpacing/>
              <w:rPr>
                <w:rFonts w:cs="Arial"/>
                <w:szCs w:val="22"/>
              </w:rPr>
            </w:pPr>
            <w:r w:rsidRPr="00734D3B">
              <w:rPr>
                <w:rFonts w:cs="Arial"/>
                <w:szCs w:val="22"/>
              </w:rPr>
              <w:t>• Plan de comunicación</w:t>
            </w:r>
          </w:p>
          <w:p w14:paraId="1F9C4E8A" w14:textId="77777777" w:rsidR="000F1E89" w:rsidRPr="00734D3B" w:rsidRDefault="000F1E89" w:rsidP="000F1E89">
            <w:pPr>
              <w:spacing w:line="240" w:lineRule="auto"/>
              <w:ind w:firstLine="0"/>
              <w:contextualSpacing/>
              <w:rPr>
                <w:rFonts w:cs="Arial"/>
                <w:szCs w:val="22"/>
              </w:rPr>
            </w:pPr>
            <w:r w:rsidRPr="00734D3B">
              <w:rPr>
                <w:rFonts w:cs="Arial"/>
                <w:szCs w:val="22"/>
              </w:rPr>
              <w:t>• Software MS Project</w:t>
            </w:r>
          </w:p>
          <w:p w14:paraId="79D9F89C" w14:textId="4A7DBB34" w:rsidR="00764755" w:rsidRPr="00734D3B" w:rsidRDefault="000F1E89" w:rsidP="000F1E89">
            <w:pPr>
              <w:spacing w:line="240" w:lineRule="auto"/>
              <w:ind w:firstLine="0"/>
              <w:contextualSpacing/>
              <w:rPr>
                <w:rFonts w:cs="Arial"/>
                <w:szCs w:val="22"/>
                <w:highlight w:val="yellow"/>
              </w:rPr>
            </w:pPr>
            <w:r w:rsidRPr="00734D3B">
              <w:rPr>
                <w:rFonts w:cs="Arial"/>
                <w:szCs w:val="22"/>
              </w:rPr>
              <w:t>• Lecciones aprendidas</w:t>
            </w:r>
          </w:p>
        </w:tc>
      </w:tr>
    </w:tbl>
    <w:p w14:paraId="7AA5205D" w14:textId="62A98B26" w:rsidR="00764755" w:rsidRPr="00734D3B" w:rsidRDefault="00764755" w:rsidP="00764755">
      <w:pPr>
        <w:spacing w:line="240" w:lineRule="auto"/>
        <w:ind w:firstLine="0"/>
        <w:contextualSpacing/>
        <w:rPr>
          <w:rFonts w:cs="Arial"/>
          <w:szCs w:val="22"/>
        </w:rPr>
      </w:pPr>
      <w:r w:rsidRPr="00734D3B">
        <w:rPr>
          <w:rFonts w:cs="Arial"/>
          <w:i/>
          <w:iCs/>
          <w:szCs w:val="22"/>
        </w:rPr>
        <w:t>Nota</w:t>
      </w:r>
      <w:r w:rsidRPr="00734D3B">
        <w:rPr>
          <w:rFonts w:cs="Arial"/>
          <w:szCs w:val="22"/>
        </w:rPr>
        <w:t xml:space="preserve">. La Tabla 5 muestra </w:t>
      </w:r>
      <w:r w:rsidR="009C1C5C" w:rsidRPr="00734D3B">
        <w:rPr>
          <w:rFonts w:cs="Arial"/>
          <w:szCs w:val="22"/>
        </w:rPr>
        <w:t>las herramientas</w:t>
      </w:r>
      <w:r w:rsidRPr="00734D3B">
        <w:rPr>
          <w:rFonts w:cs="Arial"/>
          <w:szCs w:val="22"/>
        </w:rPr>
        <w:t xml:space="preserve"> del proyecto, en correspondencia con cada objetivo. Autoría propia.</w:t>
      </w:r>
    </w:p>
    <w:bookmarkEnd w:id="248"/>
    <w:p w14:paraId="7EDE92D3" w14:textId="77777777" w:rsidR="00764755" w:rsidRPr="00734D3B" w:rsidRDefault="00764755" w:rsidP="00E557C5">
      <w:pPr>
        <w:contextualSpacing/>
        <w:rPr>
          <w:rFonts w:cs="Arial"/>
          <w:szCs w:val="22"/>
        </w:rPr>
      </w:pPr>
    </w:p>
    <w:p w14:paraId="78E8D4C3" w14:textId="245D1D8F" w:rsidR="00264EEB" w:rsidRPr="00734D3B" w:rsidRDefault="00480BCA" w:rsidP="00480BCA">
      <w:pPr>
        <w:pStyle w:val="Heading2"/>
        <w:numPr>
          <w:ilvl w:val="0"/>
          <w:numId w:val="0"/>
        </w:numPr>
        <w:ind w:left="936" w:hanging="576"/>
      </w:pPr>
      <w:bookmarkStart w:id="250" w:name="_Toc211465606"/>
      <w:bookmarkStart w:id="251" w:name="_Toc227936411"/>
      <w:r w:rsidRPr="00734D3B">
        <w:t xml:space="preserve">3.4 </w:t>
      </w:r>
      <w:r w:rsidR="00264EEB" w:rsidRPr="00734D3B">
        <w:t>Supuestos y restricciones</w:t>
      </w:r>
      <w:bookmarkEnd w:id="242"/>
      <w:bookmarkEnd w:id="243"/>
      <w:bookmarkEnd w:id="244"/>
      <w:bookmarkEnd w:id="245"/>
      <w:bookmarkEnd w:id="250"/>
      <w:bookmarkEnd w:id="251"/>
    </w:p>
    <w:p w14:paraId="4E26485E" w14:textId="77777777" w:rsidR="00520222" w:rsidRPr="00734D3B" w:rsidRDefault="00520222" w:rsidP="00520222">
      <w:r w:rsidRPr="00734D3B">
        <w:t>En la gestión de proyectos, los supuestos y las restricciones son muy importantes para planear y controlar el trabajo.</w:t>
      </w:r>
    </w:p>
    <w:p w14:paraId="2DB32C5F" w14:textId="77777777" w:rsidR="00520222" w:rsidRPr="00734D3B" w:rsidRDefault="00520222" w:rsidP="00520222">
      <w:r w:rsidRPr="00734D3B">
        <w:lastRenderedPageBreak/>
        <w:t>Según el Project Management Institute (2021), los supuestos son condiciones que se dan por ciertas para poder planificar, aunque no haya una prueba total de que sean verdaderas. Sirven para imaginar escenarios de trabajo y construir los planes del proyecto.</w:t>
      </w:r>
    </w:p>
    <w:p w14:paraId="4DB9F368" w14:textId="77777777" w:rsidR="00520222" w:rsidRPr="00734D3B" w:rsidRDefault="00520222" w:rsidP="00520222">
      <w:r w:rsidRPr="00734D3B">
        <w:t>Por otro lado, las restricciones son los límites o condiciones que afectan lo que se puede hacer, como el tiempo, el costo, el alcance, la calidad o los recursos disponibles.</w:t>
      </w:r>
    </w:p>
    <w:p w14:paraId="480692B2" w14:textId="77777777" w:rsidR="00520222" w:rsidRPr="00734D3B" w:rsidRDefault="00520222" w:rsidP="00520222">
      <w:r w:rsidRPr="00734D3B">
        <w:t>Kerzner (2022) explica que los supuestos ayudan a prever las condiciones del entorno y tomar decisiones al inicio, mientras que las restricciones marcan lo que no se puede cambiar o superar. En conjunto, ambos elementos ayudan a crear una planificación más clara y realista, porque los supuestos muestran lo que se espera y las restricciones indican los límites del proyecto.</w:t>
      </w:r>
    </w:p>
    <w:p w14:paraId="29640CC8" w14:textId="77777777" w:rsidR="00520222" w:rsidRPr="00734D3B" w:rsidRDefault="00520222" w:rsidP="00520222">
      <w:r w:rsidRPr="00734D3B">
        <w:t>En los proyectos eléctricos de centros de datos, los supuestos y restricciones tienen un papel muy importante por la complejidad del trabajo, los tiempos ajustados y los altos niveles de calidad que se exigen.</w:t>
      </w:r>
    </w:p>
    <w:p w14:paraId="01A17A31" w14:textId="4E6A9EF8" w:rsidR="00611920" w:rsidRPr="00734D3B" w:rsidRDefault="00520222" w:rsidP="00520222">
      <w:r w:rsidRPr="00734D3B">
        <w:t>A continuación, se presentan los principales supuestos y restricciones</w:t>
      </w:r>
      <w:r w:rsidR="006C700B" w:rsidRPr="00734D3B">
        <w:t>,</w:t>
      </w:r>
      <w:r w:rsidRPr="00734D3B">
        <w:t xml:space="preserve"> considerad</w:t>
      </w:r>
      <w:r w:rsidR="006C700B" w:rsidRPr="00734D3B">
        <w:t>o</w:t>
      </w:r>
      <w:r w:rsidRPr="00734D3B">
        <w:t>s en este trabajo y cómo pueden influir en el cumplimiento de los objetivos del proyecto.</w:t>
      </w:r>
    </w:p>
    <w:p w14:paraId="7AAC1995" w14:textId="50D8E344" w:rsidR="00EA15B1" w:rsidRPr="00734D3B" w:rsidRDefault="00EA15B1" w:rsidP="001D692F">
      <w:pPr>
        <w:pStyle w:val="Heading3"/>
        <w:numPr>
          <w:ilvl w:val="2"/>
          <w:numId w:val="44"/>
        </w:numPr>
        <w:rPr>
          <w:lang w:val="en-US"/>
        </w:rPr>
      </w:pPr>
      <w:bookmarkStart w:id="252" w:name="_Toc227936412"/>
      <w:proofErr w:type="spellStart"/>
      <w:r w:rsidRPr="00734D3B">
        <w:rPr>
          <w:lang w:val="en-US"/>
        </w:rPr>
        <w:t>Supuestos</w:t>
      </w:r>
      <w:proofErr w:type="spellEnd"/>
      <w:r w:rsidRPr="00734D3B">
        <w:rPr>
          <w:lang w:val="en-US"/>
        </w:rPr>
        <w:t xml:space="preserve"> del </w:t>
      </w:r>
      <w:proofErr w:type="spellStart"/>
      <w:r w:rsidRPr="00734D3B">
        <w:rPr>
          <w:lang w:val="en-US"/>
        </w:rPr>
        <w:t>proyecto</w:t>
      </w:r>
      <w:bookmarkEnd w:id="252"/>
      <w:proofErr w:type="spellEnd"/>
    </w:p>
    <w:p w14:paraId="375E539A" w14:textId="77777777" w:rsidR="00EA15B1" w:rsidRPr="00734D3B" w:rsidRDefault="00EA15B1" w:rsidP="001D692F">
      <w:pPr>
        <w:numPr>
          <w:ilvl w:val="0"/>
          <w:numId w:val="12"/>
        </w:numPr>
      </w:pPr>
      <w:r w:rsidRPr="00734D3B">
        <w:rPr>
          <w:b/>
          <w:bCs/>
        </w:rPr>
        <w:t>Disponibilidad de personal técnico calificado.</w:t>
      </w:r>
      <w:r w:rsidRPr="00734D3B">
        <w:br/>
        <w:t>Se asume que la empresa contará con mano de obra especializada en instalaciones eléctricas de misión crítica, lo cual asegura la correcta ejecución de los sistemas de alimentación, puesta a tierra y respaldo energético.</w:t>
      </w:r>
    </w:p>
    <w:p w14:paraId="38BA1922" w14:textId="77777777" w:rsidR="00EA15B1" w:rsidRPr="00734D3B" w:rsidRDefault="00EA15B1" w:rsidP="001D692F">
      <w:pPr>
        <w:numPr>
          <w:ilvl w:val="0"/>
          <w:numId w:val="12"/>
        </w:numPr>
      </w:pPr>
      <w:r w:rsidRPr="00734D3B">
        <w:rPr>
          <w:b/>
          <w:bCs/>
        </w:rPr>
        <w:t>Cumplimiento de normativas y estándares internacionales.</w:t>
      </w:r>
      <w:r w:rsidRPr="00734D3B">
        <w:br/>
        <w:t xml:space="preserve">Se da por hecho que todos los contratistas seguirán los lineamientos del </w:t>
      </w:r>
      <w:proofErr w:type="spellStart"/>
      <w:r w:rsidRPr="00734D3B">
        <w:rPr>
          <w:i/>
          <w:iCs/>
        </w:rPr>
        <w:t>National</w:t>
      </w:r>
      <w:proofErr w:type="spellEnd"/>
      <w:r w:rsidRPr="00734D3B">
        <w:rPr>
          <w:i/>
          <w:iCs/>
        </w:rPr>
        <w:t xml:space="preserve"> </w:t>
      </w:r>
      <w:proofErr w:type="spellStart"/>
      <w:r w:rsidRPr="00734D3B">
        <w:rPr>
          <w:i/>
          <w:iCs/>
        </w:rPr>
        <w:t>Electrical</w:t>
      </w:r>
      <w:proofErr w:type="spellEnd"/>
      <w:r w:rsidRPr="00734D3B">
        <w:rPr>
          <w:i/>
          <w:iCs/>
        </w:rPr>
        <w:t xml:space="preserve"> Code (NEC)</w:t>
      </w:r>
      <w:r w:rsidRPr="00734D3B">
        <w:t xml:space="preserve"> y las regulaciones locales, garantizando la seguridad eléctrica y la conformidad legal.</w:t>
      </w:r>
    </w:p>
    <w:p w14:paraId="5662ED30" w14:textId="1E23F6C4" w:rsidR="00EA15B1" w:rsidRPr="00734D3B" w:rsidRDefault="00EA15B1" w:rsidP="001D692F">
      <w:pPr>
        <w:numPr>
          <w:ilvl w:val="0"/>
          <w:numId w:val="12"/>
        </w:numPr>
      </w:pPr>
      <w:r w:rsidRPr="00734D3B">
        <w:rPr>
          <w:b/>
          <w:bCs/>
        </w:rPr>
        <w:lastRenderedPageBreak/>
        <w:t xml:space="preserve">Colaboración efectiva entre </w:t>
      </w:r>
      <w:r w:rsidR="003325D1" w:rsidRPr="00734D3B">
        <w:rPr>
          <w:b/>
          <w:bCs/>
        </w:rPr>
        <w:t>los involucrados</w:t>
      </w:r>
      <w:r w:rsidRPr="00734D3B">
        <w:rPr>
          <w:b/>
          <w:bCs/>
        </w:rPr>
        <w:t>.</w:t>
      </w:r>
      <w:r w:rsidRPr="00734D3B">
        <w:br/>
        <w:t>Se supone una comunicación fluida entre las partes involucradas, facilitando la coordinación de cronogramas, inspecciones y entregables sin conflictos mayores.</w:t>
      </w:r>
    </w:p>
    <w:p w14:paraId="2C32415A" w14:textId="77777777" w:rsidR="00EA15B1" w:rsidRPr="00734D3B" w:rsidRDefault="00EA15B1" w:rsidP="001D692F">
      <w:pPr>
        <w:numPr>
          <w:ilvl w:val="0"/>
          <w:numId w:val="12"/>
        </w:numPr>
      </w:pPr>
      <w:r w:rsidRPr="00734D3B">
        <w:rPr>
          <w:b/>
          <w:bCs/>
        </w:rPr>
        <w:t>Disponibilidad oportuna de materiales y equipos.</w:t>
      </w:r>
      <w:r w:rsidRPr="00734D3B">
        <w:br/>
        <w:t>Se asume que los proveedores cumplirán con los plazos de entrega establecidos, lo que permitirá mantener la continuidad de las actividades de instalación y prueba.</w:t>
      </w:r>
    </w:p>
    <w:p w14:paraId="1F01D74A" w14:textId="77777777" w:rsidR="00EA15B1" w:rsidRPr="00734D3B" w:rsidRDefault="00EA15B1" w:rsidP="001D692F">
      <w:pPr>
        <w:numPr>
          <w:ilvl w:val="0"/>
          <w:numId w:val="12"/>
        </w:numPr>
      </w:pPr>
      <w:r w:rsidRPr="00734D3B">
        <w:rPr>
          <w:b/>
          <w:bCs/>
        </w:rPr>
        <w:t>Condiciones ambientales estables durante la ejecución.</w:t>
      </w:r>
      <w:r w:rsidRPr="00734D3B">
        <w:br/>
        <w:t>Se considera que no ocurrirán fenómenos meteorológicos severos que afecten el desarrollo del proyecto, especialmente durante las actividades al aire libre.</w:t>
      </w:r>
    </w:p>
    <w:p w14:paraId="24ACF133" w14:textId="77777777" w:rsidR="00EA15B1" w:rsidRPr="00734D3B" w:rsidRDefault="00EA15B1" w:rsidP="001D692F">
      <w:pPr>
        <w:numPr>
          <w:ilvl w:val="0"/>
          <w:numId w:val="12"/>
        </w:numPr>
      </w:pPr>
      <w:r w:rsidRPr="00734D3B">
        <w:rPr>
          <w:b/>
          <w:bCs/>
        </w:rPr>
        <w:t>Compromiso de los interesados con la sostenibilidad.</w:t>
      </w:r>
      <w:r w:rsidRPr="00734D3B">
        <w:br/>
        <w:t>Se parte del supuesto de que tanto los contratistas como el cliente final apoyan la implementación de prácticas sostenibles, como la gestión de residuos eléctricos y la eficiencia energética.</w:t>
      </w:r>
    </w:p>
    <w:p w14:paraId="3AB44BE0" w14:textId="755CACBB" w:rsidR="00B03AE4" w:rsidRPr="00734D3B" w:rsidRDefault="00B03AE4" w:rsidP="001D692F">
      <w:pPr>
        <w:pStyle w:val="Heading3"/>
        <w:numPr>
          <w:ilvl w:val="2"/>
          <w:numId w:val="44"/>
        </w:numPr>
      </w:pPr>
      <w:bookmarkStart w:id="253" w:name="_Toc227936413"/>
      <w:r w:rsidRPr="00734D3B">
        <w:t>Restricciones del proyecto</w:t>
      </w:r>
      <w:bookmarkEnd w:id="253"/>
    </w:p>
    <w:p w14:paraId="31CFA139" w14:textId="77777777" w:rsidR="00B03AE4" w:rsidRPr="00734D3B" w:rsidRDefault="00B03AE4" w:rsidP="001D692F">
      <w:pPr>
        <w:numPr>
          <w:ilvl w:val="0"/>
          <w:numId w:val="13"/>
        </w:numPr>
      </w:pPr>
      <w:r w:rsidRPr="00734D3B">
        <w:rPr>
          <w:b/>
          <w:bCs/>
        </w:rPr>
        <w:t>Cronogramas ajustados y dependencias entre disciplinas.</w:t>
      </w:r>
      <w:r w:rsidRPr="00734D3B">
        <w:br/>
        <w:t>Los proyectos de data centers requieren coordinación precisa entre electricidad, HVAC, y sistemas de control; cualquier retraso en una disciplina puede afectar las demás.</w:t>
      </w:r>
    </w:p>
    <w:p w14:paraId="0568E12D" w14:textId="77777777" w:rsidR="00B03AE4" w:rsidRPr="00734D3B" w:rsidRDefault="00B03AE4" w:rsidP="001D692F">
      <w:pPr>
        <w:numPr>
          <w:ilvl w:val="0"/>
          <w:numId w:val="13"/>
        </w:numPr>
      </w:pPr>
      <w:r w:rsidRPr="00734D3B">
        <w:rPr>
          <w:b/>
          <w:bCs/>
        </w:rPr>
        <w:t>Limitaciones presupuestarias.</w:t>
      </w:r>
      <w:r w:rsidRPr="00734D3B">
        <w:br/>
        <w:t>Los costos asociados a materiales sostenibles, sistemas de monitoreo y certificaciones LEED pueden superar los presupuestos tradicionales asignados por el cliente.</w:t>
      </w:r>
    </w:p>
    <w:p w14:paraId="23932A2E" w14:textId="1A5C4345" w:rsidR="00B03AE4" w:rsidRPr="00734D3B" w:rsidRDefault="00B03AE4" w:rsidP="001D692F">
      <w:pPr>
        <w:numPr>
          <w:ilvl w:val="0"/>
          <w:numId w:val="13"/>
        </w:numPr>
      </w:pPr>
      <w:r w:rsidRPr="00734D3B">
        <w:rPr>
          <w:b/>
          <w:bCs/>
        </w:rPr>
        <w:t>Disponibilidad limitada de materiales especializados.</w:t>
      </w:r>
      <w:r w:rsidRPr="00734D3B">
        <w:br/>
        <w:t xml:space="preserve">Componentes como cables de cobre, </w:t>
      </w:r>
      <w:r w:rsidR="00417CAF" w:rsidRPr="00734D3B">
        <w:t>interruptores</w:t>
      </w:r>
      <w:r w:rsidRPr="00734D3B">
        <w:t xml:space="preserve"> o transformadores pueden presentar largos tiempos de entrega </w:t>
      </w:r>
      <w:r w:rsidR="00B00E49" w:rsidRPr="00734D3B">
        <w:t xml:space="preserve">y obligar a usar </w:t>
      </w:r>
      <w:r w:rsidR="00B00E49" w:rsidRPr="00734D3B">
        <w:rPr>
          <w:rStyle w:val="Strong"/>
          <w:b w:val="0"/>
          <w:bCs w:val="0"/>
        </w:rPr>
        <w:t>alternativas de menor sostenibilidad</w:t>
      </w:r>
    </w:p>
    <w:p w14:paraId="5FC5EE57" w14:textId="77777777" w:rsidR="00B03AE4" w:rsidRPr="00734D3B" w:rsidRDefault="00B03AE4" w:rsidP="001D692F">
      <w:pPr>
        <w:numPr>
          <w:ilvl w:val="0"/>
          <w:numId w:val="13"/>
        </w:numPr>
      </w:pPr>
      <w:r w:rsidRPr="00734D3B">
        <w:rPr>
          <w:b/>
          <w:bCs/>
        </w:rPr>
        <w:t>Requisitos de seguridad y control de acceso.</w:t>
      </w:r>
      <w:r w:rsidRPr="00734D3B">
        <w:br/>
        <w:t xml:space="preserve">Los altos estándares de seguridad en data centers restringen el acceso de personal no </w:t>
      </w:r>
      <w:r w:rsidRPr="00734D3B">
        <w:lastRenderedPageBreak/>
        <w:t>autorizado, lo que puede dificultar la flexibilidad en la programación y supervisión de obra.</w:t>
      </w:r>
    </w:p>
    <w:p w14:paraId="2BD6B662" w14:textId="00868687" w:rsidR="00C74F75" w:rsidRPr="00734D3B" w:rsidRDefault="00B03AE4" w:rsidP="001D692F">
      <w:pPr>
        <w:numPr>
          <w:ilvl w:val="0"/>
          <w:numId w:val="13"/>
        </w:numPr>
      </w:pPr>
      <w:r w:rsidRPr="00734D3B">
        <w:rPr>
          <w:b/>
          <w:bCs/>
        </w:rPr>
        <w:t>Dependencia de aprobación por parte del cliente o de</w:t>
      </w:r>
      <w:r w:rsidR="00C74F75" w:rsidRPr="00734D3B">
        <w:rPr>
          <w:b/>
          <w:bCs/>
        </w:rPr>
        <w:t xml:space="preserve"> la autoridad competente.</w:t>
      </w:r>
    </w:p>
    <w:p w14:paraId="47557252" w14:textId="3E3A8E43" w:rsidR="00B03AE4" w:rsidRPr="00734D3B" w:rsidRDefault="00B03AE4" w:rsidP="00C74F75">
      <w:pPr>
        <w:ind w:left="720" w:firstLine="0"/>
      </w:pPr>
      <w:r w:rsidRPr="00734D3B">
        <w:t xml:space="preserve">Las inspecciones y revisiones técnicas pueden generar demoras si los procesos de aprobación no son ágiles o si se requiere </w:t>
      </w:r>
      <w:r w:rsidR="00CE3F27" w:rsidRPr="00734D3B">
        <w:t>retrabajo</w:t>
      </w:r>
      <w:r w:rsidRPr="00734D3B">
        <w:t>.</w:t>
      </w:r>
    </w:p>
    <w:p w14:paraId="340F9127" w14:textId="77777777" w:rsidR="00B03AE4" w:rsidRPr="00734D3B" w:rsidRDefault="00B03AE4" w:rsidP="001D692F">
      <w:pPr>
        <w:numPr>
          <w:ilvl w:val="0"/>
          <w:numId w:val="13"/>
        </w:numPr>
      </w:pPr>
      <w:r w:rsidRPr="00734D3B">
        <w:rPr>
          <w:b/>
          <w:bCs/>
        </w:rPr>
        <w:t>Condiciones climáticas extremas en Arizona.</w:t>
      </w:r>
      <w:r w:rsidRPr="00734D3B">
        <w:br/>
        <w:t>Las altas temperaturas pueden limitar el horario de trabajo al aire libre, afectando la productividad y aumentando el riesgo de incidentes laborales.</w:t>
      </w:r>
    </w:p>
    <w:p w14:paraId="7294B697" w14:textId="77777777" w:rsidR="007C6CB9" w:rsidRPr="00734D3B" w:rsidRDefault="007C6CB9">
      <w:pPr>
        <w:spacing w:line="240" w:lineRule="auto"/>
        <w:ind w:firstLine="0"/>
        <w:rPr>
          <w:b/>
          <w:szCs w:val="18"/>
        </w:rPr>
      </w:pPr>
      <w:r w:rsidRPr="00734D3B">
        <w:rPr>
          <w:b/>
          <w:szCs w:val="18"/>
        </w:rPr>
        <w:br w:type="page"/>
      </w:r>
    </w:p>
    <w:p w14:paraId="3BDA0A23" w14:textId="23DFCF4C" w:rsidR="005F67EA" w:rsidRPr="00734D3B" w:rsidRDefault="005F67EA" w:rsidP="005F67EA">
      <w:pPr>
        <w:spacing w:after="200"/>
        <w:ind w:firstLine="0"/>
        <w:rPr>
          <w:b/>
          <w:szCs w:val="18"/>
        </w:rPr>
      </w:pPr>
      <w:bookmarkStart w:id="254" w:name="_Toc228342086"/>
      <w:r w:rsidRPr="00734D3B">
        <w:rPr>
          <w:b/>
          <w:szCs w:val="18"/>
        </w:rPr>
        <w:lastRenderedPageBreak/>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6</w:t>
      </w:r>
      <w:r w:rsidRPr="00734D3B">
        <w:rPr>
          <w:b/>
          <w:szCs w:val="18"/>
        </w:rPr>
        <w:fldChar w:fldCharType="end"/>
      </w:r>
      <w:r w:rsidRPr="00734D3B">
        <w:rPr>
          <w:b/>
          <w:szCs w:val="18"/>
        </w:rPr>
        <w:t xml:space="preserve"> </w:t>
      </w:r>
      <w:r w:rsidRPr="00734D3B">
        <w:rPr>
          <w:b/>
          <w:szCs w:val="18"/>
        </w:rPr>
        <w:br/>
      </w:r>
      <w:r w:rsidRPr="00734D3B">
        <w:rPr>
          <w:bCs/>
          <w:i/>
          <w:iCs/>
          <w:szCs w:val="18"/>
        </w:rPr>
        <w:t>Supuestos y restricciones</w:t>
      </w:r>
      <w:bookmarkEnd w:id="254"/>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5"/>
        <w:gridCol w:w="3209"/>
        <w:gridCol w:w="3028"/>
      </w:tblGrid>
      <w:tr w:rsidR="00734D3B" w:rsidRPr="00734D3B" w14:paraId="260BA109" w14:textId="77777777" w:rsidTr="00525ADA">
        <w:trPr>
          <w:tblHeader/>
          <w:tblCellSpacing w:w="15" w:type="dxa"/>
        </w:trPr>
        <w:tc>
          <w:tcPr>
            <w:tcW w:w="0" w:type="auto"/>
            <w:tcBorders>
              <w:top w:val="single" w:sz="4" w:space="0" w:color="auto"/>
              <w:bottom w:val="single" w:sz="4" w:space="0" w:color="auto"/>
            </w:tcBorders>
            <w:shd w:val="clear" w:color="auto" w:fill="9CC2E5" w:themeFill="accent5" w:themeFillTint="99"/>
            <w:vAlign w:val="center"/>
            <w:hideMark/>
          </w:tcPr>
          <w:p w14:paraId="5753B041" w14:textId="77777777" w:rsidR="000C059C" w:rsidRPr="00734D3B" w:rsidRDefault="000C059C" w:rsidP="000E1F79">
            <w:pPr>
              <w:spacing w:line="276" w:lineRule="auto"/>
              <w:ind w:firstLine="0"/>
              <w:jc w:val="center"/>
              <w:rPr>
                <w:rFonts w:cs="Arial"/>
                <w:b/>
                <w:bCs/>
                <w:szCs w:val="22"/>
                <w:lang w:eastAsia="en-US"/>
              </w:rPr>
            </w:pPr>
            <w:r w:rsidRPr="00734D3B">
              <w:rPr>
                <w:rFonts w:cs="Arial"/>
                <w:b/>
                <w:bCs/>
                <w:szCs w:val="22"/>
                <w:lang w:eastAsia="en-US"/>
              </w:rPr>
              <w:t>Objetivos específicos</w:t>
            </w:r>
          </w:p>
        </w:tc>
        <w:tc>
          <w:tcPr>
            <w:tcW w:w="0" w:type="auto"/>
            <w:tcBorders>
              <w:top w:val="single" w:sz="4" w:space="0" w:color="auto"/>
              <w:bottom w:val="single" w:sz="4" w:space="0" w:color="auto"/>
            </w:tcBorders>
            <w:shd w:val="clear" w:color="auto" w:fill="9CC2E5" w:themeFill="accent5" w:themeFillTint="99"/>
            <w:vAlign w:val="center"/>
            <w:hideMark/>
          </w:tcPr>
          <w:p w14:paraId="409D8F9F" w14:textId="77777777" w:rsidR="000C059C" w:rsidRPr="00734D3B" w:rsidRDefault="000C059C" w:rsidP="000E1F79">
            <w:pPr>
              <w:spacing w:line="276" w:lineRule="auto"/>
              <w:ind w:firstLine="0"/>
              <w:jc w:val="center"/>
              <w:rPr>
                <w:rFonts w:cs="Arial"/>
                <w:b/>
                <w:bCs/>
                <w:szCs w:val="22"/>
                <w:lang w:eastAsia="en-US"/>
              </w:rPr>
            </w:pPr>
            <w:r w:rsidRPr="00734D3B">
              <w:rPr>
                <w:rFonts w:cs="Arial"/>
                <w:b/>
                <w:bCs/>
                <w:szCs w:val="22"/>
                <w:lang w:eastAsia="en-US"/>
              </w:rPr>
              <w:t>Supuestos asociados</w:t>
            </w:r>
          </w:p>
        </w:tc>
        <w:tc>
          <w:tcPr>
            <w:tcW w:w="0" w:type="auto"/>
            <w:tcBorders>
              <w:top w:val="single" w:sz="4" w:space="0" w:color="auto"/>
              <w:bottom w:val="single" w:sz="4" w:space="0" w:color="auto"/>
            </w:tcBorders>
            <w:shd w:val="clear" w:color="auto" w:fill="9CC2E5" w:themeFill="accent5" w:themeFillTint="99"/>
            <w:vAlign w:val="center"/>
            <w:hideMark/>
          </w:tcPr>
          <w:p w14:paraId="779B90B6" w14:textId="77777777" w:rsidR="000C059C" w:rsidRPr="00734D3B" w:rsidRDefault="000C059C" w:rsidP="000E1F79">
            <w:pPr>
              <w:spacing w:line="276" w:lineRule="auto"/>
              <w:ind w:firstLine="0"/>
              <w:jc w:val="center"/>
              <w:rPr>
                <w:rFonts w:cs="Arial"/>
                <w:b/>
                <w:bCs/>
                <w:szCs w:val="22"/>
                <w:lang w:eastAsia="en-US"/>
              </w:rPr>
            </w:pPr>
            <w:r w:rsidRPr="00734D3B">
              <w:rPr>
                <w:rFonts w:cs="Arial"/>
                <w:b/>
                <w:bCs/>
                <w:szCs w:val="22"/>
                <w:lang w:eastAsia="en-US"/>
              </w:rPr>
              <w:t>Restricciones asociadas</w:t>
            </w:r>
          </w:p>
        </w:tc>
      </w:tr>
      <w:tr w:rsidR="00734D3B" w:rsidRPr="00734D3B" w14:paraId="36F5F3D1" w14:textId="77777777" w:rsidTr="000E1F79">
        <w:trPr>
          <w:tblCellSpacing w:w="15" w:type="dxa"/>
        </w:trPr>
        <w:tc>
          <w:tcPr>
            <w:tcW w:w="0" w:type="auto"/>
            <w:vAlign w:val="center"/>
            <w:hideMark/>
          </w:tcPr>
          <w:p w14:paraId="272DA71E"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1. Diagnosticar el estado actual de las prácticas de sostenibilidad y gestión de residuos aplicadas por contratistas eléctricos en proyectos de data centers en Arizona, EE. UU., para identificar brechas y oportunidades de mejora.</w:t>
            </w:r>
          </w:p>
        </w:tc>
        <w:tc>
          <w:tcPr>
            <w:tcW w:w="0" w:type="auto"/>
            <w:vAlign w:val="center"/>
            <w:hideMark/>
          </w:tcPr>
          <w:p w14:paraId="1D71035E"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Disponibilidad de personal técnico calificado para brindar información </w:t>
            </w:r>
            <w:proofErr w:type="gramStart"/>
            <w:r w:rsidRPr="00734D3B">
              <w:rPr>
                <w:rFonts w:cs="Arial"/>
                <w:szCs w:val="22"/>
                <w:lang w:eastAsia="en-US"/>
              </w:rPr>
              <w:t>veraz.•</w:t>
            </w:r>
            <w:proofErr w:type="gramEnd"/>
            <w:r w:rsidRPr="00734D3B">
              <w:rPr>
                <w:rFonts w:cs="Arial"/>
                <w:szCs w:val="22"/>
                <w:lang w:eastAsia="en-US"/>
              </w:rPr>
              <w:t xml:space="preserve"> Colaboración efectiva de supervisores, encargados ambientales y jefes de </w:t>
            </w:r>
            <w:proofErr w:type="gramStart"/>
            <w:r w:rsidRPr="00734D3B">
              <w:rPr>
                <w:rFonts w:cs="Arial"/>
                <w:szCs w:val="22"/>
                <w:lang w:eastAsia="en-US"/>
              </w:rPr>
              <w:t>proyecto.•</w:t>
            </w:r>
            <w:proofErr w:type="gramEnd"/>
            <w:r w:rsidRPr="00734D3B">
              <w:rPr>
                <w:rFonts w:cs="Arial"/>
                <w:szCs w:val="22"/>
                <w:lang w:eastAsia="en-US"/>
              </w:rPr>
              <w:t xml:space="preserve"> Compromiso de los interesados con prácticas de sostenibilidad.</w:t>
            </w:r>
          </w:p>
        </w:tc>
        <w:tc>
          <w:tcPr>
            <w:tcW w:w="0" w:type="auto"/>
            <w:vAlign w:val="center"/>
            <w:hideMark/>
          </w:tcPr>
          <w:p w14:paraId="139ADBFB"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Acceso limitado a información interna de las </w:t>
            </w:r>
            <w:proofErr w:type="gramStart"/>
            <w:r w:rsidRPr="00734D3B">
              <w:rPr>
                <w:rFonts w:cs="Arial"/>
                <w:szCs w:val="22"/>
                <w:lang w:eastAsia="en-US"/>
              </w:rPr>
              <w:t>empresas.•</w:t>
            </w:r>
            <w:proofErr w:type="gramEnd"/>
            <w:r w:rsidRPr="00734D3B">
              <w:rPr>
                <w:rFonts w:cs="Arial"/>
                <w:szCs w:val="22"/>
                <w:lang w:eastAsia="en-US"/>
              </w:rPr>
              <w:t xml:space="preserve"> Disponibilidad de tiempo del personal para responder encuestas y </w:t>
            </w:r>
            <w:proofErr w:type="gramStart"/>
            <w:r w:rsidRPr="00734D3B">
              <w:rPr>
                <w:rFonts w:cs="Arial"/>
                <w:szCs w:val="22"/>
                <w:lang w:eastAsia="en-US"/>
              </w:rPr>
              <w:t>entrevistas.•</w:t>
            </w:r>
            <w:proofErr w:type="gramEnd"/>
            <w:r w:rsidRPr="00734D3B">
              <w:rPr>
                <w:rFonts w:cs="Arial"/>
                <w:szCs w:val="22"/>
                <w:lang w:eastAsia="en-US"/>
              </w:rPr>
              <w:t xml:space="preserve"> Dependencia de la autorización de las empresas participantes.</w:t>
            </w:r>
          </w:p>
        </w:tc>
      </w:tr>
      <w:tr w:rsidR="00734D3B" w:rsidRPr="00734D3B" w14:paraId="04AF34EF" w14:textId="77777777" w:rsidTr="000E1F79">
        <w:trPr>
          <w:tblCellSpacing w:w="15" w:type="dxa"/>
        </w:trPr>
        <w:tc>
          <w:tcPr>
            <w:tcW w:w="0" w:type="auto"/>
            <w:vAlign w:val="center"/>
            <w:hideMark/>
          </w:tcPr>
          <w:p w14:paraId="0465CAF1" w14:textId="77777777" w:rsidR="007F3684" w:rsidRPr="00734D3B" w:rsidRDefault="007F3684" w:rsidP="000E1F79">
            <w:pPr>
              <w:spacing w:line="276" w:lineRule="auto"/>
              <w:ind w:firstLine="0"/>
              <w:rPr>
                <w:rFonts w:cs="Arial"/>
                <w:szCs w:val="22"/>
                <w:lang w:eastAsia="en-US"/>
              </w:rPr>
            </w:pPr>
          </w:p>
          <w:p w14:paraId="14976548" w14:textId="74FF622A" w:rsidR="000C059C" w:rsidRPr="00734D3B" w:rsidRDefault="000C059C" w:rsidP="000E1F79">
            <w:pPr>
              <w:spacing w:line="276" w:lineRule="auto"/>
              <w:ind w:firstLine="0"/>
              <w:rPr>
                <w:rFonts w:cs="Arial"/>
                <w:szCs w:val="22"/>
                <w:lang w:eastAsia="en-US"/>
              </w:rPr>
            </w:pPr>
            <w:r w:rsidRPr="00734D3B">
              <w:rPr>
                <w:rFonts w:cs="Arial"/>
                <w:szCs w:val="22"/>
                <w:lang w:eastAsia="en-US"/>
              </w:rPr>
              <w:t>2. Analizar marcos normativos y buenas prácticas internacionales y regionales aplicables a la gestión ambiental en proyectos eléctricos para fundamentar el diseño de la guía metodológica.</w:t>
            </w:r>
          </w:p>
        </w:tc>
        <w:tc>
          <w:tcPr>
            <w:tcW w:w="0" w:type="auto"/>
            <w:vAlign w:val="center"/>
            <w:hideMark/>
          </w:tcPr>
          <w:p w14:paraId="0F153228"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Vigencia y disponibilidad de normativas internacionales y regionales (ISO, LEED, NECA, GPM Global</w:t>
            </w:r>
            <w:proofErr w:type="gramStart"/>
            <w:r w:rsidRPr="00734D3B">
              <w:rPr>
                <w:rFonts w:cs="Arial"/>
                <w:szCs w:val="22"/>
                <w:lang w:eastAsia="en-US"/>
              </w:rPr>
              <w:t>).•</w:t>
            </w:r>
            <w:proofErr w:type="gramEnd"/>
            <w:r w:rsidRPr="00734D3B">
              <w:rPr>
                <w:rFonts w:cs="Arial"/>
                <w:szCs w:val="22"/>
                <w:lang w:eastAsia="en-US"/>
              </w:rPr>
              <w:t xml:space="preserve"> Claridad y aplicabilidad de los estándares al contexto de data centers.</w:t>
            </w:r>
          </w:p>
        </w:tc>
        <w:tc>
          <w:tcPr>
            <w:tcW w:w="0" w:type="auto"/>
            <w:vAlign w:val="center"/>
            <w:hideMark/>
          </w:tcPr>
          <w:p w14:paraId="3B31E872"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Diferencias regulatorias entre países y </w:t>
            </w:r>
            <w:proofErr w:type="gramStart"/>
            <w:r w:rsidRPr="00734D3B">
              <w:rPr>
                <w:rFonts w:cs="Arial"/>
                <w:szCs w:val="22"/>
                <w:lang w:eastAsia="en-US"/>
              </w:rPr>
              <w:t>estados.•</w:t>
            </w:r>
            <w:proofErr w:type="gramEnd"/>
            <w:r w:rsidRPr="00734D3B">
              <w:rPr>
                <w:rFonts w:cs="Arial"/>
                <w:szCs w:val="22"/>
                <w:lang w:eastAsia="en-US"/>
              </w:rPr>
              <w:t xml:space="preserve"> Actualizaciones normativas durante el desarrollo del </w:t>
            </w:r>
            <w:proofErr w:type="gramStart"/>
            <w:r w:rsidRPr="00734D3B">
              <w:rPr>
                <w:rFonts w:cs="Arial"/>
                <w:szCs w:val="22"/>
                <w:lang w:eastAsia="en-US"/>
              </w:rPr>
              <w:t>proyecto.•</w:t>
            </w:r>
            <w:proofErr w:type="gramEnd"/>
            <w:r w:rsidRPr="00734D3B">
              <w:rPr>
                <w:rFonts w:cs="Arial"/>
                <w:szCs w:val="22"/>
                <w:lang w:eastAsia="en-US"/>
              </w:rPr>
              <w:t xml:space="preserve"> Limitaciones de acceso a documentos técnicos especializados.</w:t>
            </w:r>
          </w:p>
        </w:tc>
      </w:tr>
      <w:tr w:rsidR="00734D3B" w:rsidRPr="00734D3B" w14:paraId="45C17D54" w14:textId="77777777" w:rsidTr="000E1F79">
        <w:trPr>
          <w:tblCellSpacing w:w="15" w:type="dxa"/>
        </w:trPr>
        <w:tc>
          <w:tcPr>
            <w:tcW w:w="0" w:type="auto"/>
            <w:vAlign w:val="center"/>
            <w:hideMark/>
          </w:tcPr>
          <w:p w14:paraId="07EC471A" w14:textId="77777777" w:rsidR="007F3684" w:rsidRPr="00734D3B" w:rsidRDefault="007F3684" w:rsidP="000E1F79">
            <w:pPr>
              <w:spacing w:line="276" w:lineRule="auto"/>
              <w:ind w:firstLine="0"/>
              <w:rPr>
                <w:rFonts w:cs="Arial"/>
                <w:szCs w:val="22"/>
                <w:lang w:eastAsia="en-US"/>
              </w:rPr>
            </w:pPr>
          </w:p>
          <w:p w14:paraId="508E6E4B" w14:textId="50271F65" w:rsidR="000C059C" w:rsidRPr="00734D3B" w:rsidRDefault="000C059C" w:rsidP="000E1F79">
            <w:pPr>
              <w:spacing w:line="276" w:lineRule="auto"/>
              <w:ind w:firstLine="0"/>
              <w:rPr>
                <w:rFonts w:cs="Arial"/>
                <w:szCs w:val="22"/>
                <w:lang w:eastAsia="en-US"/>
              </w:rPr>
            </w:pPr>
            <w:r w:rsidRPr="00734D3B">
              <w:rPr>
                <w:rFonts w:cs="Arial"/>
                <w:szCs w:val="22"/>
                <w:lang w:eastAsia="en-US"/>
              </w:rPr>
              <w:t>3. Diseñar lineamientos y procedimientos prácticos para la reducción, segregación, reutilización y disposición adecuada de residuos eléctricos en proyectos de construcción de data centers.</w:t>
            </w:r>
          </w:p>
        </w:tc>
        <w:tc>
          <w:tcPr>
            <w:tcW w:w="0" w:type="auto"/>
            <w:vAlign w:val="center"/>
            <w:hideMark/>
          </w:tcPr>
          <w:p w14:paraId="09799D9E" w14:textId="77777777" w:rsidR="007F3684" w:rsidRPr="00734D3B" w:rsidRDefault="007F3684" w:rsidP="000E1F79">
            <w:pPr>
              <w:spacing w:line="276" w:lineRule="auto"/>
              <w:ind w:firstLine="0"/>
              <w:rPr>
                <w:rFonts w:cs="Arial"/>
                <w:szCs w:val="22"/>
                <w:lang w:eastAsia="en-US"/>
              </w:rPr>
            </w:pPr>
          </w:p>
          <w:p w14:paraId="032A194D" w14:textId="0E706905"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Disponibilidad oportuna de materiales y equipos </w:t>
            </w:r>
            <w:proofErr w:type="gramStart"/>
            <w:r w:rsidRPr="00734D3B">
              <w:rPr>
                <w:rFonts w:cs="Arial"/>
                <w:szCs w:val="22"/>
                <w:lang w:eastAsia="en-US"/>
              </w:rPr>
              <w:t>eléctricos.•</w:t>
            </w:r>
            <w:proofErr w:type="gramEnd"/>
            <w:r w:rsidRPr="00734D3B">
              <w:rPr>
                <w:rFonts w:cs="Arial"/>
                <w:szCs w:val="22"/>
                <w:lang w:eastAsia="en-US"/>
              </w:rPr>
              <w:t xml:space="preserve"> Existencia de prácticas previas que puedan </w:t>
            </w:r>
            <w:proofErr w:type="gramStart"/>
            <w:r w:rsidRPr="00734D3B">
              <w:rPr>
                <w:rFonts w:cs="Arial"/>
                <w:szCs w:val="22"/>
                <w:lang w:eastAsia="en-US"/>
              </w:rPr>
              <w:t>mejorarse.•</w:t>
            </w:r>
            <w:proofErr w:type="gramEnd"/>
            <w:r w:rsidRPr="00734D3B">
              <w:rPr>
                <w:rFonts w:cs="Arial"/>
                <w:szCs w:val="22"/>
                <w:lang w:eastAsia="en-US"/>
              </w:rPr>
              <w:t xml:space="preserve"> Disposición de los contratistas para adoptar procedimientos estandarizados.</w:t>
            </w:r>
          </w:p>
        </w:tc>
        <w:tc>
          <w:tcPr>
            <w:tcW w:w="0" w:type="auto"/>
            <w:vAlign w:val="center"/>
            <w:hideMark/>
          </w:tcPr>
          <w:p w14:paraId="1B8B0AEE" w14:textId="77777777" w:rsidR="00D7779B" w:rsidRPr="00734D3B" w:rsidRDefault="00D7779B" w:rsidP="000E1F79">
            <w:pPr>
              <w:spacing w:line="276" w:lineRule="auto"/>
              <w:ind w:firstLine="0"/>
              <w:rPr>
                <w:rFonts w:cs="Arial"/>
                <w:szCs w:val="22"/>
                <w:lang w:eastAsia="en-US"/>
              </w:rPr>
            </w:pPr>
          </w:p>
          <w:p w14:paraId="01196197" w14:textId="49DF6DFB"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Limitaciones presupuestarias para implementar materiales o procesos más </w:t>
            </w:r>
            <w:proofErr w:type="gramStart"/>
            <w:r w:rsidRPr="00734D3B">
              <w:rPr>
                <w:rFonts w:cs="Arial"/>
                <w:szCs w:val="22"/>
                <w:lang w:eastAsia="en-US"/>
              </w:rPr>
              <w:t>sostenibles.•</w:t>
            </w:r>
            <w:proofErr w:type="gramEnd"/>
            <w:r w:rsidRPr="00734D3B">
              <w:rPr>
                <w:rFonts w:cs="Arial"/>
                <w:szCs w:val="22"/>
                <w:lang w:eastAsia="en-US"/>
              </w:rPr>
              <w:t xml:space="preserve"> Disponibilidad limitada de materiales </w:t>
            </w:r>
            <w:proofErr w:type="gramStart"/>
            <w:r w:rsidRPr="00734D3B">
              <w:rPr>
                <w:rFonts w:cs="Arial"/>
                <w:szCs w:val="22"/>
                <w:lang w:eastAsia="en-US"/>
              </w:rPr>
              <w:t>especializados.•</w:t>
            </w:r>
            <w:proofErr w:type="gramEnd"/>
            <w:r w:rsidRPr="00734D3B">
              <w:rPr>
                <w:rFonts w:cs="Arial"/>
                <w:szCs w:val="22"/>
                <w:lang w:eastAsia="en-US"/>
              </w:rPr>
              <w:t xml:space="preserve"> Cronogramas ajustados y dependencias entre disciplinas.</w:t>
            </w:r>
          </w:p>
        </w:tc>
      </w:tr>
      <w:tr w:rsidR="00734D3B" w:rsidRPr="00734D3B" w14:paraId="67C174AE" w14:textId="77777777" w:rsidTr="000E1F79">
        <w:trPr>
          <w:tblCellSpacing w:w="15" w:type="dxa"/>
        </w:trPr>
        <w:tc>
          <w:tcPr>
            <w:tcW w:w="0" w:type="auto"/>
            <w:tcBorders>
              <w:bottom w:val="single" w:sz="4" w:space="0" w:color="auto"/>
            </w:tcBorders>
            <w:vAlign w:val="center"/>
            <w:hideMark/>
          </w:tcPr>
          <w:p w14:paraId="2AF1D514"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4. Diseñar y estructurar una guía metodológica que integre el diagnóstico, las buenas prácticas, los lineamientos operativos y un sistema de indicadores de desempeño ambiental.</w:t>
            </w:r>
          </w:p>
        </w:tc>
        <w:tc>
          <w:tcPr>
            <w:tcW w:w="0" w:type="auto"/>
            <w:tcBorders>
              <w:bottom w:val="single" w:sz="4" w:space="0" w:color="auto"/>
            </w:tcBorders>
            <w:vAlign w:val="center"/>
            <w:hideMark/>
          </w:tcPr>
          <w:p w14:paraId="1A8837A2"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Uso efectivo de herramientas de dirección de proyectos (PMBOK, PRiSM</w:t>
            </w:r>
            <w:proofErr w:type="gramStart"/>
            <w:r w:rsidRPr="00734D3B">
              <w:rPr>
                <w:rFonts w:cs="Arial"/>
                <w:szCs w:val="22"/>
                <w:lang w:eastAsia="en-US"/>
              </w:rPr>
              <w:t>).•</w:t>
            </w:r>
            <w:proofErr w:type="gramEnd"/>
            <w:r w:rsidRPr="00734D3B">
              <w:rPr>
                <w:rFonts w:cs="Arial"/>
                <w:szCs w:val="22"/>
                <w:lang w:eastAsia="en-US"/>
              </w:rPr>
              <w:t xml:space="preserve"> Estabilidad de las condiciones ambientales y operativas durante el desarrollo del </w:t>
            </w:r>
            <w:proofErr w:type="gramStart"/>
            <w:r w:rsidRPr="00734D3B">
              <w:rPr>
                <w:rFonts w:cs="Arial"/>
                <w:szCs w:val="22"/>
                <w:lang w:eastAsia="en-US"/>
              </w:rPr>
              <w:t>estudio.•</w:t>
            </w:r>
            <w:proofErr w:type="gramEnd"/>
            <w:r w:rsidRPr="00734D3B">
              <w:rPr>
                <w:rFonts w:cs="Arial"/>
                <w:szCs w:val="22"/>
                <w:lang w:eastAsia="en-US"/>
              </w:rPr>
              <w:t xml:space="preserve"> Interés del cliente y contratistas en aplicar la guía metodológica.</w:t>
            </w:r>
          </w:p>
        </w:tc>
        <w:tc>
          <w:tcPr>
            <w:tcW w:w="0" w:type="auto"/>
            <w:tcBorders>
              <w:bottom w:val="single" w:sz="4" w:space="0" w:color="auto"/>
            </w:tcBorders>
            <w:vAlign w:val="center"/>
            <w:hideMark/>
          </w:tcPr>
          <w:p w14:paraId="76CB13BF" w14:textId="77777777" w:rsidR="000C059C" w:rsidRPr="00734D3B" w:rsidRDefault="000C059C" w:rsidP="000E1F79">
            <w:pPr>
              <w:spacing w:line="276" w:lineRule="auto"/>
              <w:ind w:firstLine="0"/>
              <w:rPr>
                <w:rFonts w:cs="Arial"/>
                <w:szCs w:val="22"/>
                <w:lang w:eastAsia="en-US"/>
              </w:rPr>
            </w:pPr>
            <w:r w:rsidRPr="00734D3B">
              <w:rPr>
                <w:rFonts w:cs="Arial"/>
                <w:szCs w:val="22"/>
                <w:lang w:eastAsia="en-US"/>
              </w:rPr>
              <w:t xml:space="preserve">• Condiciones climáticas extremas en </w:t>
            </w:r>
            <w:proofErr w:type="gramStart"/>
            <w:r w:rsidRPr="00734D3B">
              <w:rPr>
                <w:rFonts w:cs="Arial"/>
                <w:szCs w:val="22"/>
                <w:lang w:eastAsia="en-US"/>
              </w:rPr>
              <w:t>Arizona.•</w:t>
            </w:r>
            <w:proofErr w:type="gramEnd"/>
            <w:r w:rsidRPr="00734D3B">
              <w:rPr>
                <w:rFonts w:cs="Arial"/>
                <w:szCs w:val="22"/>
                <w:lang w:eastAsia="en-US"/>
              </w:rPr>
              <w:t xml:space="preserve"> Requisitos estrictos de seguridad y control de acceso en data </w:t>
            </w:r>
            <w:proofErr w:type="gramStart"/>
            <w:r w:rsidRPr="00734D3B">
              <w:rPr>
                <w:rFonts w:cs="Arial"/>
                <w:szCs w:val="22"/>
                <w:lang w:eastAsia="en-US"/>
              </w:rPr>
              <w:t>centers.•</w:t>
            </w:r>
            <w:proofErr w:type="gramEnd"/>
            <w:r w:rsidRPr="00734D3B">
              <w:rPr>
                <w:rFonts w:cs="Arial"/>
                <w:szCs w:val="22"/>
                <w:lang w:eastAsia="en-US"/>
              </w:rPr>
              <w:t xml:space="preserve"> Dependencia de aprobación por parte del cliente o autoridades competentes.</w:t>
            </w:r>
          </w:p>
        </w:tc>
      </w:tr>
    </w:tbl>
    <w:p w14:paraId="143EF05E" w14:textId="441BC317" w:rsidR="005F67EA" w:rsidRPr="00734D3B" w:rsidRDefault="005F67EA" w:rsidP="005F67EA">
      <w:pPr>
        <w:spacing w:line="240" w:lineRule="auto"/>
        <w:ind w:firstLine="0"/>
        <w:contextualSpacing/>
        <w:rPr>
          <w:rFonts w:cs="Arial"/>
          <w:szCs w:val="22"/>
        </w:rPr>
      </w:pPr>
      <w:r w:rsidRPr="00734D3B">
        <w:rPr>
          <w:rFonts w:cs="Arial"/>
          <w:i/>
          <w:iCs/>
          <w:szCs w:val="22"/>
        </w:rPr>
        <w:lastRenderedPageBreak/>
        <w:t>Nota</w:t>
      </w:r>
      <w:r w:rsidRPr="00734D3B">
        <w:rPr>
          <w:rFonts w:cs="Arial"/>
          <w:szCs w:val="22"/>
        </w:rPr>
        <w:t xml:space="preserve">. La Tabla </w:t>
      </w:r>
      <w:r w:rsidR="001C7AE3" w:rsidRPr="00734D3B">
        <w:rPr>
          <w:rFonts w:cs="Arial"/>
          <w:szCs w:val="22"/>
        </w:rPr>
        <w:t>6</w:t>
      </w:r>
      <w:r w:rsidRPr="00734D3B">
        <w:rPr>
          <w:rFonts w:cs="Arial"/>
          <w:szCs w:val="22"/>
        </w:rPr>
        <w:t xml:space="preserve"> muestra los supuestos y restricciones del proyecto, en correspondencia con cada objetivo. Autoría propia.</w:t>
      </w:r>
    </w:p>
    <w:p w14:paraId="54D209CF" w14:textId="77777777" w:rsidR="005F67EA" w:rsidRPr="00734D3B" w:rsidRDefault="005F67EA" w:rsidP="005F67EA">
      <w:pPr>
        <w:ind w:left="360" w:firstLine="0"/>
      </w:pPr>
    </w:p>
    <w:p w14:paraId="1D0B0348" w14:textId="77777777" w:rsidR="00071450" w:rsidRPr="00734D3B" w:rsidRDefault="00071450" w:rsidP="00D7259E">
      <w:pPr>
        <w:spacing w:line="240" w:lineRule="auto"/>
        <w:ind w:firstLine="0"/>
        <w:contextualSpacing/>
        <w:rPr>
          <w:rFonts w:cs="Arial"/>
          <w:szCs w:val="22"/>
        </w:rPr>
      </w:pPr>
    </w:p>
    <w:p w14:paraId="1418BAAD" w14:textId="77777777" w:rsidR="00264EEB" w:rsidRPr="00734D3B" w:rsidRDefault="00264EEB" w:rsidP="001D692F">
      <w:pPr>
        <w:pStyle w:val="Heading2"/>
        <w:numPr>
          <w:ilvl w:val="1"/>
          <w:numId w:val="44"/>
        </w:numPr>
      </w:pPr>
      <w:bookmarkStart w:id="255" w:name="_Toc354770528"/>
      <w:bookmarkStart w:id="256" w:name="_Toc211465607"/>
      <w:bookmarkStart w:id="257" w:name="_Toc227936414"/>
      <w:r w:rsidRPr="00734D3B">
        <w:t>Entregables</w:t>
      </w:r>
      <w:bookmarkEnd w:id="255"/>
      <w:bookmarkEnd w:id="256"/>
      <w:bookmarkEnd w:id="257"/>
    </w:p>
    <w:p w14:paraId="1FC589E9" w14:textId="0A8C5BDC" w:rsidR="0007700E" w:rsidRPr="00734D3B" w:rsidRDefault="0007700E" w:rsidP="0007700E">
      <w:pPr>
        <w:ind w:left="576" w:firstLine="706"/>
        <w:contextualSpacing/>
        <w:rPr>
          <w:rFonts w:cs="Arial"/>
          <w:szCs w:val="22"/>
        </w:rPr>
      </w:pPr>
      <w:r w:rsidRPr="00734D3B">
        <w:rPr>
          <w:rFonts w:cs="Arial"/>
          <w:szCs w:val="22"/>
        </w:rPr>
        <w:t xml:space="preserve">En la gestión de proyectos, los entregables son los productos, resultados o servicios que se obtienen al realizar las actividades </w:t>
      </w:r>
      <w:r w:rsidR="00E057DF" w:rsidRPr="00734D3B">
        <w:rPr>
          <w:rFonts w:cs="Arial"/>
          <w:szCs w:val="22"/>
        </w:rPr>
        <w:t>planificadas. Según</w:t>
      </w:r>
      <w:r w:rsidRPr="00734D3B">
        <w:rPr>
          <w:rFonts w:cs="Arial"/>
          <w:szCs w:val="22"/>
        </w:rPr>
        <w:t xml:space="preserve"> Kerzner (2022), un entregable es un resultado que se puede comprobar y medir, y que demuestra el avance o la finalización de una parte del proyecto.</w:t>
      </w:r>
    </w:p>
    <w:p w14:paraId="0C1AED6B" w14:textId="56C85A7D" w:rsidR="0007700E" w:rsidRPr="00734D3B" w:rsidRDefault="0007700E" w:rsidP="0007700E">
      <w:pPr>
        <w:ind w:left="576" w:firstLine="706"/>
        <w:contextualSpacing/>
        <w:rPr>
          <w:rFonts w:cs="Arial"/>
          <w:szCs w:val="22"/>
        </w:rPr>
      </w:pPr>
      <w:r w:rsidRPr="00734D3B">
        <w:rPr>
          <w:rFonts w:cs="Arial"/>
          <w:szCs w:val="22"/>
        </w:rPr>
        <w:t xml:space="preserve">El Project Management Institute (2021) explica que los entregables son los “productos o resultados que deben generarse para completar un proceso, una fase o un </w:t>
      </w:r>
      <w:r w:rsidR="00BE7A91" w:rsidRPr="00734D3B">
        <w:rPr>
          <w:rFonts w:cs="Arial"/>
          <w:szCs w:val="22"/>
        </w:rPr>
        <w:t>proyecto”. Ambos</w:t>
      </w:r>
      <w:r w:rsidRPr="00734D3B">
        <w:rPr>
          <w:rFonts w:cs="Arial"/>
          <w:szCs w:val="22"/>
        </w:rPr>
        <w:t xml:space="preserve"> autores coinciden en que los entregables son muy importantes para controlar el progreso del trabajo, comunicar los resultados a los interesados y comprobar que se cumplieron los objetivos.</w:t>
      </w:r>
    </w:p>
    <w:p w14:paraId="45BEE544" w14:textId="2A2A5623" w:rsidR="0007700E" w:rsidRPr="00734D3B" w:rsidRDefault="0007700E" w:rsidP="0007700E">
      <w:pPr>
        <w:ind w:left="576" w:firstLine="706"/>
        <w:contextualSpacing/>
        <w:rPr>
          <w:rFonts w:cs="Arial"/>
          <w:szCs w:val="22"/>
        </w:rPr>
      </w:pPr>
      <w:r w:rsidRPr="00734D3B">
        <w:rPr>
          <w:rFonts w:cs="Arial"/>
          <w:szCs w:val="22"/>
        </w:rPr>
        <w:t>En este trabajo, los entregables se diseñaron de acuerdo con los objetivos específicos definidos en el Acta del Proyecto Final de Graduación (PFG</w:t>
      </w:r>
      <w:r w:rsidR="00BE7A91" w:rsidRPr="00734D3B">
        <w:rPr>
          <w:rFonts w:cs="Arial"/>
          <w:szCs w:val="22"/>
        </w:rPr>
        <w:t>). Cada</w:t>
      </w:r>
      <w:r w:rsidRPr="00734D3B">
        <w:rPr>
          <w:rFonts w:cs="Arial"/>
          <w:szCs w:val="22"/>
        </w:rPr>
        <w:t xml:space="preserve"> uno de ellos permite comprobar que se lograron las metas planteadas y sirven como evidencia del avance en la investigación.</w:t>
      </w:r>
    </w:p>
    <w:p w14:paraId="567810D2" w14:textId="476E3672" w:rsidR="00FB4E0D" w:rsidRPr="00734D3B" w:rsidRDefault="0007700E" w:rsidP="0007700E">
      <w:pPr>
        <w:ind w:left="576" w:firstLine="706"/>
        <w:contextualSpacing/>
        <w:rPr>
          <w:rFonts w:cs="Arial"/>
          <w:szCs w:val="22"/>
        </w:rPr>
      </w:pPr>
      <w:r w:rsidRPr="00734D3B">
        <w:rPr>
          <w:rFonts w:cs="Arial"/>
          <w:szCs w:val="22"/>
        </w:rPr>
        <w:t>Entre los principales entregables se incluyen los documentos técnicos, los instrumentos para recolectar información, el análisis de los resultados y la elaboración final de la guía metodológica para la gestión sostenible de contratistas eléctricos en proyectos de centros de datos.</w:t>
      </w:r>
    </w:p>
    <w:p w14:paraId="4C8E8E31" w14:textId="77777777" w:rsidR="007C6CB9" w:rsidRPr="00734D3B" w:rsidRDefault="007C6CB9">
      <w:pPr>
        <w:spacing w:line="240" w:lineRule="auto"/>
        <w:ind w:firstLine="0"/>
        <w:rPr>
          <w:b/>
          <w:szCs w:val="18"/>
        </w:rPr>
      </w:pPr>
      <w:bookmarkStart w:id="258" w:name="_Hlk219284359"/>
      <w:r w:rsidRPr="00734D3B">
        <w:br w:type="page"/>
      </w:r>
    </w:p>
    <w:p w14:paraId="51604D13" w14:textId="16B6FE8D" w:rsidR="00264EEB" w:rsidRPr="00734D3B" w:rsidRDefault="002D1419" w:rsidP="00D82393">
      <w:pPr>
        <w:pStyle w:val="Caption"/>
        <w:rPr>
          <w:color w:val="auto"/>
        </w:rPr>
      </w:pPr>
      <w:bookmarkStart w:id="259" w:name="_Toc228342087"/>
      <w:r w:rsidRPr="00734D3B">
        <w:rPr>
          <w:color w:val="auto"/>
        </w:rPr>
        <w:lastRenderedPageBreak/>
        <w:t xml:space="preserve">Tabla </w:t>
      </w:r>
      <w:r w:rsidR="002B4543" w:rsidRPr="00734D3B">
        <w:rPr>
          <w:color w:val="auto"/>
        </w:rPr>
        <w:fldChar w:fldCharType="begin"/>
      </w:r>
      <w:r w:rsidR="002B4543" w:rsidRPr="00734D3B">
        <w:rPr>
          <w:color w:val="auto"/>
        </w:rPr>
        <w:instrText xml:space="preserve"> SEQ Tabla \* ARABIC </w:instrText>
      </w:r>
      <w:r w:rsidR="002B4543" w:rsidRPr="00734D3B">
        <w:rPr>
          <w:color w:val="auto"/>
        </w:rPr>
        <w:fldChar w:fldCharType="separate"/>
      </w:r>
      <w:r w:rsidR="00374D60" w:rsidRPr="00734D3B">
        <w:rPr>
          <w:noProof/>
          <w:color w:val="auto"/>
        </w:rPr>
        <w:t>7</w:t>
      </w:r>
      <w:r w:rsidR="002B4543" w:rsidRPr="00734D3B">
        <w:rPr>
          <w:noProof/>
          <w:color w:val="auto"/>
        </w:rPr>
        <w:fldChar w:fldCharType="end"/>
      </w:r>
      <w:r w:rsidR="00D82393" w:rsidRPr="00734D3B">
        <w:rPr>
          <w:color w:val="auto"/>
        </w:rPr>
        <w:t xml:space="preserve"> </w:t>
      </w:r>
      <w:r w:rsidR="00D82393" w:rsidRPr="00734D3B">
        <w:rPr>
          <w:color w:val="auto"/>
        </w:rPr>
        <w:br/>
      </w:r>
      <w:r w:rsidR="00264EEB" w:rsidRPr="00734D3B">
        <w:rPr>
          <w:b w:val="0"/>
          <w:bCs/>
          <w:i/>
          <w:iCs/>
          <w:color w:val="auto"/>
        </w:rPr>
        <w:t>Entregables</w:t>
      </w:r>
      <w:bookmarkEnd w:id="259"/>
      <w:r w:rsidR="00264EEB" w:rsidRPr="00734D3B">
        <w:rPr>
          <w:color w:val="auto"/>
        </w:rPr>
        <w:t xml:space="preserve"> </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734D3B" w:rsidRPr="00734D3B" w14:paraId="10A4A7C7" w14:textId="77777777" w:rsidTr="00616C68">
        <w:trPr>
          <w:trHeight w:val="552"/>
          <w:tblHeader/>
        </w:trPr>
        <w:tc>
          <w:tcPr>
            <w:tcW w:w="2522" w:type="pct"/>
            <w:shd w:val="clear" w:color="auto" w:fill="B4C6E7"/>
          </w:tcPr>
          <w:p w14:paraId="68928DE8" w14:textId="77777777" w:rsidR="0065422D" w:rsidRPr="00734D3B" w:rsidRDefault="0065422D" w:rsidP="00616C68">
            <w:pPr>
              <w:spacing w:before="240"/>
              <w:ind w:firstLine="0"/>
              <w:contextualSpacing/>
              <w:jc w:val="center"/>
              <w:rPr>
                <w:rFonts w:cs="Arial"/>
                <w:b/>
                <w:szCs w:val="22"/>
              </w:rPr>
            </w:pPr>
            <w:bookmarkStart w:id="260" w:name="_Hlk220507457"/>
            <w:r w:rsidRPr="00734D3B">
              <w:rPr>
                <w:rFonts w:cs="Arial"/>
                <w:b/>
                <w:szCs w:val="22"/>
              </w:rPr>
              <w:t>Objetivos</w:t>
            </w:r>
          </w:p>
        </w:tc>
        <w:tc>
          <w:tcPr>
            <w:tcW w:w="2478" w:type="pct"/>
            <w:shd w:val="clear" w:color="auto" w:fill="B4C6E7"/>
          </w:tcPr>
          <w:p w14:paraId="595AEF8C" w14:textId="77777777" w:rsidR="0065422D" w:rsidRPr="00734D3B" w:rsidRDefault="0065422D" w:rsidP="00616C68">
            <w:pPr>
              <w:spacing w:before="240"/>
              <w:contextualSpacing/>
              <w:jc w:val="center"/>
              <w:rPr>
                <w:rFonts w:cs="Arial"/>
                <w:b/>
                <w:szCs w:val="22"/>
              </w:rPr>
            </w:pPr>
            <w:r w:rsidRPr="00734D3B">
              <w:rPr>
                <w:rFonts w:cs="Arial"/>
                <w:b/>
                <w:szCs w:val="22"/>
              </w:rPr>
              <w:t>Entregables</w:t>
            </w:r>
          </w:p>
        </w:tc>
      </w:tr>
      <w:tr w:rsidR="00734D3B" w:rsidRPr="00734D3B" w14:paraId="5D7FA83F" w14:textId="77777777" w:rsidTr="00134289">
        <w:trPr>
          <w:trHeight w:val="956"/>
        </w:trPr>
        <w:tc>
          <w:tcPr>
            <w:tcW w:w="2522" w:type="pct"/>
            <w:vAlign w:val="center"/>
          </w:tcPr>
          <w:p w14:paraId="02BEC950" w14:textId="3625DBAA" w:rsidR="00BB7729" w:rsidRPr="00734D3B" w:rsidRDefault="00BB7729" w:rsidP="00BB7729">
            <w:pPr>
              <w:spacing w:line="240" w:lineRule="auto"/>
              <w:ind w:firstLine="0"/>
              <w:contextualSpacing/>
              <w:rPr>
                <w:rFonts w:cs="Arial"/>
                <w:szCs w:val="22"/>
              </w:rPr>
            </w:pPr>
            <w:r w:rsidRPr="00734D3B">
              <w:rPr>
                <w:rFonts w:cs="Arial"/>
                <w:szCs w:val="22"/>
                <w:lang w:eastAsia="en-US"/>
              </w:rPr>
              <w:t>1. Diagnosticar el estado actual de las prácticas de sostenibilidad y gestión de residuos aplicadas por contratistas eléctricos en proyectos de data centers en Arizona, EE. UU., para identificar brechas y oportunidades de mejora.</w:t>
            </w:r>
          </w:p>
        </w:tc>
        <w:tc>
          <w:tcPr>
            <w:tcW w:w="2478" w:type="pct"/>
            <w:tcBorders>
              <w:bottom w:val="single" w:sz="4" w:space="0" w:color="auto"/>
            </w:tcBorders>
          </w:tcPr>
          <w:p w14:paraId="5404E12C" w14:textId="77777777" w:rsidR="00E904FD" w:rsidRPr="00734D3B" w:rsidRDefault="00E904FD" w:rsidP="00E904FD">
            <w:pPr>
              <w:spacing w:line="240" w:lineRule="auto"/>
              <w:ind w:firstLine="0"/>
              <w:contextualSpacing/>
              <w:rPr>
                <w:rFonts w:eastAsia="Calibri" w:cs="Arial"/>
                <w:szCs w:val="22"/>
              </w:rPr>
            </w:pPr>
            <w:r w:rsidRPr="00734D3B">
              <w:rPr>
                <w:rFonts w:eastAsia="Calibri" w:cs="Arial"/>
                <w:szCs w:val="22"/>
              </w:rPr>
              <w:t>Informe diagnóstico de prácticas actuales de sostenibilidad y gestión de residuos, basado en encuestas y entrevistas a contratistas eléctricos.</w:t>
            </w:r>
          </w:p>
          <w:p w14:paraId="03793F57" w14:textId="5A3F2FB9" w:rsidR="00BB7729" w:rsidRPr="00734D3B" w:rsidRDefault="00E904FD" w:rsidP="00E904FD">
            <w:pPr>
              <w:spacing w:line="240" w:lineRule="auto"/>
              <w:ind w:firstLine="0"/>
              <w:contextualSpacing/>
              <w:rPr>
                <w:rFonts w:cs="Arial"/>
                <w:szCs w:val="22"/>
              </w:rPr>
            </w:pPr>
            <w:r w:rsidRPr="00734D3B">
              <w:rPr>
                <w:rFonts w:eastAsia="Calibri" w:cs="Arial"/>
                <w:szCs w:val="22"/>
              </w:rPr>
              <w:t>Matriz de brechas y oportunidades de mejora, que identifica deficiencias y prioriza acciones sostenibles en la gestión de obra eléctrica.</w:t>
            </w:r>
          </w:p>
        </w:tc>
      </w:tr>
      <w:tr w:rsidR="00734D3B" w:rsidRPr="00734D3B" w14:paraId="44FB6ABF" w14:textId="77777777" w:rsidTr="00134289">
        <w:trPr>
          <w:trHeight w:val="664"/>
        </w:trPr>
        <w:tc>
          <w:tcPr>
            <w:tcW w:w="2522" w:type="pct"/>
            <w:vAlign w:val="center"/>
          </w:tcPr>
          <w:p w14:paraId="6568E119" w14:textId="77777777" w:rsidR="00BB7729" w:rsidRPr="00734D3B" w:rsidRDefault="00BB7729" w:rsidP="00BB7729">
            <w:pPr>
              <w:spacing w:line="276" w:lineRule="auto"/>
              <w:ind w:firstLine="0"/>
              <w:rPr>
                <w:rFonts w:cs="Arial"/>
                <w:szCs w:val="22"/>
                <w:lang w:eastAsia="en-US"/>
              </w:rPr>
            </w:pPr>
          </w:p>
          <w:p w14:paraId="44DED472" w14:textId="03905BD8" w:rsidR="00BB7729" w:rsidRPr="00734D3B" w:rsidRDefault="00BB7729" w:rsidP="00BB7729">
            <w:pPr>
              <w:spacing w:line="240" w:lineRule="auto"/>
              <w:ind w:firstLine="0"/>
              <w:contextualSpacing/>
              <w:rPr>
                <w:rFonts w:cs="Arial"/>
                <w:szCs w:val="22"/>
              </w:rPr>
            </w:pPr>
            <w:r w:rsidRPr="00734D3B">
              <w:rPr>
                <w:rFonts w:cs="Arial"/>
                <w:szCs w:val="22"/>
                <w:lang w:eastAsia="en-US"/>
              </w:rPr>
              <w:t>2. Analizar marcos normativos y buenas prácticas internacionales y regionales aplicables a la gestión ambiental en proyectos eléctricos para fundamentar el diseño de la guía metodológica.</w:t>
            </w:r>
          </w:p>
        </w:tc>
        <w:tc>
          <w:tcPr>
            <w:tcW w:w="2478" w:type="pct"/>
            <w:tcBorders>
              <w:top w:val="single" w:sz="4" w:space="0" w:color="auto"/>
              <w:bottom w:val="single" w:sz="4" w:space="0" w:color="auto"/>
            </w:tcBorders>
          </w:tcPr>
          <w:p w14:paraId="2D95915C" w14:textId="77777777" w:rsidR="00B54C8A" w:rsidRPr="00734D3B" w:rsidRDefault="00B54C8A" w:rsidP="00B54C8A">
            <w:pPr>
              <w:spacing w:line="240" w:lineRule="auto"/>
              <w:ind w:firstLine="0"/>
              <w:contextualSpacing/>
              <w:rPr>
                <w:rFonts w:eastAsia="Calibri" w:cs="Arial"/>
                <w:szCs w:val="22"/>
              </w:rPr>
            </w:pPr>
            <w:r w:rsidRPr="00734D3B">
              <w:rPr>
                <w:rFonts w:eastAsia="Calibri" w:cs="Arial"/>
                <w:szCs w:val="22"/>
              </w:rPr>
              <w:t>Revisión documental de normativa y estándares aplicables (ISO, LEED, NECA, GPM Global).</w:t>
            </w:r>
          </w:p>
          <w:p w14:paraId="4E198B22" w14:textId="5DF64BFD" w:rsidR="00BB7729" w:rsidRPr="00734D3B" w:rsidRDefault="00B54C8A" w:rsidP="00B54C8A">
            <w:pPr>
              <w:spacing w:line="240" w:lineRule="auto"/>
              <w:ind w:firstLine="0"/>
              <w:contextualSpacing/>
              <w:rPr>
                <w:rFonts w:cs="Arial"/>
                <w:szCs w:val="22"/>
              </w:rPr>
            </w:pPr>
            <w:r w:rsidRPr="00734D3B">
              <w:rPr>
                <w:rFonts w:eastAsia="Calibri" w:cs="Arial"/>
                <w:szCs w:val="22"/>
              </w:rPr>
              <w:t>Informe comparativo de buenas prácticas internacionales y nacionales en sostenibilidad del sector eléctrico.</w:t>
            </w:r>
          </w:p>
        </w:tc>
      </w:tr>
      <w:tr w:rsidR="00734D3B" w:rsidRPr="00734D3B" w14:paraId="5EA7A59C" w14:textId="77777777" w:rsidTr="00134289">
        <w:trPr>
          <w:trHeight w:val="664"/>
        </w:trPr>
        <w:tc>
          <w:tcPr>
            <w:tcW w:w="2522" w:type="pct"/>
            <w:vAlign w:val="center"/>
          </w:tcPr>
          <w:p w14:paraId="656B9670" w14:textId="55E89372" w:rsidR="00BB7729" w:rsidRPr="00734D3B" w:rsidRDefault="00156BE7" w:rsidP="00BB7729">
            <w:pPr>
              <w:spacing w:line="240" w:lineRule="auto"/>
              <w:ind w:firstLine="0"/>
              <w:contextualSpacing/>
              <w:rPr>
                <w:rFonts w:cs="Arial"/>
                <w:szCs w:val="22"/>
                <w:lang w:eastAsia="en-US"/>
              </w:rPr>
            </w:pPr>
            <w:r w:rsidRPr="00734D3B">
              <w:rPr>
                <w:rFonts w:cs="Arial"/>
                <w:szCs w:val="22"/>
                <w:lang w:eastAsia="en-US"/>
              </w:rPr>
              <w:t>3</w:t>
            </w:r>
            <w:r w:rsidR="00BB7729" w:rsidRPr="00734D3B">
              <w:rPr>
                <w:rFonts w:cs="Arial"/>
                <w:szCs w:val="22"/>
                <w:lang w:eastAsia="en-US"/>
              </w:rPr>
              <w:t>. Diseñar lineamientos y procedimientos prácticos para la reducción, segregación, reutilización y disposición adecuada de residuos eléctricos en proyectos de construcción de data centers.</w:t>
            </w:r>
          </w:p>
          <w:p w14:paraId="5B44B7F1" w14:textId="77777777" w:rsidR="00BB7729" w:rsidRPr="00734D3B" w:rsidRDefault="00BB7729" w:rsidP="00BB7729">
            <w:pPr>
              <w:spacing w:line="240" w:lineRule="auto"/>
              <w:ind w:firstLine="0"/>
              <w:contextualSpacing/>
              <w:rPr>
                <w:rFonts w:eastAsia="Calibri" w:cs="Arial"/>
                <w:szCs w:val="22"/>
                <w:lang w:eastAsia="en-US"/>
              </w:rPr>
            </w:pPr>
          </w:p>
          <w:p w14:paraId="5C22426C" w14:textId="77777777" w:rsidR="00BB7729" w:rsidRPr="00734D3B" w:rsidRDefault="00BB7729" w:rsidP="00BB7729">
            <w:pPr>
              <w:spacing w:line="240" w:lineRule="auto"/>
              <w:ind w:firstLine="0"/>
              <w:contextualSpacing/>
              <w:rPr>
                <w:rFonts w:eastAsia="Calibri" w:cs="Arial"/>
                <w:szCs w:val="22"/>
                <w:lang w:eastAsia="en-US"/>
              </w:rPr>
            </w:pPr>
          </w:p>
          <w:p w14:paraId="68C6D65D" w14:textId="77777777" w:rsidR="00B54C8A" w:rsidRPr="00734D3B" w:rsidRDefault="00B54C8A" w:rsidP="00BB7729">
            <w:pPr>
              <w:spacing w:line="240" w:lineRule="auto"/>
              <w:ind w:firstLine="0"/>
              <w:contextualSpacing/>
              <w:rPr>
                <w:rFonts w:cs="Arial"/>
                <w:szCs w:val="22"/>
                <w:lang w:eastAsia="en-US"/>
              </w:rPr>
            </w:pPr>
          </w:p>
          <w:p w14:paraId="7C3B0197" w14:textId="29EC495A" w:rsidR="00BB7729" w:rsidRPr="00734D3B" w:rsidRDefault="00BB7729" w:rsidP="00BB7729">
            <w:pPr>
              <w:spacing w:line="240" w:lineRule="auto"/>
              <w:ind w:firstLine="0"/>
              <w:contextualSpacing/>
              <w:rPr>
                <w:rFonts w:eastAsia="Calibri" w:cs="Arial"/>
                <w:szCs w:val="22"/>
                <w:lang w:eastAsia="en-US"/>
              </w:rPr>
            </w:pPr>
            <w:r w:rsidRPr="00734D3B">
              <w:rPr>
                <w:rFonts w:cs="Arial"/>
                <w:szCs w:val="22"/>
                <w:lang w:eastAsia="en-US"/>
              </w:rPr>
              <w:t>4. Diseñar y estructurar una guía metodológica que integre el diagnóstico, las buenas prácticas, los lineamientos operativos y un sistema de indicadores de desempeño ambiental.</w:t>
            </w:r>
          </w:p>
        </w:tc>
        <w:tc>
          <w:tcPr>
            <w:tcW w:w="2478" w:type="pct"/>
            <w:tcBorders>
              <w:top w:val="single" w:sz="4" w:space="0" w:color="auto"/>
            </w:tcBorders>
          </w:tcPr>
          <w:p w14:paraId="2BF59DF3" w14:textId="77777777" w:rsidR="00B54C8A" w:rsidRPr="00734D3B" w:rsidRDefault="00B54C8A" w:rsidP="00B54C8A">
            <w:pPr>
              <w:spacing w:line="240" w:lineRule="auto"/>
              <w:ind w:firstLine="0"/>
              <w:contextualSpacing/>
              <w:rPr>
                <w:rFonts w:eastAsia="Calibri" w:cs="Arial"/>
                <w:szCs w:val="22"/>
              </w:rPr>
            </w:pPr>
            <w:r w:rsidRPr="00734D3B">
              <w:rPr>
                <w:rFonts w:eastAsia="Calibri" w:cs="Arial"/>
                <w:szCs w:val="22"/>
              </w:rPr>
              <w:t>Manual de lineamientos para la gestión sostenible de residuos eléctricos, con políticas y objetivos ambientales.</w:t>
            </w:r>
          </w:p>
          <w:p w14:paraId="1CC29072" w14:textId="77777777" w:rsidR="00BB7729" w:rsidRPr="00734D3B" w:rsidRDefault="00B54C8A" w:rsidP="00B54C8A">
            <w:pPr>
              <w:spacing w:line="240" w:lineRule="auto"/>
              <w:ind w:firstLine="0"/>
              <w:contextualSpacing/>
              <w:rPr>
                <w:rFonts w:eastAsia="Calibri" w:cs="Arial"/>
                <w:szCs w:val="22"/>
              </w:rPr>
            </w:pPr>
            <w:r w:rsidRPr="00734D3B">
              <w:rPr>
                <w:rFonts w:eastAsia="Calibri" w:cs="Arial"/>
                <w:szCs w:val="22"/>
              </w:rPr>
              <w:t>Procedimientos operativos estandarizados (POE) que describen la clasificación, almacenamiento temporal, transporte y disposición final de residuos eléctricos</w:t>
            </w:r>
          </w:p>
          <w:p w14:paraId="090BBCC8" w14:textId="77777777" w:rsidR="00B54C8A" w:rsidRPr="00734D3B" w:rsidRDefault="00B54C8A" w:rsidP="00B54C8A">
            <w:pPr>
              <w:spacing w:line="240" w:lineRule="auto"/>
              <w:ind w:firstLine="0"/>
              <w:contextualSpacing/>
              <w:rPr>
                <w:rFonts w:eastAsia="Calibri" w:cs="Arial"/>
                <w:szCs w:val="22"/>
              </w:rPr>
            </w:pPr>
          </w:p>
          <w:p w14:paraId="56598AD1" w14:textId="77777777" w:rsidR="00B54C8A" w:rsidRPr="00734D3B" w:rsidRDefault="00B54C8A" w:rsidP="00B54C8A">
            <w:pPr>
              <w:spacing w:line="240" w:lineRule="auto"/>
              <w:ind w:firstLine="0"/>
              <w:contextualSpacing/>
              <w:rPr>
                <w:rFonts w:eastAsia="Calibri" w:cs="Arial"/>
                <w:szCs w:val="22"/>
              </w:rPr>
            </w:pPr>
          </w:p>
          <w:p w14:paraId="55AA3B22" w14:textId="77777777" w:rsidR="00B54C8A" w:rsidRPr="00734D3B" w:rsidRDefault="00B54C8A" w:rsidP="00B54C8A">
            <w:pPr>
              <w:spacing w:line="240" w:lineRule="auto"/>
              <w:ind w:firstLine="0"/>
              <w:contextualSpacing/>
              <w:rPr>
                <w:rFonts w:eastAsia="Calibri" w:cs="Arial"/>
                <w:szCs w:val="22"/>
              </w:rPr>
            </w:pPr>
          </w:p>
          <w:p w14:paraId="7906F299" w14:textId="23783587" w:rsidR="00B54C8A" w:rsidRPr="00734D3B" w:rsidRDefault="00B54C8A" w:rsidP="00B54C8A">
            <w:pPr>
              <w:spacing w:line="240" w:lineRule="auto"/>
              <w:ind w:firstLine="0"/>
              <w:contextualSpacing/>
              <w:rPr>
                <w:rFonts w:eastAsia="Calibri" w:cs="Arial"/>
                <w:szCs w:val="22"/>
              </w:rPr>
            </w:pPr>
            <w:r w:rsidRPr="00734D3B">
              <w:rPr>
                <w:rFonts w:eastAsia="Calibri" w:cs="Arial"/>
                <w:szCs w:val="22"/>
              </w:rPr>
              <w:t>Sistema de indicadores de desempeño ambiental (KPI) para contratistas eléctricos, que evalúa el grado de sostenibilidad alcanzado en los proyectos.</w:t>
            </w:r>
          </w:p>
          <w:p w14:paraId="67765679" w14:textId="1A95C667" w:rsidR="00B54C8A" w:rsidRPr="00734D3B" w:rsidRDefault="00B54C8A" w:rsidP="00B54C8A">
            <w:pPr>
              <w:spacing w:line="240" w:lineRule="auto"/>
              <w:ind w:firstLine="0"/>
              <w:contextualSpacing/>
              <w:rPr>
                <w:rFonts w:eastAsia="Calibri" w:cs="Arial"/>
                <w:szCs w:val="22"/>
              </w:rPr>
            </w:pPr>
            <w:r w:rsidRPr="00734D3B">
              <w:rPr>
                <w:rFonts w:eastAsia="Calibri" w:cs="Arial"/>
                <w:szCs w:val="22"/>
              </w:rPr>
              <w:t xml:space="preserve">Guía metodológica de gestión sostenible para contratistas eléctricos en proyectos de data centers, integrando diagnóstico, buenas prácticas, lineamientos y </w:t>
            </w:r>
            <w:proofErr w:type="spellStart"/>
            <w:r w:rsidRPr="00734D3B">
              <w:rPr>
                <w:rFonts w:eastAsia="Calibri" w:cs="Arial"/>
                <w:szCs w:val="22"/>
              </w:rPr>
              <w:t>KPIs</w:t>
            </w:r>
            <w:proofErr w:type="spellEnd"/>
            <w:r w:rsidRPr="00734D3B">
              <w:rPr>
                <w:rFonts w:eastAsia="Calibri" w:cs="Arial"/>
                <w:szCs w:val="22"/>
              </w:rPr>
              <w:t>.</w:t>
            </w:r>
          </w:p>
          <w:p w14:paraId="571DDED8" w14:textId="77777777" w:rsidR="00B54C8A" w:rsidRPr="00734D3B" w:rsidRDefault="00B54C8A" w:rsidP="00B54C8A">
            <w:pPr>
              <w:spacing w:line="240" w:lineRule="auto"/>
              <w:ind w:firstLine="0"/>
              <w:contextualSpacing/>
              <w:rPr>
                <w:rFonts w:eastAsia="Calibri" w:cs="Arial"/>
                <w:szCs w:val="22"/>
              </w:rPr>
            </w:pPr>
          </w:p>
          <w:p w14:paraId="276812D8" w14:textId="08B93418" w:rsidR="00B54C8A" w:rsidRPr="00734D3B" w:rsidRDefault="00B54C8A" w:rsidP="00B54C8A">
            <w:pPr>
              <w:spacing w:line="240" w:lineRule="auto"/>
              <w:ind w:firstLine="0"/>
              <w:contextualSpacing/>
              <w:rPr>
                <w:rFonts w:cs="Arial"/>
              </w:rPr>
            </w:pPr>
          </w:p>
        </w:tc>
      </w:tr>
    </w:tbl>
    <w:bookmarkEnd w:id="260"/>
    <w:p w14:paraId="1879A58D" w14:textId="3EBE6323" w:rsidR="00264EEB" w:rsidRPr="00734D3B" w:rsidRDefault="00264EEB" w:rsidP="00D7259E">
      <w:pPr>
        <w:spacing w:line="240" w:lineRule="auto"/>
        <w:ind w:firstLine="0"/>
        <w:contextualSpacing/>
        <w:rPr>
          <w:rFonts w:cs="Arial"/>
          <w:szCs w:val="22"/>
        </w:rPr>
      </w:pPr>
      <w:r w:rsidRPr="00734D3B">
        <w:rPr>
          <w:rFonts w:cs="Arial"/>
          <w:i/>
          <w:iCs/>
          <w:szCs w:val="22"/>
        </w:rPr>
        <w:t>Nota</w:t>
      </w:r>
      <w:r w:rsidR="00C20695" w:rsidRPr="00734D3B">
        <w:rPr>
          <w:rFonts w:cs="Arial"/>
          <w:szCs w:val="22"/>
        </w:rPr>
        <w:t>.</w:t>
      </w:r>
      <w:r w:rsidRPr="00734D3B">
        <w:rPr>
          <w:rFonts w:cs="Arial"/>
          <w:szCs w:val="22"/>
        </w:rPr>
        <w:t xml:space="preserve"> La Tabla </w:t>
      </w:r>
      <w:r w:rsidR="002B4543" w:rsidRPr="00734D3B">
        <w:rPr>
          <w:rFonts w:cs="Arial"/>
          <w:szCs w:val="22"/>
        </w:rPr>
        <w:t>7</w:t>
      </w:r>
      <w:r w:rsidRPr="00734D3B">
        <w:rPr>
          <w:rFonts w:cs="Arial"/>
          <w:szCs w:val="22"/>
        </w:rPr>
        <w:t xml:space="preserve"> muestra los entregables del proyecto, en correspondencia con cada objetivo. Autoría propia.</w:t>
      </w:r>
    </w:p>
    <w:p w14:paraId="6FC3B016" w14:textId="77777777" w:rsidR="00285B3C" w:rsidRPr="00734D3B" w:rsidRDefault="00264EEB" w:rsidP="001D692F">
      <w:pPr>
        <w:pStyle w:val="Heading1"/>
        <w:numPr>
          <w:ilvl w:val="0"/>
          <w:numId w:val="44"/>
        </w:numPr>
      </w:pPr>
      <w:bookmarkStart w:id="261" w:name="_Toc354770529"/>
      <w:r w:rsidRPr="00734D3B">
        <w:br w:type="page"/>
      </w:r>
      <w:bookmarkStart w:id="262" w:name="_Toc211465608"/>
      <w:bookmarkStart w:id="263" w:name="_Toc227936415"/>
      <w:bookmarkEnd w:id="258"/>
      <w:bookmarkEnd w:id="261"/>
      <w:r w:rsidR="00285B3C" w:rsidRPr="00734D3B">
        <w:lastRenderedPageBreak/>
        <w:t>Desarrollo</w:t>
      </w:r>
      <w:bookmarkEnd w:id="262"/>
      <w:bookmarkEnd w:id="263"/>
    </w:p>
    <w:p w14:paraId="16398A35" w14:textId="283B3AF8" w:rsidR="00755E64" w:rsidRPr="00734D3B" w:rsidRDefault="00AD532B" w:rsidP="005F346B">
      <w:r w:rsidRPr="00734D3B">
        <w:t xml:space="preserve">El presente capitulo expone de manera integral el desarrollo de la </w:t>
      </w:r>
      <w:r w:rsidR="00BA598E" w:rsidRPr="00734D3B">
        <w:t>investigación</w:t>
      </w:r>
      <w:r w:rsidRPr="00734D3B">
        <w:t xml:space="preserve">, articulando el análisis de resultados, la revisión normativa y la propuesta metodológica orientada a la </w:t>
      </w:r>
      <w:r w:rsidR="00BA598E" w:rsidRPr="00734D3B">
        <w:t>gestión</w:t>
      </w:r>
      <w:r w:rsidRPr="00734D3B">
        <w:t xml:space="preserve"> sostenible en proyectos eléctricos. En este apartado se abordan los hallazgos obtenidos a partir de la aplicación de instrumentos de recolección de datos, </w:t>
      </w:r>
      <w:r w:rsidR="00971B2F" w:rsidRPr="00734D3B">
        <w:t>así</w:t>
      </w:r>
      <w:r w:rsidRPr="00734D3B">
        <w:t xml:space="preserve"> como su interpretación en función de los objetivos planteados.</w:t>
      </w:r>
    </w:p>
    <w:p w14:paraId="4147BAA8" w14:textId="0C6CE27E" w:rsidR="00755E64" w:rsidRPr="00734D3B" w:rsidRDefault="00AD532B" w:rsidP="005F346B">
      <w:r w:rsidRPr="00734D3B">
        <w:t>Asimismo, se realiza un análisis comparativo de marcos normativos y buenas pr</w:t>
      </w:r>
      <w:r w:rsidR="00971B2F" w:rsidRPr="00734D3B">
        <w:t>á</w:t>
      </w:r>
      <w:r w:rsidRPr="00734D3B">
        <w:t>cticas internacionales y regionales</w:t>
      </w:r>
      <w:r w:rsidR="00D51027" w:rsidRPr="00734D3B">
        <w:t xml:space="preserve">, con el fin de fundamentar técnicamente la propuesta de una guía metodológica que contribuya a mejorar la </w:t>
      </w:r>
      <w:r w:rsidR="00BA598E" w:rsidRPr="00734D3B">
        <w:t>gestión</w:t>
      </w:r>
      <w:r w:rsidR="00D51027" w:rsidRPr="00734D3B">
        <w:t xml:space="preserve"> ambiental, especialmente en el manejo de residuos eléctricos. De igual forma, se incorporan herramientas de análisis como el modelo P5</w:t>
      </w:r>
      <w:r w:rsidR="00971B2F" w:rsidRPr="00734D3B">
        <w:t xml:space="preserve"> </w:t>
      </w:r>
      <w:r w:rsidR="00BA598E" w:rsidRPr="00734D3B">
        <w:t>y se plantea un sistema de gestión de calidad por fases, orientado a la mejora continua.</w:t>
      </w:r>
    </w:p>
    <w:p w14:paraId="75AE4DF9" w14:textId="1868B5FB" w:rsidR="00BA598E" w:rsidRPr="00734D3B" w:rsidRDefault="00BA598E" w:rsidP="005F346B">
      <w:r w:rsidRPr="00734D3B">
        <w:t xml:space="preserve">Finalmente, el </w:t>
      </w:r>
      <w:r w:rsidR="00755E64" w:rsidRPr="00734D3B">
        <w:t>capítulo</w:t>
      </w:r>
      <w:r w:rsidRPr="00734D3B">
        <w:t xml:space="preserve"> integra el diseño de lineamientos operativos, indicadores de desempeño ambiental (KPI) y una guía metodológica aplicable a contratistas eléctricos en proyectos de centros de datos, con el propósito de fortalecer la sostenibilidad, optimizar el uso de recursos y promover el cumplimiento de la normativa ambiental vigente. </w:t>
      </w:r>
    </w:p>
    <w:p w14:paraId="41473800" w14:textId="38693FA8" w:rsidR="00285B3C" w:rsidRPr="00734D3B" w:rsidRDefault="00F90936" w:rsidP="005E549C">
      <w:pPr>
        <w:pStyle w:val="Heading2"/>
        <w:numPr>
          <w:ilvl w:val="1"/>
          <w:numId w:val="60"/>
        </w:numPr>
      </w:pPr>
      <w:bookmarkStart w:id="264" w:name="_Toc227936416"/>
      <w:bookmarkStart w:id="265" w:name="_Toc305353877"/>
      <w:r w:rsidRPr="00734D3B">
        <w:t>Diagn</w:t>
      </w:r>
      <w:r w:rsidR="00971B2F" w:rsidRPr="00734D3B">
        <w:t>ó</w:t>
      </w:r>
      <w:r w:rsidRPr="00734D3B">
        <w:t>stico del estado actual de la sostenibilidad y gestión de residuos en proyectos eléctricos de centros de datos en Arizona, Estados Unidos</w:t>
      </w:r>
      <w:bookmarkEnd w:id="264"/>
    </w:p>
    <w:p w14:paraId="742145A2" w14:textId="79DA2741" w:rsidR="00681601" w:rsidRPr="00734D3B" w:rsidRDefault="00681601" w:rsidP="00DA25B7">
      <w:r w:rsidRPr="00734D3B">
        <w:t xml:space="preserve">El presente </w:t>
      </w:r>
      <w:r w:rsidR="00994587" w:rsidRPr="00734D3B">
        <w:t xml:space="preserve">apartado </w:t>
      </w:r>
      <w:r w:rsidR="00F12CB8" w:rsidRPr="00734D3B">
        <w:t xml:space="preserve">expone el análisis descriptivo de los resultados obtenidos mediante la aplicación del instrumento de </w:t>
      </w:r>
      <w:r w:rsidR="009D1B84" w:rsidRPr="00734D3B">
        <w:t xml:space="preserve">recolección de datos dirigido a los actores vinculados con la ejecución de proyectos </w:t>
      </w:r>
      <w:r w:rsidR="00DC4A1A" w:rsidRPr="00734D3B">
        <w:t>eléctricos</w:t>
      </w:r>
      <w:r w:rsidR="00677414" w:rsidRPr="00734D3B">
        <w:t xml:space="preserve"> (ver en </w:t>
      </w:r>
      <w:r w:rsidR="00385032" w:rsidRPr="00734D3B">
        <w:t>A</w:t>
      </w:r>
      <w:r w:rsidR="00677414" w:rsidRPr="00734D3B">
        <w:t>nexo</w:t>
      </w:r>
      <w:r w:rsidR="005820D2" w:rsidRPr="00734D3B">
        <w:t xml:space="preserve"> 5</w:t>
      </w:r>
      <w:r w:rsidR="00677414" w:rsidRPr="00734D3B">
        <w:t>)</w:t>
      </w:r>
      <w:r w:rsidR="00DC4A1A" w:rsidRPr="00734D3B">
        <w:t xml:space="preserve">. El propósito principal es identificar el nivel de integración de la sostenibilidad y particularmente, de la </w:t>
      </w:r>
      <w:r w:rsidR="00563A70" w:rsidRPr="00734D3B">
        <w:t>gestión</w:t>
      </w:r>
      <w:r w:rsidR="00DC4A1A" w:rsidRPr="00734D3B">
        <w:t xml:space="preserve"> de </w:t>
      </w:r>
      <w:r w:rsidR="00B12A49" w:rsidRPr="00734D3B">
        <w:t>residuos dentro de las practicas organizacionales, operativas y administrativas desarrolladas en este tipo de proyectos.</w:t>
      </w:r>
    </w:p>
    <w:p w14:paraId="77EE7163" w14:textId="3B45E468" w:rsidR="00B12A49" w:rsidRPr="00734D3B" w:rsidRDefault="004C1BBC" w:rsidP="00DA25B7">
      <w:r w:rsidRPr="00734D3B">
        <w:t xml:space="preserve">Para ello, inicialmente se caracteriza a la muestra participante según su tipo de empresa, rol dentro del proyecto y años de experiencia, con el fin de contextualizar la </w:t>
      </w:r>
      <w:r w:rsidRPr="00734D3B">
        <w:lastRenderedPageBreak/>
        <w:t xml:space="preserve">procedencia y el criterio técnico de las opiniones recopiladas. Esta caracterización permite comprender el grado de especialización del sector analizado y valorar la solidez de la información obtenida, dado que la mayoría de los participantes posee amplia trayectoria en el área. </w:t>
      </w:r>
    </w:p>
    <w:p w14:paraId="68F0E16B" w14:textId="263BF637" w:rsidR="004C1BBC" w:rsidRPr="00734D3B" w:rsidRDefault="004C1BBC" w:rsidP="00DA25B7">
      <w:r w:rsidRPr="00734D3B">
        <w:t xml:space="preserve">Posteriormente, se analizan las percepciones relacionadas con la existencia de políticas, la planificación de metas, las prácticas de separación de residuos, la comunicación interna sobre sostenibilidad y los mecanismos de control aplicados en obra. Asimismo, se examinan aspectos organizacionales como la </w:t>
      </w:r>
      <w:r w:rsidR="00563A70" w:rsidRPr="00734D3B">
        <w:t>capacitación del personal, el conocimiento de la normativa ambiental, la supervisión, la disponibilidad de recursos y el rol de la gerencia, propietarios y subcontratistas en la implementación de prácticas sostenibles.</w:t>
      </w:r>
    </w:p>
    <w:p w14:paraId="5DDCC900" w14:textId="624600C2" w:rsidR="00563A70" w:rsidRPr="00734D3B" w:rsidRDefault="00563A70" w:rsidP="00DA25B7">
      <w:r w:rsidRPr="00734D3B">
        <w:t>De igual forma, se valoran factores que pueden afectar la aplicación de la sostenibilidad, tales como la presión de tiempo, la percepción del incremento de costos y la ausencia de seguimiento sistemática del desempeño ambiental. Finalmente, se incluye la opinión de los participantes respecto a la necesidad de contar con una guía formal que oriente el manejo de residuos en los proyectos eléctricos.</w:t>
      </w:r>
    </w:p>
    <w:p w14:paraId="09EB7E41" w14:textId="77777777" w:rsidR="004C1BBC" w:rsidRPr="00734D3B" w:rsidRDefault="004C1BBC" w:rsidP="00681601"/>
    <w:p w14:paraId="29F95F0F" w14:textId="77777777" w:rsidR="00DA25B7" w:rsidRPr="00734D3B" w:rsidRDefault="00DA25B7">
      <w:pPr>
        <w:spacing w:line="240" w:lineRule="auto"/>
        <w:ind w:firstLine="0"/>
        <w:rPr>
          <w:b/>
          <w:szCs w:val="18"/>
        </w:rPr>
      </w:pPr>
      <w:bookmarkStart w:id="266" w:name="_Toc211465611"/>
      <w:bookmarkEnd w:id="265"/>
      <w:r w:rsidRPr="00734D3B">
        <w:rPr>
          <w:b/>
          <w:szCs w:val="18"/>
        </w:rPr>
        <w:br w:type="page"/>
      </w:r>
    </w:p>
    <w:p w14:paraId="6E63571C" w14:textId="0E2B30BC" w:rsidR="00285B3C" w:rsidRPr="00734D3B" w:rsidRDefault="00285B3C" w:rsidP="00285B3C">
      <w:pPr>
        <w:spacing w:after="200"/>
        <w:ind w:firstLine="0"/>
        <w:rPr>
          <w:bCs/>
          <w:i/>
          <w:iCs/>
          <w:szCs w:val="18"/>
        </w:rPr>
      </w:pPr>
      <w:bookmarkStart w:id="267" w:name="_Toc227937859"/>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5</w:t>
      </w:r>
      <w:r w:rsidRPr="00734D3B">
        <w:rPr>
          <w:b/>
          <w:noProof/>
          <w:szCs w:val="18"/>
        </w:rPr>
        <w:fldChar w:fldCharType="end"/>
      </w:r>
      <w:r w:rsidRPr="00734D3B">
        <w:rPr>
          <w:b/>
          <w:szCs w:val="18"/>
        </w:rPr>
        <w:t xml:space="preserve"> </w:t>
      </w:r>
      <w:r w:rsidRPr="00734D3B">
        <w:rPr>
          <w:b/>
          <w:szCs w:val="18"/>
        </w:rPr>
        <w:br/>
      </w:r>
      <w:r w:rsidRPr="00734D3B">
        <w:rPr>
          <w:bCs/>
          <w:i/>
          <w:iCs/>
          <w:szCs w:val="18"/>
        </w:rPr>
        <w:t>Tipo de empresa</w:t>
      </w:r>
      <w:bookmarkEnd w:id="267"/>
    </w:p>
    <w:p w14:paraId="7411C521" w14:textId="77777777" w:rsidR="00285B3C" w:rsidRPr="00734D3B" w:rsidRDefault="00285B3C" w:rsidP="00285B3C">
      <w:r w:rsidRPr="00734D3B">
        <w:rPr>
          <w:noProof/>
        </w:rPr>
        <w:drawing>
          <wp:inline distT="0" distB="0" distL="0" distR="0" wp14:anchorId="0C91E88F" wp14:editId="54937869">
            <wp:extent cx="4572000" cy="2743200"/>
            <wp:effectExtent l="0" t="0" r="0" b="0"/>
            <wp:docPr id="1407394094" name="Gráfico 1">
              <a:extLst xmlns:a="http://schemas.openxmlformats.org/drawingml/2006/main">
                <a:ext uri="{FF2B5EF4-FFF2-40B4-BE49-F238E27FC236}">
                  <a16:creationId xmlns:a16="http://schemas.microsoft.com/office/drawing/2014/main" id="{31D8EF4E-00D4-D6CD-889A-788BEF14AB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C47BD8"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54D00D38" w14:textId="77777777" w:rsidR="00285B3C" w:rsidRPr="00734D3B" w:rsidRDefault="00285B3C" w:rsidP="00285B3C">
      <w:pPr>
        <w:spacing w:after="200"/>
        <w:ind w:firstLine="708"/>
        <w:rPr>
          <w:bCs/>
          <w:szCs w:val="18"/>
        </w:rPr>
      </w:pPr>
      <w:r w:rsidRPr="00734D3B">
        <w:rPr>
          <w:bCs/>
          <w:szCs w:val="18"/>
        </w:rPr>
        <w:t>La mayoría de los participantes corresponde a contratistas eléctricos con un 58%, lo que evidencia que el estudio esta principalmente influenciado por empresas con alta especialización técnica. Los dueños o clientes representan el 26% aportando la perspectiva del usuario final. En menor proporción se encuentran las categorías otro (11%) y contratista general (5%), lo que indica una participación limitada de empresas no especializadas. En general, la muestra se concentra en un sector técnico especifico, lo cual es pertinente para el análisis, aunque limita la diversidad de enfoques.</w:t>
      </w:r>
    </w:p>
    <w:p w14:paraId="5F83A9EB" w14:textId="77777777" w:rsidR="00722B7C" w:rsidRPr="00734D3B" w:rsidRDefault="00722B7C">
      <w:pPr>
        <w:spacing w:line="240" w:lineRule="auto"/>
        <w:ind w:firstLine="0"/>
        <w:rPr>
          <w:b/>
          <w:szCs w:val="18"/>
        </w:rPr>
      </w:pPr>
      <w:r w:rsidRPr="00734D3B">
        <w:rPr>
          <w:b/>
          <w:szCs w:val="18"/>
        </w:rPr>
        <w:br w:type="page"/>
      </w:r>
    </w:p>
    <w:p w14:paraId="4C9811EF" w14:textId="665B817E" w:rsidR="00285B3C" w:rsidRPr="00734D3B" w:rsidRDefault="00285B3C" w:rsidP="00285B3C">
      <w:pPr>
        <w:spacing w:after="200"/>
        <w:ind w:firstLine="0"/>
        <w:rPr>
          <w:bCs/>
          <w:i/>
          <w:iCs/>
          <w:szCs w:val="18"/>
        </w:rPr>
      </w:pPr>
      <w:bookmarkStart w:id="268" w:name="_Toc227937860"/>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6</w:t>
      </w:r>
      <w:r w:rsidRPr="00734D3B">
        <w:rPr>
          <w:b/>
          <w:noProof/>
          <w:szCs w:val="18"/>
        </w:rPr>
        <w:fldChar w:fldCharType="end"/>
      </w:r>
      <w:r w:rsidRPr="00734D3B">
        <w:rPr>
          <w:b/>
          <w:szCs w:val="18"/>
        </w:rPr>
        <w:t xml:space="preserve"> </w:t>
      </w:r>
      <w:r w:rsidRPr="00734D3B">
        <w:rPr>
          <w:b/>
          <w:szCs w:val="18"/>
        </w:rPr>
        <w:br/>
      </w:r>
      <w:r w:rsidRPr="00734D3B">
        <w:rPr>
          <w:bCs/>
          <w:i/>
          <w:iCs/>
          <w:szCs w:val="18"/>
        </w:rPr>
        <w:t>Rol del proyecto</w:t>
      </w:r>
      <w:bookmarkEnd w:id="268"/>
    </w:p>
    <w:p w14:paraId="00F4C995" w14:textId="77777777" w:rsidR="00285B3C" w:rsidRPr="00734D3B" w:rsidRDefault="00285B3C" w:rsidP="00285B3C"/>
    <w:p w14:paraId="49E5FEBE" w14:textId="77777777" w:rsidR="00285B3C" w:rsidRPr="00734D3B" w:rsidRDefault="00285B3C" w:rsidP="00285B3C">
      <w:pPr>
        <w:keepNext/>
        <w:ind w:left="936" w:firstLine="0"/>
        <w:contextualSpacing/>
        <w:outlineLvl w:val="0"/>
        <w:rPr>
          <w:b/>
          <w:bCs/>
        </w:rPr>
      </w:pPr>
      <w:bookmarkStart w:id="269" w:name="_Toc224894431"/>
      <w:bookmarkStart w:id="270" w:name="_Toc227075492"/>
      <w:bookmarkStart w:id="271" w:name="_Toc227845366"/>
      <w:bookmarkStart w:id="272" w:name="_Toc227936417"/>
      <w:r w:rsidRPr="00734D3B">
        <w:rPr>
          <w:b/>
          <w:bCs/>
          <w:noProof/>
        </w:rPr>
        <w:drawing>
          <wp:inline distT="0" distB="0" distL="0" distR="0" wp14:anchorId="387F3268" wp14:editId="02BD8698">
            <wp:extent cx="4572000" cy="2743200"/>
            <wp:effectExtent l="0" t="0" r="0" b="0"/>
            <wp:docPr id="1693491014" name="Gráfico 1">
              <a:extLst xmlns:a="http://schemas.openxmlformats.org/drawingml/2006/main">
                <a:ext uri="{FF2B5EF4-FFF2-40B4-BE49-F238E27FC236}">
                  <a16:creationId xmlns:a16="http://schemas.microsoft.com/office/drawing/2014/main" id="{83B5EDAC-4062-0CAF-BC5D-738848D161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269"/>
      <w:bookmarkEnd w:id="270"/>
      <w:bookmarkEnd w:id="271"/>
      <w:bookmarkEnd w:id="272"/>
    </w:p>
    <w:p w14:paraId="176A9FE9"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0856743" w14:textId="77777777" w:rsidR="00285B3C" w:rsidRPr="00734D3B" w:rsidRDefault="00285B3C" w:rsidP="00285B3C">
      <w:pPr>
        <w:spacing w:after="200"/>
        <w:ind w:firstLine="708"/>
        <w:rPr>
          <w:bCs/>
          <w:szCs w:val="18"/>
        </w:rPr>
      </w:pPr>
      <w:r w:rsidRPr="00734D3B">
        <w:rPr>
          <w:bCs/>
          <w:szCs w:val="18"/>
        </w:rPr>
        <w:t xml:space="preserve">De acuerdo con el grafico anterior, predominan los participantes con funciones de administración (53%), lo que sugiere que el estudio se encuentra mayormente orientado a la toma de decisiones y gestión del proyecto. Los superintendentes o supervisores y los técnicos de campo, con un 16% cada uno, aportan una visión operativa del desarrollo de las actividades. Por su parte, las categorías otro (11%) e ingeniero (5%) presentan una participación reducida, evidenciando una menor representación de perfiles técnicos especializados dentro de la muestra. </w:t>
      </w:r>
    </w:p>
    <w:p w14:paraId="48D76954" w14:textId="77777777" w:rsidR="00285B3C" w:rsidRPr="00734D3B" w:rsidRDefault="00285B3C" w:rsidP="00285B3C">
      <w:pPr>
        <w:spacing w:after="200"/>
        <w:ind w:firstLine="0"/>
        <w:rPr>
          <w:b/>
          <w:szCs w:val="18"/>
        </w:rPr>
      </w:pPr>
    </w:p>
    <w:p w14:paraId="0AF09C40" w14:textId="77777777" w:rsidR="00285B3C" w:rsidRPr="00734D3B" w:rsidRDefault="00285B3C" w:rsidP="00285B3C">
      <w:pPr>
        <w:spacing w:line="240" w:lineRule="auto"/>
        <w:ind w:firstLine="0"/>
        <w:rPr>
          <w:b/>
          <w:szCs w:val="18"/>
        </w:rPr>
      </w:pPr>
      <w:r w:rsidRPr="00734D3B">
        <w:rPr>
          <w:b/>
          <w:szCs w:val="18"/>
        </w:rPr>
        <w:br w:type="page"/>
      </w:r>
    </w:p>
    <w:p w14:paraId="4BA709D5" w14:textId="77777777" w:rsidR="00285B3C" w:rsidRPr="00734D3B" w:rsidRDefault="00285B3C" w:rsidP="00285B3C">
      <w:pPr>
        <w:spacing w:after="200"/>
        <w:ind w:firstLine="0"/>
        <w:rPr>
          <w:bCs/>
          <w:i/>
          <w:iCs/>
          <w:szCs w:val="18"/>
        </w:rPr>
      </w:pPr>
      <w:bookmarkStart w:id="273" w:name="_Toc227937861"/>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7</w:t>
      </w:r>
      <w:r w:rsidRPr="00734D3B">
        <w:rPr>
          <w:b/>
          <w:noProof/>
          <w:szCs w:val="18"/>
        </w:rPr>
        <w:fldChar w:fldCharType="end"/>
      </w:r>
      <w:r w:rsidRPr="00734D3B">
        <w:rPr>
          <w:b/>
          <w:szCs w:val="18"/>
        </w:rPr>
        <w:t xml:space="preserve"> </w:t>
      </w:r>
      <w:r w:rsidRPr="00734D3B">
        <w:rPr>
          <w:b/>
          <w:szCs w:val="18"/>
        </w:rPr>
        <w:br/>
      </w:r>
      <w:r w:rsidRPr="00734D3B">
        <w:rPr>
          <w:bCs/>
          <w:i/>
          <w:iCs/>
          <w:szCs w:val="18"/>
        </w:rPr>
        <w:t>Años de experiencia</w:t>
      </w:r>
      <w:bookmarkEnd w:id="273"/>
    </w:p>
    <w:p w14:paraId="62310E43" w14:textId="77777777" w:rsidR="00285B3C" w:rsidRPr="00734D3B" w:rsidRDefault="00285B3C" w:rsidP="00E74CC2">
      <w:pPr>
        <w:spacing w:after="200"/>
        <w:ind w:firstLine="0"/>
        <w:jc w:val="center"/>
        <w:rPr>
          <w:bCs/>
          <w:i/>
          <w:iCs/>
          <w:szCs w:val="18"/>
        </w:rPr>
      </w:pPr>
      <w:r w:rsidRPr="00734D3B">
        <w:rPr>
          <w:noProof/>
        </w:rPr>
        <w:drawing>
          <wp:inline distT="0" distB="0" distL="0" distR="0" wp14:anchorId="3BE11B48" wp14:editId="45E07D7D">
            <wp:extent cx="4572000" cy="2743200"/>
            <wp:effectExtent l="0" t="0" r="0" b="0"/>
            <wp:docPr id="1789028417" name="Gráfico 1">
              <a:extLst xmlns:a="http://schemas.openxmlformats.org/drawingml/2006/main">
                <a:ext uri="{FF2B5EF4-FFF2-40B4-BE49-F238E27FC236}">
                  <a16:creationId xmlns:a16="http://schemas.microsoft.com/office/drawing/2014/main" id="{29A99461-F104-E565-E97F-9CEF50E96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FD1109"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1D8340F1" w14:textId="3B92B328" w:rsidR="00285B3C" w:rsidRPr="00734D3B" w:rsidRDefault="00285B3C" w:rsidP="00285B3C">
      <w:pPr>
        <w:spacing w:after="200"/>
        <w:ind w:firstLine="708"/>
        <w:rPr>
          <w:bCs/>
          <w:szCs w:val="18"/>
        </w:rPr>
      </w:pPr>
      <w:r w:rsidRPr="00734D3B">
        <w:rPr>
          <w:bCs/>
          <w:szCs w:val="18"/>
        </w:rPr>
        <w:t xml:space="preserve">La distribución de los años de experiencia muestra que la mayoría de los participantes cuenta con </w:t>
      </w:r>
      <w:r w:rsidR="00F112F8" w:rsidRPr="00734D3B">
        <w:rPr>
          <w:bCs/>
          <w:szCs w:val="18"/>
        </w:rPr>
        <w:t>más</w:t>
      </w:r>
      <w:r w:rsidRPr="00734D3B">
        <w:rPr>
          <w:bCs/>
          <w:szCs w:val="18"/>
        </w:rPr>
        <w:t xml:space="preserve"> de 10 años de experiencia (53%), lo que aporta solidez y criterio técnico a la información recopilada. El grupo con 3 a 5 años de experiencia representa el 32%, reflejando la participación de perfiles con experiencia intermedia. En menor proporción se ubican quienes tiene 6 a 10 años de experiencia (16%). En conjunto, la muestra </w:t>
      </w:r>
      <w:r w:rsidR="00F112F8" w:rsidRPr="00734D3B">
        <w:rPr>
          <w:bCs/>
          <w:szCs w:val="18"/>
        </w:rPr>
        <w:t>está</w:t>
      </w:r>
      <w:r w:rsidRPr="00734D3B">
        <w:rPr>
          <w:bCs/>
          <w:szCs w:val="18"/>
        </w:rPr>
        <w:t xml:space="preserve"> conformada principalmente por personas con trayectoria amplia en el sector, lo que fortalece la validez de los resultados obtenidos. </w:t>
      </w:r>
    </w:p>
    <w:p w14:paraId="4F5F19A5" w14:textId="77777777" w:rsidR="00285B3C" w:rsidRPr="00734D3B" w:rsidRDefault="00285B3C" w:rsidP="00285B3C">
      <w:pPr>
        <w:spacing w:after="200"/>
        <w:ind w:firstLine="0"/>
        <w:rPr>
          <w:b/>
          <w:szCs w:val="18"/>
        </w:rPr>
      </w:pPr>
    </w:p>
    <w:p w14:paraId="0E679C58" w14:textId="77777777" w:rsidR="00285B3C" w:rsidRPr="00734D3B" w:rsidRDefault="00285B3C" w:rsidP="00285B3C">
      <w:pPr>
        <w:spacing w:after="200"/>
        <w:ind w:firstLine="0"/>
        <w:rPr>
          <w:b/>
          <w:szCs w:val="18"/>
        </w:rPr>
      </w:pPr>
    </w:p>
    <w:p w14:paraId="37E5A7CC" w14:textId="77777777" w:rsidR="00285B3C" w:rsidRPr="00734D3B" w:rsidRDefault="00285B3C" w:rsidP="00285B3C">
      <w:pPr>
        <w:spacing w:line="240" w:lineRule="auto"/>
        <w:ind w:firstLine="0"/>
        <w:rPr>
          <w:b/>
          <w:szCs w:val="18"/>
        </w:rPr>
      </w:pPr>
      <w:r w:rsidRPr="00734D3B">
        <w:rPr>
          <w:b/>
          <w:szCs w:val="18"/>
        </w:rPr>
        <w:br w:type="page"/>
      </w:r>
    </w:p>
    <w:p w14:paraId="0063100F" w14:textId="77777777" w:rsidR="00285B3C" w:rsidRPr="00734D3B" w:rsidRDefault="00285B3C" w:rsidP="00285B3C">
      <w:pPr>
        <w:spacing w:after="200"/>
        <w:ind w:firstLine="0"/>
        <w:rPr>
          <w:bCs/>
          <w:i/>
          <w:iCs/>
          <w:szCs w:val="18"/>
        </w:rPr>
      </w:pPr>
      <w:bookmarkStart w:id="274" w:name="_Toc227937862"/>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8</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empresa tiene políticas</w:t>
      </w:r>
      <w:bookmarkEnd w:id="274"/>
      <w:r w:rsidRPr="00734D3B">
        <w:rPr>
          <w:bCs/>
          <w:i/>
          <w:iCs/>
          <w:szCs w:val="18"/>
        </w:rPr>
        <w:t xml:space="preserve"> </w:t>
      </w:r>
    </w:p>
    <w:p w14:paraId="736BC5D8" w14:textId="77777777" w:rsidR="00285B3C" w:rsidRPr="00734D3B" w:rsidRDefault="00285B3C" w:rsidP="00285B3C">
      <w:pPr>
        <w:keepNext/>
        <w:ind w:left="936" w:firstLine="0"/>
        <w:contextualSpacing/>
        <w:outlineLvl w:val="0"/>
        <w:rPr>
          <w:b/>
          <w:bCs/>
        </w:rPr>
      </w:pPr>
      <w:bookmarkStart w:id="275" w:name="_Toc224894432"/>
      <w:bookmarkStart w:id="276" w:name="_Toc227075493"/>
      <w:bookmarkStart w:id="277" w:name="_Toc227845367"/>
      <w:bookmarkStart w:id="278" w:name="_Toc227936418"/>
      <w:r w:rsidRPr="00734D3B">
        <w:rPr>
          <w:b/>
          <w:bCs/>
          <w:noProof/>
        </w:rPr>
        <w:drawing>
          <wp:inline distT="0" distB="0" distL="0" distR="0" wp14:anchorId="503AF735" wp14:editId="012A7B15">
            <wp:extent cx="4572000" cy="2743200"/>
            <wp:effectExtent l="0" t="0" r="0" b="0"/>
            <wp:docPr id="973829648" name="Gráfico 1">
              <a:extLst xmlns:a="http://schemas.openxmlformats.org/drawingml/2006/main">
                <a:ext uri="{FF2B5EF4-FFF2-40B4-BE49-F238E27FC236}">
                  <a16:creationId xmlns:a16="http://schemas.microsoft.com/office/drawing/2014/main" id="{A5F72A74-7CEF-45EB-8835-59A3EAEE3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275"/>
      <w:bookmarkEnd w:id="276"/>
      <w:bookmarkEnd w:id="277"/>
      <w:bookmarkEnd w:id="278"/>
    </w:p>
    <w:p w14:paraId="0891EABB"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60E6C227" w14:textId="77777777" w:rsidR="00285B3C" w:rsidRPr="00734D3B" w:rsidRDefault="00285B3C" w:rsidP="00A8783B">
      <w:r w:rsidRPr="00734D3B">
        <w:t xml:space="preserve">Lo anterior refleja que la existencia de políticas en la empresa presenta un nivel de aplicación intermedio. El 32% de los participantes señala que a veces se cuenta con políticas, mientras que otro 32% considera que casi siempre existen. Por su parte, el 26% afirma que siempre se aplican, lo que refleja un avance en la formalización de políticas. Sin embargo, un 11% indica que rara vez se dispone de ellas, evidenciando inconsistencias en su implementación. En conjunto, los datos muestran que las políticas existen, pero no se aplican de manera uniforme en todas las empresas. </w:t>
      </w:r>
    </w:p>
    <w:p w14:paraId="0FB3312E" w14:textId="77777777" w:rsidR="00285B3C" w:rsidRPr="00734D3B" w:rsidRDefault="00285B3C" w:rsidP="00285B3C">
      <w:pPr>
        <w:spacing w:after="200"/>
        <w:ind w:firstLine="0"/>
        <w:rPr>
          <w:b/>
          <w:szCs w:val="18"/>
        </w:rPr>
      </w:pPr>
    </w:p>
    <w:p w14:paraId="68727179" w14:textId="77777777" w:rsidR="00285B3C" w:rsidRPr="00734D3B" w:rsidRDefault="00285B3C" w:rsidP="00285B3C">
      <w:pPr>
        <w:spacing w:after="200"/>
        <w:ind w:firstLine="0"/>
        <w:rPr>
          <w:b/>
          <w:szCs w:val="18"/>
        </w:rPr>
      </w:pPr>
    </w:p>
    <w:p w14:paraId="09781EE7" w14:textId="77777777" w:rsidR="00285B3C" w:rsidRPr="00734D3B" w:rsidRDefault="00285B3C" w:rsidP="00285B3C">
      <w:pPr>
        <w:spacing w:after="200"/>
        <w:ind w:firstLine="0"/>
        <w:rPr>
          <w:b/>
          <w:szCs w:val="18"/>
        </w:rPr>
      </w:pPr>
    </w:p>
    <w:p w14:paraId="604645A1" w14:textId="77777777" w:rsidR="00285B3C" w:rsidRPr="00734D3B" w:rsidRDefault="00285B3C" w:rsidP="00285B3C">
      <w:pPr>
        <w:spacing w:line="240" w:lineRule="auto"/>
        <w:ind w:firstLine="0"/>
        <w:rPr>
          <w:b/>
          <w:szCs w:val="18"/>
        </w:rPr>
      </w:pPr>
      <w:r w:rsidRPr="00734D3B">
        <w:rPr>
          <w:b/>
          <w:szCs w:val="18"/>
        </w:rPr>
        <w:br w:type="page"/>
      </w:r>
    </w:p>
    <w:p w14:paraId="02EA16CC" w14:textId="77777777" w:rsidR="00285B3C" w:rsidRPr="00734D3B" w:rsidRDefault="00285B3C" w:rsidP="00285B3C">
      <w:pPr>
        <w:spacing w:after="200"/>
        <w:ind w:firstLine="0"/>
        <w:rPr>
          <w:bCs/>
          <w:i/>
          <w:iCs/>
          <w:szCs w:val="18"/>
        </w:rPr>
      </w:pPr>
      <w:bookmarkStart w:id="279" w:name="_Toc227937863"/>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9</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en los proyectos se establecen metas claras</w:t>
      </w:r>
      <w:bookmarkEnd w:id="279"/>
      <w:r w:rsidRPr="00734D3B">
        <w:rPr>
          <w:bCs/>
          <w:i/>
          <w:iCs/>
          <w:szCs w:val="18"/>
        </w:rPr>
        <w:t xml:space="preserve"> </w:t>
      </w:r>
    </w:p>
    <w:p w14:paraId="69793366" w14:textId="77777777" w:rsidR="00285B3C" w:rsidRPr="00734D3B" w:rsidRDefault="00285B3C" w:rsidP="00285B3C">
      <w:pPr>
        <w:keepNext/>
        <w:ind w:left="936" w:firstLine="0"/>
        <w:contextualSpacing/>
        <w:outlineLvl w:val="0"/>
        <w:rPr>
          <w:b/>
          <w:bCs/>
        </w:rPr>
      </w:pPr>
      <w:bookmarkStart w:id="280" w:name="_Toc224894433"/>
      <w:bookmarkStart w:id="281" w:name="_Toc227075494"/>
      <w:bookmarkStart w:id="282" w:name="_Toc227845368"/>
      <w:bookmarkStart w:id="283" w:name="_Toc227936419"/>
      <w:r w:rsidRPr="00734D3B">
        <w:rPr>
          <w:b/>
          <w:bCs/>
          <w:noProof/>
        </w:rPr>
        <w:drawing>
          <wp:inline distT="0" distB="0" distL="0" distR="0" wp14:anchorId="55C08B67" wp14:editId="56B0BFCA">
            <wp:extent cx="4572000" cy="2743200"/>
            <wp:effectExtent l="0" t="0" r="0" b="0"/>
            <wp:docPr id="574072023" name="Gráfico 1">
              <a:extLst xmlns:a="http://schemas.openxmlformats.org/drawingml/2006/main">
                <a:ext uri="{FF2B5EF4-FFF2-40B4-BE49-F238E27FC236}">
                  <a16:creationId xmlns:a16="http://schemas.microsoft.com/office/drawing/2014/main" id="{6365B7C3-5D46-E5E6-CBFA-5F1868897F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280"/>
      <w:bookmarkEnd w:id="281"/>
      <w:bookmarkEnd w:id="282"/>
      <w:bookmarkEnd w:id="283"/>
    </w:p>
    <w:p w14:paraId="69B5BF19"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C711A43" w14:textId="456B4747" w:rsidR="00285B3C" w:rsidRPr="00734D3B" w:rsidRDefault="00285B3C" w:rsidP="00A8783B">
      <w:r w:rsidRPr="00734D3B">
        <w:t xml:space="preserve">En el anterior se muestra una tendencia mayoritariamente positiva en el establecimiento de metas claras en los proyectos. El 52% de los participantes indica que casi siempre o siempre definen metas, lo que evidencia una </w:t>
      </w:r>
      <w:r w:rsidR="00BA7622" w:rsidRPr="00734D3B">
        <w:t>práctica</w:t>
      </w:r>
      <w:r w:rsidRPr="00734D3B">
        <w:t xml:space="preserve"> relativamente consolidada, No obstante, un 42% señala que esto ocurre rara vez o a veces, y un 5% manifiesta que nunca se establecen metas claras. En conjunto, los datos reflejan que, aunque existe una orientación hacia la planificación, aun se presentan brechas en la definición sistemática de metas en todos los proyectos. </w:t>
      </w:r>
    </w:p>
    <w:p w14:paraId="1A098A08" w14:textId="77777777" w:rsidR="00285B3C" w:rsidRPr="00734D3B" w:rsidRDefault="00285B3C" w:rsidP="00A8783B">
      <w:pPr>
        <w:rPr>
          <w:b/>
          <w:szCs w:val="18"/>
        </w:rPr>
      </w:pPr>
      <w:r w:rsidRPr="00734D3B">
        <w:rPr>
          <w:b/>
          <w:szCs w:val="18"/>
        </w:rPr>
        <w:br w:type="page"/>
      </w:r>
    </w:p>
    <w:p w14:paraId="7B011AF6" w14:textId="77777777" w:rsidR="00285B3C" w:rsidRPr="00734D3B" w:rsidRDefault="00285B3C" w:rsidP="00285B3C">
      <w:pPr>
        <w:spacing w:after="200"/>
        <w:ind w:firstLine="0"/>
        <w:rPr>
          <w:bCs/>
          <w:i/>
          <w:iCs/>
          <w:szCs w:val="18"/>
        </w:rPr>
      </w:pPr>
      <w:bookmarkStart w:id="284" w:name="_Toc227937864"/>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10</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los residuos se separan por tipo</w:t>
      </w:r>
      <w:bookmarkEnd w:id="284"/>
      <w:r w:rsidRPr="00734D3B">
        <w:rPr>
          <w:bCs/>
          <w:i/>
          <w:iCs/>
          <w:szCs w:val="18"/>
        </w:rPr>
        <w:t xml:space="preserve"> </w:t>
      </w:r>
    </w:p>
    <w:p w14:paraId="74744933" w14:textId="77777777" w:rsidR="00285B3C" w:rsidRPr="00734D3B" w:rsidRDefault="00285B3C" w:rsidP="00285B3C">
      <w:pPr>
        <w:keepNext/>
        <w:ind w:left="936" w:firstLine="0"/>
        <w:contextualSpacing/>
        <w:outlineLvl w:val="0"/>
        <w:rPr>
          <w:b/>
          <w:bCs/>
        </w:rPr>
      </w:pPr>
      <w:bookmarkStart w:id="285" w:name="_Toc224894434"/>
      <w:bookmarkStart w:id="286" w:name="_Toc227075495"/>
      <w:bookmarkStart w:id="287" w:name="_Toc227845369"/>
      <w:bookmarkStart w:id="288" w:name="_Toc227936420"/>
      <w:r w:rsidRPr="00734D3B">
        <w:rPr>
          <w:b/>
          <w:bCs/>
          <w:noProof/>
        </w:rPr>
        <w:drawing>
          <wp:inline distT="0" distB="0" distL="0" distR="0" wp14:anchorId="55BA97BA" wp14:editId="725B9142">
            <wp:extent cx="4572000" cy="2743200"/>
            <wp:effectExtent l="0" t="0" r="0" b="0"/>
            <wp:docPr id="344278510" name="Gráfico 1">
              <a:extLst xmlns:a="http://schemas.openxmlformats.org/drawingml/2006/main">
                <a:ext uri="{FF2B5EF4-FFF2-40B4-BE49-F238E27FC236}">
                  <a16:creationId xmlns:a16="http://schemas.microsoft.com/office/drawing/2014/main" id="{887C2A80-3376-1DA3-A69F-8B6FCF37A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End w:id="285"/>
      <w:bookmarkEnd w:id="286"/>
      <w:bookmarkEnd w:id="287"/>
      <w:bookmarkEnd w:id="288"/>
    </w:p>
    <w:p w14:paraId="2C2910DB"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3E78679E" w14:textId="3F331422" w:rsidR="00285B3C" w:rsidRPr="00734D3B" w:rsidRDefault="00285B3C" w:rsidP="00A8783B">
      <w:r w:rsidRPr="00734D3B">
        <w:t xml:space="preserve">Los resultados evidencian una </w:t>
      </w:r>
      <w:r w:rsidR="00BA7622" w:rsidRPr="00734D3B">
        <w:t>práctica</w:t>
      </w:r>
      <w:r w:rsidRPr="00734D3B">
        <w:t xml:space="preserve"> relativamente favorable en la separación de residuos por tipo. El 58% de los participantes indica que casi siempre o siempre se realiza esta acción, lo que refleja un nivel adecuado de conciencia y aplicación de </w:t>
      </w:r>
      <w:r w:rsidR="00BA7622" w:rsidRPr="00734D3B">
        <w:t>prácticas</w:t>
      </w:r>
      <w:r w:rsidRPr="00734D3B">
        <w:t xml:space="preserve"> ambientales. Si embargo, un 42% señala que la separación ocurre a veces, rara vez o nunca, lo que muestra inconsistencias en su implementación. En general, aunque existe una tendencia positiva, aun es necesario fortalecer estas </w:t>
      </w:r>
      <w:r w:rsidR="00BA7622" w:rsidRPr="00734D3B">
        <w:t>prácticas</w:t>
      </w:r>
      <w:r w:rsidRPr="00734D3B">
        <w:t xml:space="preserve"> para asegurar su aplicación sistemática en todos los proyectos. </w:t>
      </w:r>
    </w:p>
    <w:p w14:paraId="2C2BEBDF" w14:textId="77777777" w:rsidR="00285B3C" w:rsidRPr="00734D3B" w:rsidRDefault="00285B3C" w:rsidP="00A8783B">
      <w:pPr>
        <w:rPr>
          <w:b/>
          <w:bCs/>
        </w:rPr>
      </w:pPr>
    </w:p>
    <w:p w14:paraId="2C048AD4" w14:textId="77777777" w:rsidR="00285B3C" w:rsidRPr="00734D3B" w:rsidRDefault="00285B3C" w:rsidP="00285B3C">
      <w:pPr>
        <w:spacing w:line="240" w:lineRule="auto"/>
        <w:ind w:firstLine="0"/>
        <w:rPr>
          <w:b/>
          <w:szCs w:val="18"/>
        </w:rPr>
      </w:pPr>
      <w:r w:rsidRPr="00734D3B">
        <w:rPr>
          <w:b/>
          <w:szCs w:val="18"/>
        </w:rPr>
        <w:br w:type="page"/>
      </w:r>
    </w:p>
    <w:p w14:paraId="454E9F10" w14:textId="77777777" w:rsidR="00285B3C" w:rsidRPr="00734D3B" w:rsidRDefault="00285B3C" w:rsidP="00285B3C">
      <w:pPr>
        <w:spacing w:after="200"/>
        <w:ind w:firstLine="0"/>
        <w:rPr>
          <w:bCs/>
          <w:i/>
          <w:iCs/>
          <w:szCs w:val="18"/>
        </w:rPr>
      </w:pPr>
      <w:bookmarkStart w:id="289" w:name="_Toc227937865"/>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11</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se habla de sostenibilidad en las reuniones</w:t>
      </w:r>
      <w:bookmarkEnd w:id="289"/>
      <w:r w:rsidRPr="00734D3B">
        <w:rPr>
          <w:bCs/>
          <w:i/>
          <w:iCs/>
          <w:szCs w:val="18"/>
        </w:rPr>
        <w:t xml:space="preserve"> </w:t>
      </w:r>
    </w:p>
    <w:p w14:paraId="7438FD8E" w14:textId="77777777" w:rsidR="00285B3C" w:rsidRPr="00734D3B" w:rsidRDefault="00285B3C" w:rsidP="00285B3C">
      <w:pPr>
        <w:keepNext/>
        <w:ind w:left="936" w:firstLine="0"/>
        <w:contextualSpacing/>
        <w:outlineLvl w:val="0"/>
        <w:rPr>
          <w:b/>
          <w:bCs/>
        </w:rPr>
      </w:pPr>
      <w:bookmarkStart w:id="290" w:name="_Toc224894435"/>
      <w:bookmarkStart w:id="291" w:name="_Toc227075496"/>
      <w:bookmarkStart w:id="292" w:name="_Toc227845370"/>
      <w:bookmarkStart w:id="293" w:name="_Toc227936421"/>
      <w:r w:rsidRPr="00734D3B">
        <w:rPr>
          <w:b/>
          <w:bCs/>
          <w:noProof/>
        </w:rPr>
        <w:drawing>
          <wp:inline distT="0" distB="0" distL="0" distR="0" wp14:anchorId="3DE09740" wp14:editId="6C1738E8">
            <wp:extent cx="4572000" cy="2743200"/>
            <wp:effectExtent l="0" t="0" r="0" b="0"/>
            <wp:docPr id="1758795062" name="Gráfico 1">
              <a:extLst xmlns:a="http://schemas.openxmlformats.org/drawingml/2006/main">
                <a:ext uri="{FF2B5EF4-FFF2-40B4-BE49-F238E27FC236}">
                  <a16:creationId xmlns:a16="http://schemas.microsoft.com/office/drawing/2014/main" id="{492F49D6-752F-7942-D065-073D8E591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290"/>
      <w:bookmarkEnd w:id="291"/>
      <w:bookmarkEnd w:id="292"/>
      <w:bookmarkEnd w:id="293"/>
    </w:p>
    <w:p w14:paraId="49641B22"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2071CC95" w14:textId="6E13786C" w:rsidR="00285B3C" w:rsidRPr="00734D3B" w:rsidRDefault="00285B3C" w:rsidP="00A8783B">
      <w:r w:rsidRPr="00734D3B">
        <w:t xml:space="preserve">Los resultados muestran que la sostenibilidad no se aborda de manera constante en las reuniones. Un 43% de los participantes señala que el tema se trata nunca o rara vez, lo que evidencia una baja integración del enfoque sostenible en los espacios de coordinación. Por otro lado, un 37% indica que se habla de sostenibilidad casi siempre o siempre, mientras que un 21% considera que esto ocurre a veces. En conjunto, los datos reflejan que la sostenibilidad </w:t>
      </w:r>
      <w:r w:rsidR="00CC14EE" w:rsidRPr="00734D3B">
        <w:t>aún</w:t>
      </w:r>
      <w:r w:rsidRPr="00734D3B">
        <w:t xml:space="preserve"> no </w:t>
      </w:r>
      <w:r w:rsidR="00BA7622" w:rsidRPr="00734D3B">
        <w:t>está</w:t>
      </w:r>
      <w:r w:rsidRPr="00734D3B">
        <w:t xml:space="preserve"> plenamente incorporada como un tema recurrente en las reuniones. </w:t>
      </w:r>
    </w:p>
    <w:p w14:paraId="48C232D1" w14:textId="77777777" w:rsidR="00285B3C" w:rsidRPr="00734D3B" w:rsidRDefault="00285B3C" w:rsidP="00A8783B">
      <w:pPr>
        <w:rPr>
          <w:b/>
          <w:szCs w:val="18"/>
        </w:rPr>
      </w:pPr>
      <w:r w:rsidRPr="00734D3B">
        <w:rPr>
          <w:b/>
          <w:szCs w:val="18"/>
        </w:rPr>
        <w:br w:type="page"/>
      </w:r>
    </w:p>
    <w:p w14:paraId="5D2448BA" w14:textId="77777777" w:rsidR="00285B3C" w:rsidRPr="00734D3B" w:rsidRDefault="00285B3C" w:rsidP="00285B3C">
      <w:pPr>
        <w:spacing w:after="200"/>
        <w:ind w:firstLine="0"/>
        <w:rPr>
          <w:bCs/>
          <w:i/>
          <w:iCs/>
          <w:szCs w:val="18"/>
        </w:rPr>
      </w:pPr>
      <w:bookmarkStart w:id="294" w:name="_Toc227937866"/>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12</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hay contenedores identificados</w:t>
      </w:r>
      <w:bookmarkEnd w:id="294"/>
      <w:r w:rsidRPr="00734D3B">
        <w:rPr>
          <w:bCs/>
          <w:i/>
          <w:iCs/>
          <w:szCs w:val="18"/>
        </w:rPr>
        <w:t xml:space="preserve"> </w:t>
      </w:r>
    </w:p>
    <w:p w14:paraId="5406E860" w14:textId="77777777" w:rsidR="00285B3C" w:rsidRPr="00734D3B" w:rsidRDefault="00285B3C" w:rsidP="00285B3C">
      <w:pPr>
        <w:keepNext/>
        <w:ind w:left="936" w:firstLine="0"/>
        <w:contextualSpacing/>
        <w:outlineLvl w:val="0"/>
        <w:rPr>
          <w:b/>
          <w:bCs/>
        </w:rPr>
      </w:pPr>
      <w:bookmarkStart w:id="295" w:name="_Toc224894436"/>
      <w:bookmarkStart w:id="296" w:name="_Toc227075497"/>
      <w:bookmarkStart w:id="297" w:name="_Toc227845371"/>
      <w:bookmarkStart w:id="298" w:name="_Toc227936422"/>
      <w:r w:rsidRPr="00734D3B">
        <w:rPr>
          <w:b/>
          <w:bCs/>
          <w:noProof/>
        </w:rPr>
        <w:drawing>
          <wp:inline distT="0" distB="0" distL="0" distR="0" wp14:anchorId="51EF0122" wp14:editId="590B6212">
            <wp:extent cx="4572000" cy="2743200"/>
            <wp:effectExtent l="0" t="0" r="0" b="0"/>
            <wp:docPr id="1651276671" name="Gráfico 1">
              <a:extLst xmlns:a="http://schemas.openxmlformats.org/drawingml/2006/main">
                <a:ext uri="{FF2B5EF4-FFF2-40B4-BE49-F238E27FC236}">
                  <a16:creationId xmlns:a16="http://schemas.microsoft.com/office/drawing/2014/main" id="{13EB7A5B-3D07-3C47-45B4-957451F8B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End w:id="295"/>
      <w:bookmarkEnd w:id="296"/>
      <w:bookmarkEnd w:id="297"/>
      <w:bookmarkEnd w:id="298"/>
    </w:p>
    <w:p w14:paraId="280D9ECA"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2D918526" w14:textId="79FC03CB" w:rsidR="00285B3C" w:rsidRPr="00734D3B" w:rsidRDefault="00285B3C" w:rsidP="00A8783B">
      <w:r w:rsidRPr="00734D3B">
        <w:t xml:space="preserve">En el grafico anterior se muestra que existe una presencia positiva de contenedores identificados. El 69% de los participantes señala que casi siempre o siempre existen contenedores debidamente identificados, lo que refleja un adecuado nivel de organización y apoyo a la gestión de residuos. No obstante, un 31% manifiesta que esto ocurre a veces, rara vez o nunca, evidenciando que </w:t>
      </w:r>
      <w:r w:rsidR="00A8783B" w:rsidRPr="00734D3B">
        <w:t>aún</w:t>
      </w:r>
      <w:r w:rsidRPr="00734D3B">
        <w:t xml:space="preserve"> existe oportunidades de mejora para asegurar su disponibilidad e identificación en todos los proyectos. </w:t>
      </w:r>
    </w:p>
    <w:p w14:paraId="42ADCD82" w14:textId="77777777" w:rsidR="00285B3C" w:rsidRPr="00734D3B" w:rsidRDefault="00285B3C" w:rsidP="00285B3C">
      <w:pPr>
        <w:spacing w:line="240" w:lineRule="auto"/>
        <w:ind w:firstLine="0"/>
        <w:rPr>
          <w:b/>
          <w:szCs w:val="18"/>
        </w:rPr>
      </w:pPr>
      <w:r w:rsidRPr="00734D3B">
        <w:rPr>
          <w:b/>
          <w:szCs w:val="18"/>
        </w:rPr>
        <w:br w:type="page"/>
      </w:r>
    </w:p>
    <w:p w14:paraId="20B1D1BD" w14:textId="77777777" w:rsidR="00285B3C" w:rsidRPr="00734D3B" w:rsidRDefault="00285B3C" w:rsidP="00285B3C">
      <w:pPr>
        <w:spacing w:after="200"/>
        <w:ind w:firstLine="0"/>
        <w:rPr>
          <w:bCs/>
          <w:i/>
          <w:iCs/>
          <w:szCs w:val="18"/>
        </w:rPr>
      </w:pPr>
      <w:bookmarkStart w:id="299" w:name="_Toc227937867"/>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13</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se lleva el registro de residuos</w:t>
      </w:r>
      <w:bookmarkEnd w:id="299"/>
      <w:r w:rsidRPr="00734D3B">
        <w:rPr>
          <w:bCs/>
          <w:i/>
          <w:iCs/>
          <w:szCs w:val="18"/>
        </w:rPr>
        <w:t xml:space="preserve"> </w:t>
      </w:r>
    </w:p>
    <w:p w14:paraId="60C80D82" w14:textId="77777777" w:rsidR="00285B3C" w:rsidRPr="00734D3B" w:rsidRDefault="00285B3C" w:rsidP="00285B3C">
      <w:pPr>
        <w:keepNext/>
        <w:ind w:left="936" w:firstLine="0"/>
        <w:contextualSpacing/>
        <w:outlineLvl w:val="0"/>
        <w:rPr>
          <w:b/>
          <w:bCs/>
        </w:rPr>
      </w:pPr>
      <w:bookmarkStart w:id="300" w:name="_Toc224894437"/>
      <w:bookmarkStart w:id="301" w:name="_Toc227075498"/>
      <w:bookmarkStart w:id="302" w:name="_Toc227845372"/>
      <w:bookmarkStart w:id="303" w:name="_Toc227936423"/>
      <w:r w:rsidRPr="00734D3B">
        <w:rPr>
          <w:b/>
          <w:bCs/>
          <w:noProof/>
        </w:rPr>
        <w:drawing>
          <wp:inline distT="0" distB="0" distL="0" distR="0" wp14:anchorId="24BE3BE2" wp14:editId="310C23CB">
            <wp:extent cx="4572000" cy="2743200"/>
            <wp:effectExtent l="0" t="0" r="0" b="0"/>
            <wp:docPr id="1359355282" name="Gráfico 1">
              <a:extLst xmlns:a="http://schemas.openxmlformats.org/drawingml/2006/main">
                <a:ext uri="{FF2B5EF4-FFF2-40B4-BE49-F238E27FC236}">
                  <a16:creationId xmlns:a16="http://schemas.microsoft.com/office/drawing/2014/main" id="{CEFCBCB8-8B82-FBC2-A742-DA253EE45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End w:id="300"/>
      <w:bookmarkEnd w:id="301"/>
      <w:bookmarkEnd w:id="302"/>
      <w:bookmarkEnd w:id="303"/>
    </w:p>
    <w:p w14:paraId="75BB29DC"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2841E3DF" w14:textId="77777777" w:rsidR="00285B3C" w:rsidRPr="00734D3B" w:rsidRDefault="00285B3C" w:rsidP="00DA25B7">
      <w:r w:rsidRPr="00734D3B">
        <w:t xml:space="preserve">De acuerdo con el grafico 13, se evidencia que se presenta una aplicación irregular en el registro de residuos. El 48% de los participantes indica que casi siempre o siempre se lleva este registro, lo que muestra avances en el control y seguimiento. Sin embargo, un 53% que el registro se realiza a veces, rara vez o nunca, lo que muestra debilidades en la sistematización de esta práctica. En conjunto, los datos sugieren la necesidad de fortalecer los mecanismos de registro para mejorar la gestión de residuos. </w:t>
      </w:r>
    </w:p>
    <w:p w14:paraId="02CF9ABD" w14:textId="77777777" w:rsidR="00285B3C" w:rsidRPr="00734D3B" w:rsidRDefault="00285B3C" w:rsidP="00A8783B">
      <w:pPr>
        <w:rPr>
          <w:b/>
          <w:bCs/>
        </w:rPr>
      </w:pPr>
    </w:p>
    <w:p w14:paraId="716FE507" w14:textId="77777777" w:rsidR="00285B3C" w:rsidRPr="00734D3B" w:rsidRDefault="00285B3C" w:rsidP="00285B3C">
      <w:pPr>
        <w:spacing w:line="240" w:lineRule="auto"/>
        <w:ind w:firstLine="0"/>
        <w:rPr>
          <w:b/>
          <w:szCs w:val="18"/>
        </w:rPr>
      </w:pPr>
      <w:r w:rsidRPr="00734D3B">
        <w:rPr>
          <w:b/>
          <w:szCs w:val="18"/>
        </w:rPr>
        <w:br w:type="page"/>
      </w:r>
    </w:p>
    <w:p w14:paraId="6CB2295D" w14:textId="77777777" w:rsidR="00285B3C" w:rsidRPr="00734D3B" w:rsidRDefault="00285B3C" w:rsidP="00285B3C">
      <w:pPr>
        <w:spacing w:after="200"/>
        <w:ind w:firstLine="0"/>
        <w:rPr>
          <w:bCs/>
          <w:i/>
          <w:iCs/>
          <w:szCs w:val="18"/>
        </w:rPr>
      </w:pPr>
      <w:bookmarkStart w:id="304" w:name="_Toc227937868"/>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14</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los supervisores están capacitados para verificar el cumplimiento de la gestión de residuos</w:t>
      </w:r>
      <w:bookmarkEnd w:id="304"/>
    </w:p>
    <w:p w14:paraId="09E9D43E" w14:textId="77777777" w:rsidR="00285B3C" w:rsidRPr="00734D3B" w:rsidRDefault="00285B3C" w:rsidP="00285B3C">
      <w:pPr>
        <w:keepNext/>
        <w:ind w:left="936" w:firstLine="0"/>
        <w:contextualSpacing/>
        <w:outlineLvl w:val="0"/>
        <w:rPr>
          <w:b/>
          <w:bCs/>
        </w:rPr>
      </w:pPr>
      <w:bookmarkStart w:id="305" w:name="_Toc224894438"/>
      <w:bookmarkStart w:id="306" w:name="_Toc227075499"/>
      <w:bookmarkStart w:id="307" w:name="_Toc227845373"/>
      <w:bookmarkStart w:id="308" w:name="_Toc227936424"/>
      <w:r w:rsidRPr="00734D3B">
        <w:rPr>
          <w:b/>
          <w:bCs/>
          <w:noProof/>
        </w:rPr>
        <w:drawing>
          <wp:inline distT="0" distB="0" distL="0" distR="0" wp14:anchorId="39C602A8" wp14:editId="7C60ADAF">
            <wp:extent cx="4572000" cy="2743200"/>
            <wp:effectExtent l="0" t="0" r="0" b="0"/>
            <wp:docPr id="1728496991" name="Gráfico 1">
              <a:extLst xmlns:a="http://schemas.openxmlformats.org/drawingml/2006/main">
                <a:ext uri="{FF2B5EF4-FFF2-40B4-BE49-F238E27FC236}">
                  <a16:creationId xmlns:a16="http://schemas.microsoft.com/office/drawing/2014/main" id="{42A846DF-966C-58F6-A962-57010D77D2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End w:id="305"/>
      <w:bookmarkEnd w:id="306"/>
      <w:bookmarkEnd w:id="307"/>
      <w:bookmarkEnd w:id="308"/>
    </w:p>
    <w:p w14:paraId="6A8000F3"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4BB14D7B" w14:textId="77777777" w:rsidR="00285B3C" w:rsidRPr="00734D3B" w:rsidRDefault="00285B3C" w:rsidP="00A8783B">
      <w:r w:rsidRPr="00734D3B">
        <w:t xml:space="preserve">Lo anterior refleja una capacitación desigual de los supervisores para verificar el cumplimiento de la gestión de residuos. Un 22% de los participantes considera que los supervisores están capacitados casi siempre o siempre, mientras que un 52% señala que esta capacitación se presenta a veces o rara vez y un 11% indica que nunca existe. En conjunto, los datos muestran debilidades en la formación sistemática del personal supervisor, lo que sugiere la necesidad de fortalecer los programas de capacitación para garantizar una gestión adecuada de los residuos. </w:t>
      </w:r>
    </w:p>
    <w:p w14:paraId="6BF65467" w14:textId="77777777" w:rsidR="00285B3C" w:rsidRPr="00734D3B" w:rsidRDefault="00285B3C" w:rsidP="00A8783B">
      <w:pPr>
        <w:rPr>
          <w:b/>
          <w:szCs w:val="18"/>
        </w:rPr>
      </w:pPr>
    </w:p>
    <w:p w14:paraId="6410E2C2" w14:textId="77777777" w:rsidR="00285B3C" w:rsidRPr="00734D3B" w:rsidRDefault="00285B3C" w:rsidP="00285B3C">
      <w:pPr>
        <w:spacing w:after="200"/>
        <w:ind w:firstLine="0"/>
        <w:rPr>
          <w:b/>
          <w:szCs w:val="18"/>
        </w:rPr>
      </w:pPr>
    </w:p>
    <w:p w14:paraId="76D829AE" w14:textId="77777777" w:rsidR="00285B3C" w:rsidRPr="00734D3B" w:rsidRDefault="00285B3C" w:rsidP="00285B3C">
      <w:pPr>
        <w:spacing w:after="200"/>
        <w:ind w:firstLine="0"/>
        <w:rPr>
          <w:b/>
          <w:szCs w:val="18"/>
        </w:rPr>
      </w:pPr>
    </w:p>
    <w:p w14:paraId="5DC3E60E" w14:textId="52D32C84" w:rsidR="00285B3C" w:rsidRPr="00734D3B" w:rsidRDefault="00285B3C" w:rsidP="00285B3C">
      <w:pPr>
        <w:spacing w:line="240" w:lineRule="auto"/>
        <w:ind w:firstLine="0"/>
        <w:rPr>
          <w:b/>
          <w:szCs w:val="18"/>
        </w:rPr>
      </w:pPr>
    </w:p>
    <w:p w14:paraId="3F5D8C04" w14:textId="77777777" w:rsidR="00285B3C" w:rsidRPr="00734D3B" w:rsidRDefault="00285B3C" w:rsidP="00285B3C">
      <w:pPr>
        <w:spacing w:after="200"/>
        <w:ind w:firstLine="0"/>
        <w:rPr>
          <w:noProof/>
        </w:rPr>
      </w:pPr>
      <w:bookmarkStart w:id="309" w:name="_Toc227937869"/>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15</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empresa conoce la normativa ambiental aplicable en Arizona para proyectos eléctricos.</w:t>
      </w:r>
      <w:bookmarkEnd w:id="309"/>
    </w:p>
    <w:p w14:paraId="02D142A2" w14:textId="77777777" w:rsidR="00285B3C" w:rsidRPr="00734D3B" w:rsidRDefault="00285B3C" w:rsidP="00285B3C">
      <w:pPr>
        <w:spacing w:after="200"/>
        <w:ind w:firstLine="0"/>
        <w:jc w:val="center"/>
      </w:pPr>
      <w:r w:rsidRPr="00734D3B">
        <w:rPr>
          <w:noProof/>
        </w:rPr>
        <w:drawing>
          <wp:inline distT="0" distB="0" distL="0" distR="0" wp14:anchorId="23F41DCB" wp14:editId="6727BB1A">
            <wp:extent cx="4572000" cy="2743200"/>
            <wp:effectExtent l="0" t="0" r="0" b="0"/>
            <wp:docPr id="1196173661" name="Gráfico 1">
              <a:extLst xmlns:a="http://schemas.openxmlformats.org/drawingml/2006/main">
                <a:ext uri="{FF2B5EF4-FFF2-40B4-BE49-F238E27FC236}">
                  <a16:creationId xmlns:a16="http://schemas.microsoft.com/office/drawing/2014/main" id="{64E5E732-B261-3615-77C8-0DED0F390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F5F7C6"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672F463D" w14:textId="77777777" w:rsidR="00285B3C" w:rsidRPr="00734D3B" w:rsidRDefault="00285B3C" w:rsidP="00285B3C">
      <w:pPr>
        <w:keepNext/>
        <w:ind w:firstLine="0"/>
        <w:contextualSpacing/>
        <w:outlineLvl w:val="0"/>
        <w:rPr>
          <w:b/>
          <w:bCs/>
        </w:rPr>
      </w:pPr>
    </w:p>
    <w:p w14:paraId="1BA684CE" w14:textId="77777777" w:rsidR="00285B3C" w:rsidRPr="00734D3B" w:rsidRDefault="00285B3C" w:rsidP="00285B3C">
      <w:pPr>
        <w:spacing w:line="240" w:lineRule="auto"/>
        <w:ind w:firstLine="0"/>
        <w:rPr>
          <w:b/>
          <w:szCs w:val="18"/>
        </w:rPr>
      </w:pPr>
      <w:r w:rsidRPr="00734D3B">
        <w:rPr>
          <w:b/>
          <w:szCs w:val="18"/>
        </w:rPr>
        <w:br w:type="page"/>
      </w:r>
    </w:p>
    <w:p w14:paraId="5E4182DD" w14:textId="77777777" w:rsidR="00285B3C" w:rsidRPr="00734D3B" w:rsidRDefault="00285B3C" w:rsidP="00285B3C">
      <w:pPr>
        <w:spacing w:after="200"/>
        <w:ind w:firstLine="0"/>
        <w:rPr>
          <w:noProof/>
        </w:rPr>
      </w:pPr>
      <w:bookmarkStart w:id="310" w:name="_Toc227937870"/>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16</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empresa conoce la normativa ambiental aplicable en Arizona para proyectos eléctricos.</w:t>
      </w:r>
      <w:bookmarkEnd w:id="310"/>
    </w:p>
    <w:p w14:paraId="124642B0" w14:textId="77777777" w:rsidR="00285B3C" w:rsidRPr="00734D3B" w:rsidRDefault="00285B3C" w:rsidP="00285B3C">
      <w:pPr>
        <w:spacing w:after="200"/>
        <w:ind w:firstLine="0"/>
        <w:jc w:val="center"/>
      </w:pPr>
      <w:r w:rsidRPr="00734D3B">
        <w:rPr>
          <w:noProof/>
        </w:rPr>
        <w:drawing>
          <wp:inline distT="0" distB="0" distL="0" distR="0" wp14:anchorId="7A41C3C9" wp14:editId="4800F313">
            <wp:extent cx="4572000" cy="2743200"/>
            <wp:effectExtent l="0" t="0" r="0" b="0"/>
            <wp:docPr id="783888639" name="Gráfico 1">
              <a:extLst xmlns:a="http://schemas.openxmlformats.org/drawingml/2006/main">
                <a:ext uri="{FF2B5EF4-FFF2-40B4-BE49-F238E27FC236}">
                  <a16:creationId xmlns:a16="http://schemas.microsoft.com/office/drawing/2014/main" id="{64E5E732-B261-3615-77C8-0DED0F390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790AB8"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3A9CF1D6" w14:textId="77777777" w:rsidR="00285B3C" w:rsidRPr="00734D3B" w:rsidRDefault="00285B3C" w:rsidP="00285B3C">
      <w:pPr>
        <w:spacing w:after="200"/>
        <w:ind w:firstLine="708"/>
        <w:rPr>
          <w:bCs/>
          <w:szCs w:val="18"/>
        </w:rPr>
      </w:pPr>
      <w:r w:rsidRPr="00734D3B">
        <w:rPr>
          <w:bCs/>
          <w:szCs w:val="18"/>
        </w:rPr>
        <w:t xml:space="preserve">Del gráfico 16, se refleja un nivel de conocimiento moderado a alto de la normativa ambiental aplicable en Arizona para proyectos eléctricos. Un 58% de los participantes señala que la empresa la conoce casi siempre o siempre, lo que refleja una base normativa relativamente sólida. No obstante, un 43% considera que dicho conocimiento se presenta a veces o rara vez, evidenciando brechas en la difusión y actualización normativa. En conjunto, los datos sugieren la necesidad de reforzar la capacitación y el acceso a información normativa para asegurar un cumplimiento consistente. </w:t>
      </w:r>
    </w:p>
    <w:p w14:paraId="31F6730A" w14:textId="77777777" w:rsidR="00285B3C" w:rsidRPr="00734D3B" w:rsidRDefault="00285B3C" w:rsidP="00285B3C">
      <w:pPr>
        <w:spacing w:after="200"/>
        <w:ind w:firstLine="0"/>
        <w:rPr>
          <w:b/>
          <w:szCs w:val="18"/>
        </w:rPr>
      </w:pPr>
    </w:p>
    <w:p w14:paraId="56A8075F" w14:textId="77777777" w:rsidR="00285B3C" w:rsidRPr="00734D3B" w:rsidRDefault="00285B3C" w:rsidP="00285B3C">
      <w:pPr>
        <w:spacing w:line="240" w:lineRule="auto"/>
        <w:ind w:firstLine="0"/>
        <w:rPr>
          <w:b/>
          <w:szCs w:val="18"/>
        </w:rPr>
      </w:pPr>
      <w:r w:rsidRPr="00734D3B">
        <w:rPr>
          <w:b/>
          <w:szCs w:val="18"/>
        </w:rPr>
        <w:br w:type="page"/>
      </w:r>
    </w:p>
    <w:p w14:paraId="072F9EF5" w14:textId="77777777" w:rsidR="00285B3C" w:rsidRPr="00734D3B" w:rsidRDefault="00285B3C" w:rsidP="00285B3C">
      <w:pPr>
        <w:spacing w:after="200"/>
        <w:ind w:firstLine="0"/>
        <w:rPr>
          <w:noProof/>
        </w:rPr>
      </w:pPr>
      <w:bookmarkStart w:id="311" w:name="_Toc227937871"/>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17</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se han presentado sanciones o llamados de atención por mala gestión de residuo</w:t>
      </w:r>
      <w:bookmarkEnd w:id="311"/>
    </w:p>
    <w:p w14:paraId="48F1CF81" w14:textId="77777777" w:rsidR="00285B3C" w:rsidRPr="00734D3B" w:rsidRDefault="00285B3C" w:rsidP="00285B3C">
      <w:pPr>
        <w:spacing w:after="200"/>
        <w:ind w:firstLine="0"/>
        <w:jc w:val="center"/>
      </w:pPr>
      <w:r w:rsidRPr="00734D3B">
        <w:rPr>
          <w:noProof/>
        </w:rPr>
        <w:drawing>
          <wp:inline distT="0" distB="0" distL="0" distR="0" wp14:anchorId="6779FFE2" wp14:editId="4E5A7517">
            <wp:extent cx="4572000" cy="2743200"/>
            <wp:effectExtent l="0" t="0" r="0" b="0"/>
            <wp:docPr id="830652454" name="Gráfico 1">
              <a:extLst xmlns:a="http://schemas.openxmlformats.org/drawingml/2006/main">
                <a:ext uri="{FF2B5EF4-FFF2-40B4-BE49-F238E27FC236}">
                  <a16:creationId xmlns:a16="http://schemas.microsoft.com/office/drawing/2014/main" id="{D712A4BA-FE74-3345-31DF-FD1040EAA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FB27208"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BCDABDE" w14:textId="77777777" w:rsidR="00285B3C" w:rsidRPr="00734D3B" w:rsidRDefault="00285B3C" w:rsidP="00285B3C">
      <w:pPr>
        <w:spacing w:after="200"/>
        <w:ind w:firstLine="708"/>
      </w:pPr>
      <w:r w:rsidRPr="00734D3B">
        <w:t xml:space="preserve">La mayoría de los casos no se han presentado sanciones ni llamados de atención por mala gestión de residuos. El 47% de los participantes indica que nunca se han dado este tipo de situaciones. Sin embargo, un 53% señala que en alguna medida (rara vez, a veces, casi siempre o siempre) si se han presentado, lo que evidencia que persisten incumplimientos puntuales en la gestión de residuos. En conjunto, los datos sugieren </w:t>
      </w:r>
      <w:proofErr w:type="gramStart"/>
      <w:r w:rsidRPr="00734D3B">
        <w:t>que ,</w:t>
      </w:r>
      <w:proofErr w:type="gramEnd"/>
      <w:r w:rsidRPr="00734D3B">
        <w:t xml:space="preserve"> aunque las sanciones no son generalizadas, existe la necesidad de reforzar controles y la prevención para evitar recurrencias. </w:t>
      </w:r>
    </w:p>
    <w:p w14:paraId="1C47535E" w14:textId="77777777" w:rsidR="00285B3C" w:rsidRPr="00734D3B" w:rsidRDefault="00285B3C" w:rsidP="00285B3C">
      <w:pPr>
        <w:spacing w:after="200"/>
        <w:ind w:firstLine="0"/>
        <w:rPr>
          <w:b/>
          <w:szCs w:val="18"/>
        </w:rPr>
      </w:pPr>
    </w:p>
    <w:p w14:paraId="77561064" w14:textId="77777777" w:rsidR="00285B3C" w:rsidRPr="00734D3B" w:rsidRDefault="00285B3C" w:rsidP="00285B3C">
      <w:pPr>
        <w:spacing w:after="200"/>
        <w:ind w:firstLine="0"/>
        <w:rPr>
          <w:b/>
          <w:szCs w:val="18"/>
        </w:rPr>
      </w:pPr>
    </w:p>
    <w:p w14:paraId="3BBFC4F7" w14:textId="77777777" w:rsidR="00285B3C" w:rsidRPr="00734D3B" w:rsidRDefault="00285B3C" w:rsidP="00285B3C">
      <w:pPr>
        <w:spacing w:line="240" w:lineRule="auto"/>
        <w:ind w:firstLine="0"/>
        <w:rPr>
          <w:b/>
          <w:szCs w:val="18"/>
        </w:rPr>
      </w:pPr>
      <w:r w:rsidRPr="00734D3B">
        <w:rPr>
          <w:b/>
          <w:szCs w:val="18"/>
        </w:rPr>
        <w:br w:type="page"/>
      </w:r>
    </w:p>
    <w:p w14:paraId="46F3FC4A" w14:textId="77777777" w:rsidR="00285B3C" w:rsidRPr="00734D3B" w:rsidRDefault="00285B3C" w:rsidP="00285B3C">
      <w:pPr>
        <w:spacing w:after="200"/>
        <w:ind w:firstLine="0"/>
        <w:rPr>
          <w:bCs/>
          <w:i/>
          <w:iCs/>
          <w:szCs w:val="18"/>
        </w:rPr>
      </w:pPr>
      <w:bookmarkStart w:id="312" w:name="_Toc227937872"/>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18</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existe capacitación en sostenibilidad</w:t>
      </w:r>
      <w:bookmarkEnd w:id="312"/>
    </w:p>
    <w:p w14:paraId="19228471" w14:textId="77777777" w:rsidR="00285B3C" w:rsidRPr="00734D3B" w:rsidRDefault="00285B3C" w:rsidP="00AF5AC9">
      <w:pPr>
        <w:spacing w:after="200"/>
        <w:ind w:firstLine="0"/>
        <w:jc w:val="center"/>
        <w:rPr>
          <w:bCs/>
          <w:i/>
          <w:iCs/>
          <w:szCs w:val="18"/>
        </w:rPr>
      </w:pPr>
      <w:r w:rsidRPr="00734D3B">
        <w:rPr>
          <w:noProof/>
        </w:rPr>
        <w:drawing>
          <wp:inline distT="0" distB="0" distL="0" distR="0" wp14:anchorId="7F4AD416" wp14:editId="74B73CEF">
            <wp:extent cx="4572000" cy="2743200"/>
            <wp:effectExtent l="0" t="0" r="0" b="0"/>
            <wp:docPr id="882678918" name="Gráfico 1">
              <a:extLst xmlns:a="http://schemas.openxmlformats.org/drawingml/2006/main">
                <a:ext uri="{FF2B5EF4-FFF2-40B4-BE49-F238E27FC236}">
                  <a16:creationId xmlns:a16="http://schemas.microsoft.com/office/drawing/2014/main" id="{73D04721-C354-4712-94CF-BCC5D4D9D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C3FA98F"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1158A9DF" w14:textId="77777777" w:rsidR="00285B3C" w:rsidRPr="00734D3B" w:rsidRDefault="00285B3C" w:rsidP="00285B3C">
      <w:pPr>
        <w:spacing w:after="200"/>
        <w:ind w:firstLine="708"/>
        <w:rPr>
          <w:noProof/>
        </w:rPr>
      </w:pPr>
      <w:r w:rsidRPr="00734D3B">
        <w:rPr>
          <w:noProof/>
        </w:rPr>
        <w:t xml:space="preserve">Un 58% de los participantes señala que esta nunca o rara vez se brinda, lo que refleja una baja priorizacion del tema. Por otro lado, un 37% indica que la capacitacion se realiza a veces, casi siempre o siempre, mostrando esfuerzos aislados en algunas empresas. En conjunto, los datos revelan la necesidad de fortalecer programas formales y continuos de capacitacion en sostenibilidad para mejorar la gestion ambiental, por lo que la capacitacion en sostenibilidad es limitada. </w:t>
      </w:r>
    </w:p>
    <w:p w14:paraId="1179781A" w14:textId="77777777" w:rsidR="00285B3C" w:rsidRPr="00734D3B" w:rsidRDefault="00285B3C" w:rsidP="00285B3C">
      <w:pPr>
        <w:keepNext/>
        <w:ind w:firstLine="0"/>
        <w:contextualSpacing/>
        <w:outlineLvl w:val="0"/>
        <w:rPr>
          <w:b/>
          <w:bCs/>
        </w:rPr>
      </w:pPr>
    </w:p>
    <w:p w14:paraId="7C0137BC" w14:textId="77777777" w:rsidR="00285B3C" w:rsidRPr="00734D3B" w:rsidRDefault="00285B3C" w:rsidP="00285B3C">
      <w:pPr>
        <w:keepNext/>
        <w:ind w:firstLine="0"/>
        <w:contextualSpacing/>
        <w:outlineLvl w:val="0"/>
        <w:rPr>
          <w:b/>
          <w:bCs/>
        </w:rPr>
      </w:pPr>
    </w:p>
    <w:p w14:paraId="55C433A3" w14:textId="77777777" w:rsidR="00285B3C" w:rsidRPr="00734D3B" w:rsidRDefault="00285B3C" w:rsidP="00285B3C">
      <w:pPr>
        <w:spacing w:line="240" w:lineRule="auto"/>
        <w:ind w:firstLine="0"/>
        <w:rPr>
          <w:b/>
          <w:bCs/>
        </w:rPr>
      </w:pPr>
      <w:r w:rsidRPr="00734D3B">
        <w:br w:type="page"/>
      </w:r>
    </w:p>
    <w:p w14:paraId="62FDD64B" w14:textId="77777777" w:rsidR="00285B3C" w:rsidRPr="00734D3B" w:rsidRDefault="00285B3C" w:rsidP="00285B3C">
      <w:pPr>
        <w:spacing w:after="200"/>
        <w:ind w:firstLine="0"/>
        <w:rPr>
          <w:bCs/>
          <w:i/>
          <w:iCs/>
          <w:szCs w:val="18"/>
        </w:rPr>
      </w:pPr>
      <w:bookmarkStart w:id="313" w:name="_Toc227937873"/>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19</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gerencia promueve sostenibilidad</w:t>
      </w:r>
      <w:bookmarkEnd w:id="313"/>
    </w:p>
    <w:p w14:paraId="3F12F288" w14:textId="77777777" w:rsidR="00285B3C" w:rsidRPr="00734D3B" w:rsidRDefault="00285B3C" w:rsidP="00AF5AC9">
      <w:pPr>
        <w:spacing w:after="200"/>
        <w:ind w:firstLine="0"/>
        <w:jc w:val="center"/>
        <w:rPr>
          <w:bCs/>
          <w:i/>
          <w:iCs/>
          <w:szCs w:val="18"/>
        </w:rPr>
      </w:pPr>
      <w:r w:rsidRPr="00734D3B">
        <w:rPr>
          <w:noProof/>
        </w:rPr>
        <w:drawing>
          <wp:inline distT="0" distB="0" distL="0" distR="0" wp14:anchorId="34A9A139" wp14:editId="6A9AE00C">
            <wp:extent cx="4572000" cy="2743200"/>
            <wp:effectExtent l="0" t="0" r="0" b="0"/>
            <wp:docPr id="1811120424" name="Gráfico 1">
              <a:extLst xmlns:a="http://schemas.openxmlformats.org/drawingml/2006/main">
                <a:ext uri="{FF2B5EF4-FFF2-40B4-BE49-F238E27FC236}">
                  <a16:creationId xmlns:a16="http://schemas.microsoft.com/office/drawing/2014/main" id="{525C42D8-AE6D-EA2A-15E9-4AB3A438A1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4EF2BD7"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671A82D" w14:textId="77777777" w:rsidR="00285B3C" w:rsidRPr="00734D3B" w:rsidRDefault="00285B3C" w:rsidP="00A8783B">
      <w:r w:rsidRPr="00734D3B">
        <w:t xml:space="preserve">Los resultados reflejan una percepción mayormente positiva sobre el rol de la gerencia en la promoción de la sostenibilidad. El 58% de los participantes considera que la gerencia casi siempre o siempre impulsa practicas sostenibles, lo que evidencia un compromiso gerencial relevante. No obstante, un 25% indica que esta promoción se da a ves, y un 21% señala que nunca o rara vez ocurre. En conjunto, los datos muestran avances en el liderazgo sostenible, aunque persisten oportunidades de mejora para fortalecer su aplicación de forma consistente en todas las empresas. </w:t>
      </w:r>
    </w:p>
    <w:p w14:paraId="014DB4B9" w14:textId="77777777" w:rsidR="00285B3C" w:rsidRPr="00734D3B" w:rsidRDefault="00285B3C" w:rsidP="00285B3C">
      <w:pPr>
        <w:keepNext/>
        <w:ind w:firstLine="0"/>
        <w:contextualSpacing/>
        <w:outlineLvl w:val="0"/>
        <w:rPr>
          <w:b/>
          <w:bCs/>
        </w:rPr>
      </w:pPr>
    </w:p>
    <w:p w14:paraId="1D1ABFC0" w14:textId="77777777" w:rsidR="00285B3C" w:rsidRPr="00734D3B" w:rsidRDefault="00285B3C" w:rsidP="00285B3C">
      <w:pPr>
        <w:spacing w:line="240" w:lineRule="auto"/>
        <w:ind w:firstLine="0"/>
        <w:rPr>
          <w:b/>
          <w:szCs w:val="18"/>
        </w:rPr>
      </w:pPr>
      <w:r w:rsidRPr="00734D3B">
        <w:rPr>
          <w:b/>
          <w:szCs w:val="18"/>
        </w:rPr>
        <w:br w:type="page"/>
      </w:r>
    </w:p>
    <w:p w14:paraId="263AF87A" w14:textId="77777777" w:rsidR="00285B3C" w:rsidRPr="00734D3B" w:rsidRDefault="00285B3C" w:rsidP="00285B3C">
      <w:pPr>
        <w:spacing w:after="200"/>
        <w:ind w:firstLine="0"/>
        <w:rPr>
          <w:bCs/>
          <w:i/>
          <w:iCs/>
          <w:szCs w:val="18"/>
        </w:rPr>
      </w:pPr>
      <w:bookmarkStart w:id="314" w:name="_Toc227937874"/>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20</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presión de tiempo dificulta la sostenibilidad</w:t>
      </w:r>
      <w:bookmarkEnd w:id="314"/>
    </w:p>
    <w:p w14:paraId="3F5B297D" w14:textId="77777777" w:rsidR="00285B3C" w:rsidRPr="00734D3B" w:rsidRDefault="00285B3C" w:rsidP="00AF5AC9">
      <w:pPr>
        <w:spacing w:after="200"/>
        <w:ind w:firstLine="0"/>
        <w:jc w:val="center"/>
        <w:rPr>
          <w:bCs/>
          <w:i/>
          <w:iCs/>
          <w:szCs w:val="18"/>
        </w:rPr>
      </w:pPr>
      <w:r w:rsidRPr="00734D3B">
        <w:rPr>
          <w:noProof/>
        </w:rPr>
        <w:drawing>
          <wp:inline distT="0" distB="0" distL="0" distR="0" wp14:anchorId="52920C1E" wp14:editId="47E7B9FB">
            <wp:extent cx="4572000" cy="2743200"/>
            <wp:effectExtent l="0" t="0" r="0" b="0"/>
            <wp:docPr id="306353040" name="Gráfico 1">
              <a:extLst xmlns:a="http://schemas.openxmlformats.org/drawingml/2006/main">
                <a:ext uri="{FF2B5EF4-FFF2-40B4-BE49-F238E27FC236}">
                  <a16:creationId xmlns:a16="http://schemas.microsoft.com/office/drawing/2014/main" id="{D6FE1536-4A22-CADD-2274-C8E97A3D1A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537558"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47C9735B" w14:textId="7B78F245" w:rsidR="00285B3C" w:rsidRPr="00734D3B" w:rsidRDefault="00285B3C" w:rsidP="00A8783B">
      <w:r w:rsidRPr="00734D3B">
        <w:t xml:space="preserve">Los resultados evidencian que la presión de tiempo representa un factor que dificulta la sostenibilidad en una proporción significativa de los proyectos. Un 53% de los participantes indica que esta dificultad se presenta casi siempre o siempre, lo que sugiere que los plazos ajustados afectan la correcta aplicación de </w:t>
      </w:r>
      <w:r w:rsidR="00A8783B" w:rsidRPr="00734D3B">
        <w:t>prácticas</w:t>
      </w:r>
      <w:r w:rsidRPr="00734D3B">
        <w:t xml:space="preserve"> sostenibles. Por otro lado, un 37% considera que la presión de tiempo nunca o rara vez influye, mientras que un 11% señala que ocurre a veces. En síntesis, los datos muestran que la gestión del tiempo es un elemento critico que debe ser abordado para mejorar el desempeño en sostenibilidad. </w:t>
      </w:r>
    </w:p>
    <w:p w14:paraId="165B415A" w14:textId="77777777" w:rsidR="00285B3C" w:rsidRPr="00734D3B" w:rsidRDefault="00285B3C" w:rsidP="00285B3C">
      <w:pPr>
        <w:keepNext/>
        <w:ind w:firstLine="0"/>
        <w:contextualSpacing/>
        <w:outlineLvl w:val="0"/>
        <w:rPr>
          <w:b/>
          <w:bCs/>
        </w:rPr>
      </w:pPr>
    </w:p>
    <w:p w14:paraId="45E6E4A0" w14:textId="77777777" w:rsidR="00285B3C" w:rsidRPr="00734D3B" w:rsidRDefault="00285B3C" w:rsidP="00285B3C">
      <w:pPr>
        <w:spacing w:line="240" w:lineRule="auto"/>
        <w:ind w:firstLine="0"/>
        <w:rPr>
          <w:b/>
          <w:szCs w:val="18"/>
        </w:rPr>
      </w:pPr>
      <w:r w:rsidRPr="00734D3B">
        <w:rPr>
          <w:b/>
          <w:szCs w:val="18"/>
        </w:rPr>
        <w:br w:type="page"/>
      </w:r>
    </w:p>
    <w:p w14:paraId="45DD9A2D" w14:textId="77777777" w:rsidR="00285B3C" w:rsidRPr="00734D3B" w:rsidRDefault="00285B3C" w:rsidP="00285B3C">
      <w:pPr>
        <w:spacing w:after="200"/>
        <w:ind w:firstLine="0"/>
        <w:rPr>
          <w:bCs/>
          <w:i/>
          <w:iCs/>
          <w:szCs w:val="18"/>
        </w:rPr>
      </w:pPr>
      <w:bookmarkStart w:id="315" w:name="_Toc227937875"/>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21</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la sostenibilidad incrementa costos</w:t>
      </w:r>
      <w:bookmarkEnd w:id="315"/>
    </w:p>
    <w:p w14:paraId="61709832" w14:textId="77777777" w:rsidR="00285B3C" w:rsidRPr="00734D3B" w:rsidRDefault="00285B3C" w:rsidP="00AF5AC9">
      <w:pPr>
        <w:keepNext/>
        <w:ind w:firstLine="0"/>
        <w:contextualSpacing/>
        <w:jc w:val="center"/>
        <w:outlineLvl w:val="0"/>
        <w:rPr>
          <w:b/>
          <w:bCs/>
        </w:rPr>
      </w:pPr>
      <w:bookmarkStart w:id="316" w:name="_Toc224894439"/>
      <w:bookmarkStart w:id="317" w:name="_Toc227075500"/>
      <w:bookmarkStart w:id="318" w:name="_Toc227845374"/>
      <w:bookmarkStart w:id="319" w:name="_Toc227936425"/>
      <w:r w:rsidRPr="00734D3B">
        <w:rPr>
          <w:b/>
          <w:bCs/>
          <w:noProof/>
        </w:rPr>
        <w:drawing>
          <wp:inline distT="0" distB="0" distL="0" distR="0" wp14:anchorId="1FD6BF48" wp14:editId="0C74F29E">
            <wp:extent cx="4572000" cy="2743200"/>
            <wp:effectExtent l="0" t="0" r="0" b="0"/>
            <wp:docPr id="2134291272" name="Gráfico 1">
              <a:extLst xmlns:a="http://schemas.openxmlformats.org/drawingml/2006/main">
                <a:ext uri="{FF2B5EF4-FFF2-40B4-BE49-F238E27FC236}">
                  <a16:creationId xmlns:a16="http://schemas.microsoft.com/office/drawing/2014/main" id="{05ACA77C-8DE4-5AE4-4D04-D2D796948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316"/>
      <w:bookmarkEnd w:id="317"/>
      <w:bookmarkEnd w:id="318"/>
      <w:bookmarkEnd w:id="319"/>
    </w:p>
    <w:p w14:paraId="378BACED"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0475D61F" w14:textId="77777777" w:rsidR="00285B3C" w:rsidRPr="00734D3B" w:rsidRDefault="00285B3C" w:rsidP="00A8783B">
      <w:r w:rsidRPr="00734D3B">
        <w:t xml:space="preserve">En la figura 21, se muestra que existe una percepción generalizada de que la sostenibilidad incrementa los costos. El 53% de los participantes considera que eso ocurre a veces, mientras que un 47% señala que casi siempre o siempre se presenta. En conjunto, los datos reflejan que la sostenibilidad es vista principalmente como un factor de impacto económico, lo que podría influir en su nivel de implementación y resalta la importancia de fortalecer la sensibilización sobre sus beneficios a mediano y largo plazo. </w:t>
      </w:r>
    </w:p>
    <w:p w14:paraId="37A40475" w14:textId="77777777" w:rsidR="00285B3C" w:rsidRPr="00734D3B" w:rsidRDefault="00285B3C" w:rsidP="00285B3C">
      <w:pPr>
        <w:keepNext/>
        <w:ind w:firstLine="0"/>
        <w:contextualSpacing/>
        <w:outlineLvl w:val="0"/>
        <w:rPr>
          <w:b/>
          <w:bCs/>
        </w:rPr>
      </w:pPr>
    </w:p>
    <w:p w14:paraId="2A4BC1E4" w14:textId="77777777" w:rsidR="00285B3C" w:rsidRPr="00734D3B" w:rsidRDefault="00285B3C" w:rsidP="00285B3C">
      <w:pPr>
        <w:spacing w:line="240" w:lineRule="auto"/>
        <w:ind w:firstLine="0"/>
        <w:rPr>
          <w:b/>
          <w:szCs w:val="18"/>
        </w:rPr>
      </w:pPr>
      <w:r w:rsidRPr="00734D3B">
        <w:rPr>
          <w:b/>
          <w:szCs w:val="18"/>
        </w:rPr>
        <w:br w:type="page"/>
      </w:r>
    </w:p>
    <w:p w14:paraId="375A02F3" w14:textId="77777777" w:rsidR="00285B3C" w:rsidRPr="00734D3B" w:rsidRDefault="00285B3C" w:rsidP="00285B3C">
      <w:pPr>
        <w:spacing w:after="200"/>
        <w:ind w:firstLine="0"/>
        <w:rPr>
          <w:bCs/>
          <w:i/>
          <w:iCs/>
          <w:szCs w:val="18"/>
        </w:rPr>
      </w:pPr>
      <w:bookmarkStart w:id="320" w:name="_Toc227937876"/>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22</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se tiene recursos para sostenibilidad</w:t>
      </w:r>
      <w:bookmarkEnd w:id="320"/>
    </w:p>
    <w:p w14:paraId="132FE3D2" w14:textId="77777777" w:rsidR="00285B3C" w:rsidRPr="00734D3B" w:rsidRDefault="00285B3C" w:rsidP="00AF5AC9">
      <w:pPr>
        <w:keepNext/>
        <w:ind w:firstLine="0"/>
        <w:contextualSpacing/>
        <w:jc w:val="center"/>
        <w:outlineLvl w:val="0"/>
        <w:rPr>
          <w:b/>
          <w:bCs/>
        </w:rPr>
      </w:pPr>
      <w:bookmarkStart w:id="321" w:name="_Toc224894440"/>
      <w:bookmarkStart w:id="322" w:name="_Toc227075501"/>
      <w:bookmarkStart w:id="323" w:name="_Toc227845375"/>
      <w:bookmarkStart w:id="324" w:name="_Toc227936426"/>
      <w:r w:rsidRPr="00734D3B">
        <w:rPr>
          <w:b/>
          <w:bCs/>
          <w:noProof/>
        </w:rPr>
        <w:drawing>
          <wp:inline distT="0" distB="0" distL="0" distR="0" wp14:anchorId="7D8C597B" wp14:editId="0C51CBD5">
            <wp:extent cx="4572000" cy="2743200"/>
            <wp:effectExtent l="0" t="0" r="0" b="0"/>
            <wp:docPr id="79912737" name="Gráfico 1">
              <a:extLst xmlns:a="http://schemas.openxmlformats.org/drawingml/2006/main">
                <a:ext uri="{FF2B5EF4-FFF2-40B4-BE49-F238E27FC236}">
                  <a16:creationId xmlns:a16="http://schemas.microsoft.com/office/drawing/2014/main" id="{08A3480F-82E5-4035-7780-CE3958785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321"/>
      <w:bookmarkEnd w:id="322"/>
      <w:bookmarkEnd w:id="323"/>
      <w:bookmarkEnd w:id="324"/>
    </w:p>
    <w:p w14:paraId="2F43A3F7"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50F608CE" w14:textId="77777777" w:rsidR="00285B3C" w:rsidRPr="00734D3B" w:rsidRDefault="00285B3C" w:rsidP="00A8783B">
      <w:r w:rsidRPr="00734D3B">
        <w:t xml:space="preserve">La figura anterior evidencia un escenario mixto en cuanto a la disponibilidad de recursos para la sostenibilidad. Mientras un 48% de los encuestados señala que estos recursos se encuentran casi siempre o siempre disponibles, un 53% indica que su acceso es intermitente o limitado. Esta distribución sugiere que, aunque existen esfuerzos para respaldar acciones sostenibles, no se cuenta con una provisión constante de recursos, lo que puede afectar la continuidad y efectividad de dichas iniciativas. </w:t>
      </w:r>
    </w:p>
    <w:p w14:paraId="09BCAB05" w14:textId="77777777" w:rsidR="00285B3C" w:rsidRPr="00734D3B" w:rsidRDefault="00285B3C" w:rsidP="00A8783B">
      <w:pPr>
        <w:rPr>
          <w:b/>
          <w:bCs/>
        </w:rPr>
      </w:pPr>
    </w:p>
    <w:p w14:paraId="25F98CAD" w14:textId="77777777" w:rsidR="00285B3C" w:rsidRPr="00734D3B" w:rsidRDefault="00285B3C" w:rsidP="00285B3C">
      <w:pPr>
        <w:spacing w:after="200"/>
        <w:ind w:firstLine="0"/>
        <w:rPr>
          <w:b/>
          <w:szCs w:val="18"/>
        </w:rPr>
      </w:pPr>
    </w:p>
    <w:p w14:paraId="7196829D" w14:textId="77777777" w:rsidR="00285B3C" w:rsidRPr="00734D3B" w:rsidRDefault="00285B3C" w:rsidP="00285B3C">
      <w:pPr>
        <w:spacing w:after="200"/>
        <w:ind w:firstLine="0"/>
        <w:rPr>
          <w:b/>
          <w:szCs w:val="18"/>
        </w:rPr>
      </w:pPr>
    </w:p>
    <w:p w14:paraId="361DC2F6" w14:textId="77777777" w:rsidR="00285B3C" w:rsidRPr="00734D3B" w:rsidRDefault="00285B3C" w:rsidP="00285B3C">
      <w:pPr>
        <w:spacing w:after="200"/>
        <w:ind w:firstLine="0"/>
        <w:rPr>
          <w:b/>
          <w:szCs w:val="18"/>
        </w:rPr>
      </w:pPr>
    </w:p>
    <w:p w14:paraId="2ECD3002" w14:textId="77777777" w:rsidR="00285B3C" w:rsidRPr="00734D3B" w:rsidRDefault="00285B3C" w:rsidP="00285B3C">
      <w:pPr>
        <w:spacing w:line="240" w:lineRule="auto"/>
        <w:ind w:firstLine="0"/>
        <w:rPr>
          <w:b/>
          <w:szCs w:val="18"/>
        </w:rPr>
      </w:pPr>
      <w:r w:rsidRPr="00734D3B">
        <w:rPr>
          <w:b/>
          <w:szCs w:val="18"/>
        </w:rPr>
        <w:br w:type="page"/>
      </w:r>
    </w:p>
    <w:p w14:paraId="10B79200" w14:textId="77777777" w:rsidR="00285B3C" w:rsidRPr="00734D3B" w:rsidRDefault="00285B3C" w:rsidP="00285B3C">
      <w:pPr>
        <w:spacing w:after="200"/>
        <w:ind w:firstLine="0"/>
        <w:rPr>
          <w:bCs/>
          <w:i/>
          <w:iCs/>
          <w:szCs w:val="18"/>
        </w:rPr>
      </w:pPr>
      <w:bookmarkStart w:id="325" w:name="_Toc227937877"/>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23</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los dueños apoyan la sostenibilidad</w:t>
      </w:r>
      <w:bookmarkEnd w:id="325"/>
    </w:p>
    <w:p w14:paraId="6D68B23C" w14:textId="77777777" w:rsidR="00285B3C" w:rsidRPr="00734D3B" w:rsidRDefault="00285B3C" w:rsidP="00AF5AC9">
      <w:pPr>
        <w:keepNext/>
        <w:ind w:firstLine="0"/>
        <w:contextualSpacing/>
        <w:jc w:val="center"/>
        <w:outlineLvl w:val="0"/>
        <w:rPr>
          <w:b/>
          <w:bCs/>
        </w:rPr>
      </w:pPr>
      <w:bookmarkStart w:id="326" w:name="_Toc224894441"/>
      <w:bookmarkStart w:id="327" w:name="_Toc227075502"/>
      <w:bookmarkStart w:id="328" w:name="_Toc227845376"/>
      <w:bookmarkStart w:id="329" w:name="_Toc227936427"/>
      <w:r w:rsidRPr="00734D3B">
        <w:rPr>
          <w:b/>
          <w:bCs/>
          <w:noProof/>
        </w:rPr>
        <w:drawing>
          <wp:inline distT="0" distB="0" distL="0" distR="0" wp14:anchorId="39055F81" wp14:editId="1E2DA963">
            <wp:extent cx="4572000" cy="2643187"/>
            <wp:effectExtent l="0" t="0" r="0" b="5080"/>
            <wp:docPr id="277852781" name="Gráfico 1">
              <a:extLst xmlns:a="http://schemas.openxmlformats.org/drawingml/2006/main">
                <a:ext uri="{FF2B5EF4-FFF2-40B4-BE49-F238E27FC236}">
                  <a16:creationId xmlns:a16="http://schemas.microsoft.com/office/drawing/2014/main" id="{9BBE71BE-74B5-5FF9-2E01-03692F118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326"/>
      <w:bookmarkEnd w:id="327"/>
      <w:bookmarkEnd w:id="328"/>
      <w:bookmarkEnd w:id="329"/>
    </w:p>
    <w:p w14:paraId="648A9664"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33B85811" w14:textId="77777777" w:rsidR="00285B3C" w:rsidRPr="00734D3B" w:rsidRDefault="00285B3C" w:rsidP="00A8783B">
      <w:r w:rsidRPr="00734D3B">
        <w:t xml:space="preserve">De la figura anterior se muestra una percepción mayormente favorable respecto al apoyo de los dueños hacia la sostenibilidad. Un 58% de los participantes considera que dicho apoyo se presenta casi siempre o siempre, lo que refleja un compromiso significativo desde la propiedad. No obstante, un 42% señala que el respaldo ocurre a veces o rara vez, lo que indica que el apoyo no es completamente constante. En conjunto, los datos muestran avances importantes, aunque persisten oportunidades para fortalecer el respaldo sostenido a las iniciativas de sostenibilidad. </w:t>
      </w:r>
    </w:p>
    <w:p w14:paraId="42174091" w14:textId="77777777" w:rsidR="00285B3C" w:rsidRPr="00734D3B" w:rsidRDefault="00285B3C" w:rsidP="00285B3C">
      <w:pPr>
        <w:keepNext/>
        <w:ind w:firstLine="0"/>
        <w:contextualSpacing/>
        <w:outlineLvl w:val="0"/>
        <w:rPr>
          <w:b/>
          <w:bCs/>
        </w:rPr>
      </w:pPr>
    </w:p>
    <w:p w14:paraId="1114E3F4" w14:textId="77777777" w:rsidR="00285B3C" w:rsidRPr="00734D3B" w:rsidRDefault="00285B3C" w:rsidP="00285B3C">
      <w:pPr>
        <w:spacing w:line="240" w:lineRule="auto"/>
        <w:ind w:firstLine="0"/>
        <w:rPr>
          <w:b/>
          <w:bCs/>
        </w:rPr>
      </w:pPr>
      <w:r w:rsidRPr="00734D3B">
        <w:br w:type="page"/>
      </w:r>
    </w:p>
    <w:p w14:paraId="6979C2FB" w14:textId="5F34325B" w:rsidR="00285B3C" w:rsidRPr="00734D3B" w:rsidRDefault="00285B3C" w:rsidP="00285B3C">
      <w:pPr>
        <w:spacing w:after="200"/>
        <w:ind w:firstLine="0"/>
        <w:rPr>
          <w:bCs/>
          <w:i/>
          <w:iCs/>
          <w:szCs w:val="18"/>
        </w:rPr>
      </w:pPr>
      <w:bookmarkStart w:id="330" w:name="_Toc227937878"/>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1145C" w:rsidRPr="00734D3B">
        <w:rPr>
          <w:b/>
          <w:noProof/>
          <w:szCs w:val="18"/>
        </w:rPr>
        <w:t>24</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los subcontratistas cumplen sostenibilidad.</w:t>
      </w:r>
      <w:bookmarkEnd w:id="330"/>
    </w:p>
    <w:p w14:paraId="7F3A11FD" w14:textId="77777777" w:rsidR="00285B3C" w:rsidRPr="00734D3B" w:rsidRDefault="00285B3C" w:rsidP="00AF5AC9">
      <w:pPr>
        <w:keepNext/>
        <w:ind w:firstLine="0"/>
        <w:contextualSpacing/>
        <w:jc w:val="center"/>
        <w:outlineLvl w:val="0"/>
        <w:rPr>
          <w:b/>
          <w:bCs/>
        </w:rPr>
      </w:pPr>
      <w:bookmarkStart w:id="331" w:name="_Toc224894442"/>
      <w:bookmarkStart w:id="332" w:name="_Toc227075503"/>
      <w:bookmarkStart w:id="333" w:name="_Toc227845377"/>
      <w:bookmarkStart w:id="334" w:name="_Toc227936428"/>
      <w:r w:rsidRPr="00734D3B">
        <w:rPr>
          <w:b/>
          <w:bCs/>
          <w:noProof/>
        </w:rPr>
        <w:drawing>
          <wp:inline distT="0" distB="0" distL="0" distR="0" wp14:anchorId="58C8066B" wp14:editId="0CAB0D58">
            <wp:extent cx="4572000" cy="2743200"/>
            <wp:effectExtent l="0" t="0" r="0" b="0"/>
            <wp:docPr id="706891986" name="Gráfico 1">
              <a:extLst xmlns:a="http://schemas.openxmlformats.org/drawingml/2006/main">
                <a:ext uri="{FF2B5EF4-FFF2-40B4-BE49-F238E27FC236}">
                  <a16:creationId xmlns:a16="http://schemas.microsoft.com/office/drawing/2014/main" id="{830D520A-46FA-E699-9C88-258ED051B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bookmarkEnd w:id="331"/>
      <w:bookmarkEnd w:id="332"/>
      <w:bookmarkEnd w:id="333"/>
      <w:bookmarkEnd w:id="334"/>
    </w:p>
    <w:p w14:paraId="71D10BF2"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BC438A0" w14:textId="7BBA7873" w:rsidR="00285B3C" w:rsidRPr="00734D3B" w:rsidRDefault="00285B3C" w:rsidP="00A8783B">
      <w:r w:rsidRPr="00734D3B">
        <w:t xml:space="preserve">En relación con si los subcontratistas cumplen sostenibilidad, se tiene que un 52% de los participantes indica que los subcontratistas casi siempre o siempre cumplen con criterios de sostenibilidad, lo que refleja avances en su aplicación. Sin embargo, un 47% señala que el cumplimiento ocurre a veces, rara vez o nunca, evidenciando inconsistencias en la adopción de </w:t>
      </w:r>
      <w:r w:rsidR="009063DD" w:rsidRPr="00734D3B">
        <w:t>prácticas</w:t>
      </w:r>
      <w:r w:rsidRPr="00734D3B">
        <w:t xml:space="preserve"> sostenibles. En conjunto, los datos sugieren la necesidad de fortalecer los mecanismos de control, supervisión y exigencia contractual para asegurar un cumplimiento </w:t>
      </w:r>
      <w:r w:rsidR="009063DD" w:rsidRPr="00734D3B">
        <w:t>más</w:t>
      </w:r>
      <w:r w:rsidRPr="00734D3B">
        <w:t xml:space="preserve"> uniforme. </w:t>
      </w:r>
    </w:p>
    <w:p w14:paraId="31BD39C1" w14:textId="77777777" w:rsidR="00285B3C" w:rsidRPr="00734D3B" w:rsidRDefault="00285B3C" w:rsidP="00A8783B">
      <w:pPr>
        <w:rPr>
          <w:b/>
          <w:bCs/>
        </w:rPr>
      </w:pPr>
    </w:p>
    <w:p w14:paraId="435D5CAE" w14:textId="77777777" w:rsidR="00285B3C" w:rsidRPr="00734D3B" w:rsidRDefault="00285B3C" w:rsidP="00285B3C">
      <w:pPr>
        <w:keepNext/>
        <w:ind w:firstLine="0"/>
        <w:contextualSpacing/>
        <w:outlineLvl w:val="0"/>
        <w:rPr>
          <w:b/>
          <w:bCs/>
        </w:rPr>
      </w:pPr>
    </w:p>
    <w:p w14:paraId="6FB9688F" w14:textId="77777777" w:rsidR="00285B3C" w:rsidRPr="00734D3B" w:rsidRDefault="00285B3C" w:rsidP="00285B3C">
      <w:pPr>
        <w:keepNext/>
        <w:ind w:firstLine="0"/>
        <w:contextualSpacing/>
        <w:outlineLvl w:val="0"/>
        <w:rPr>
          <w:b/>
          <w:bCs/>
        </w:rPr>
      </w:pPr>
    </w:p>
    <w:p w14:paraId="36ED1EA0" w14:textId="77777777" w:rsidR="00285B3C" w:rsidRPr="00734D3B" w:rsidRDefault="00285B3C" w:rsidP="00285B3C">
      <w:pPr>
        <w:spacing w:line="240" w:lineRule="auto"/>
        <w:ind w:firstLine="0"/>
        <w:rPr>
          <w:b/>
          <w:bCs/>
        </w:rPr>
      </w:pPr>
      <w:r w:rsidRPr="00734D3B">
        <w:br w:type="page"/>
      </w:r>
    </w:p>
    <w:p w14:paraId="41BCB086" w14:textId="4674D6FC" w:rsidR="00285B3C" w:rsidRPr="00734D3B" w:rsidRDefault="00285B3C" w:rsidP="00285B3C">
      <w:pPr>
        <w:spacing w:after="200"/>
        <w:ind w:firstLine="0"/>
        <w:rPr>
          <w:bCs/>
          <w:i/>
          <w:iCs/>
          <w:szCs w:val="18"/>
        </w:rPr>
      </w:pPr>
      <w:bookmarkStart w:id="335" w:name="_Toc227937879"/>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1145C" w:rsidRPr="00734D3B">
        <w:rPr>
          <w:b/>
          <w:noProof/>
          <w:szCs w:val="18"/>
        </w:rPr>
        <w:t>25</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hay supervisión ambiental</w:t>
      </w:r>
      <w:bookmarkEnd w:id="335"/>
    </w:p>
    <w:p w14:paraId="7ECCDAB2" w14:textId="77777777" w:rsidR="00285B3C" w:rsidRPr="00734D3B" w:rsidRDefault="00285B3C" w:rsidP="00AF5AC9">
      <w:pPr>
        <w:spacing w:after="200"/>
        <w:ind w:firstLine="0"/>
        <w:jc w:val="center"/>
        <w:rPr>
          <w:bCs/>
          <w:i/>
          <w:iCs/>
          <w:szCs w:val="18"/>
        </w:rPr>
      </w:pPr>
      <w:r w:rsidRPr="00734D3B">
        <w:rPr>
          <w:noProof/>
        </w:rPr>
        <w:drawing>
          <wp:inline distT="0" distB="0" distL="0" distR="0" wp14:anchorId="192B8D9D" wp14:editId="36E46CB1">
            <wp:extent cx="4572000" cy="2743200"/>
            <wp:effectExtent l="0" t="0" r="0" b="0"/>
            <wp:docPr id="1332043394" name="Gráfico 1">
              <a:extLst xmlns:a="http://schemas.openxmlformats.org/drawingml/2006/main">
                <a:ext uri="{FF2B5EF4-FFF2-40B4-BE49-F238E27FC236}">
                  <a16:creationId xmlns:a16="http://schemas.microsoft.com/office/drawing/2014/main" id="{3BBB26B7-FD5C-6EE4-DE60-7D682CC8A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EECC96"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4B2B5BF3" w14:textId="6A726E8E" w:rsidR="00285B3C" w:rsidRPr="00734D3B" w:rsidRDefault="00285B3C" w:rsidP="00285B3C">
      <w:pPr>
        <w:spacing w:after="200"/>
        <w:ind w:firstLine="708"/>
        <w:rPr>
          <w:bCs/>
          <w:szCs w:val="18"/>
        </w:rPr>
      </w:pPr>
      <w:r w:rsidRPr="00734D3B">
        <w:rPr>
          <w:bCs/>
          <w:szCs w:val="18"/>
        </w:rPr>
        <w:t xml:space="preserve">En cuanto a la supervisión ambiental la figura anterior describe que es irregular, solo un 37% de los participantes indica que esta se realiza casi siempre o siempre, lo que sugiere una aplicación limitada. Por otro lado, un 63% señala que la supervisión ocurre a veces, rara vez o nunca, evidenciando debilidades en el seguimiento ambiental. En síntesis, los datos muestran la necesidad de fortalecer la supervisión ambiental para garantizar el cumplimiento sistemático de las </w:t>
      </w:r>
      <w:r w:rsidR="009063DD" w:rsidRPr="00734D3B">
        <w:rPr>
          <w:bCs/>
          <w:szCs w:val="18"/>
        </w:rPr>
        <w:t>prácticas</w:t>
      </w:r>
      <w:r w:rsidRPr="00734D3B">
        <w:rPr>
          <w:bCs/>
          <w:szCs w:val="18"/>
        </w:rPr>
        <w:t xml:space="preserve"> de sostenibilidad. </w:t>
      </w:r>
    </w:p>
    <w:p w14:paraId="597361BA" w14:textId="77777777" w:rsidR="00285B3C" w:rsidRPr="00734D3B" w:rsidRDefault="00285B3C" w:rsidP="00285B3C">
      <w:pPr>
        <w:spacing w:line="240" w:lineRule="auto"/>
        <w:ind w:firstLine="0"/>
        <w:rPr>
          <w:b/>
          <w:bCs/>
        </w:rPr>
      </w:pPr>
      <w:r w:rsidRPr="00734D3B">
        <w:br w:type="page"/>
      </w:r>
    </w:p>
    <w:p w14:paraId="3A78FE5A" w14:textId="7E1B0A6D" w:rsidR="00285B3C" w:rsidRPr="00734D3B" w:rsidRDefault="00285B3C" w:rsidP="00285B3C">
      <w:pPr>
        <w:spacing w:after="200"/>
        <w:ind w:firstLine="0"/>
        <w:rPr>
          <w:bCs/>
          <w:i/>
          <w:iCs/>
          <w:szCs w:val="18"/>
        </w:rPr>
      </w:pPr>
      <w:bookmarkStart w:id="336" w:name="_Toc227937880"/>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1145C" w:rsidRPr="00734D3B">
        <w:rPr>
          <w:b/>
          <w:noProof/>
          <w:szCs w:val="18"/>
        </w:rPr>
        <w:t>26</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hay requisitos de sostenibilidad</w:t>
      </w:r>
      <w:bookmarkEnd w:id="336"/>
    </w:p>
    <w:p w14:paraId="4EC29E1B" w14:textId="77777777" w:rsidR="00285B3C" w:rsidRPr="00734D3B" w:rsidRDefault="00285B3C" w:rsidP="00AF5AC9">
      <w:pPr>
        <w:spacing w:after="200"/>
        <w:ind w:firstLine="0"/>
        <w:jc w:val="center"/>
        <w:rPr>
          <w:bCs/>
          <w:i/>
          <w:iCs/>
          <w:szCs w:val="18"/>
        </w:rPr>
      </w:pPr>
      <w:r w:rsidRPr="00734D3B">
        <w:rPr>
          <w:noProof/>
        </w:rPr>
        <w:drawing>
          <wp:inline distT="0" distB="0" distL="0" distR="0" wp14:anchorId="742AA607" wp14:editId="233051AE">
            <wp:extent cx="4572000" cy="2743200"/>
            <wp:effectExtent l="0" t="0" r="0" b="0"/>
            <wp:docPr id="1684914305" name="Gráfico 1">
              <a:extLst xmlns:a="http://schemas.openxmlformats.org/drawingml/2006/main">
                <a:ext uri="{FF2B5EF4-FFF2-40B4-BE49-F238E27FC236}">
                  <a16:creationId xmlns:a16="http://schemas.microsoft.com/office/drawing/2014/main" id="{633B437C-F664-F943-7777-53A4B2D6B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B3862BA"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5D304925" w14:textId="10E52757" w:rsidR="00285B3C" w:rsidRPr="00734D3B" w:rsidRDefault="00285B3C" w:rsidP="00285B3C">
      <w:pPr>
        <w:spacing w:after="200"/>
        <w:ind w:firstLine="708"/>
        <w:rPr>
          <w:bCs/>
          <w:szCs w:val="18"/>
        </w:rPr>
      </w:pPr>
      <w:r w:rsidRPr="00734D3B">
        <w:rPr>
          <w:bCs/>
          <w:szCs w:val="18"/>
        </w:rPr>
        <w:t>En cuanto a la definición de requisitos de sostenibilidad se tiene que no es plenamente constante, mientras un 47% de los encuestados indica que estos se establecen con regularidad</w:t>
      </w:r>
      <w:r w:rsidR="00971B2F" w:rsidRPr="00734D3B">
        <w:rPr>
          <w:bCs/>
          <w:szCs w:val="18"/>
        </w:rPr>
        <w:t xml:space="preserve"> </w:t>
      </w:r>
      <w:r w:rsidRPr="00734D3B">
        <w:rPr>
          <w:bCs/>
          <w:szCs w:val="18"/>
        </w:rPr>
        <w:t xml:space="preserve">(casi siempre o siempre) un 53% señala que su aplicación es esporádica o inexistente. Esta situación evidencia que, aunque existen esfuerzos por incorporar criterios de sostenibilidad, </w:t>
      </w:r>
      <w:r w:rsidR="009063DD" w:rsidRPr="00734D3B">
        <w:rPr>
          <w:bCs/>
          <w:szCs w:val="18"/>
        </w:rPr>
        <w:t>aún</w:t>
      </w:r>
      <w:r w:rsidRPr="00734D3B">
        <w:rPr>
          <w:bCs/>
          <w:szCs w:val="18"/>
        </w:rPr>
        <w:t xml:space="preserve"> falta estandarizar y fortalecer su exigencia dentro de los procesos. </w:t>
      </w:r>
    </w:p>
    <w:p w14:paraId="2072E689" w14:textId="77777777" w:rsidR="00285B3C" w:rsidRPr="00734D3B" w:rsidRDefault="00285B3C" w:rsidP="00285B3C">
      <w:pPr>
        <w:spacing w:line="240" w:lineRule="auto"/>
        <w:ind w:firstLine="0"/>
        <w:rPr>
          <w:b/>
          <w:szCs w:val="18"/>
        </w:rPr>
      </w:pPr>
      <w:r w:rsidRPr="00734D3B">
        <w:rPr>
          <w:b/>
          <w:szCs w:val="18"/>
        </w:rPr>
        <w:br w:type="page"/>
      </w:r>
    </w:p>
    <w:p w14:paraId="7302E44B" w14:textId="325D5F2A" w:rsidR="00285B3C" w:rsidRPr="00734D3B" w:rsidRDefault="00285B3C" w:rsidP="00285B3C">
      <w:pPr>
        <w:spacing w:after="200"/>
        <w:ind w:firstLine="0"/>
        <w:rPr>
          <w:bCs/>
          <w:i/>
          <w:iCs/>
          <w:szCs w:val="18"/>
        </w:rPr>
      </w:pPr>
      <w:bookmarkStart w:id="337" w:name="_Toc227937881"/>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1145C" w:rsidRPr="00734D3B">
        <w:rPr>
          <w:b/>
          <w:noProof/>
          <w:szCs w:val="18"/>
        </w:rPr>
        <w:t>27</w:t>
      </w:r>
      <w:r w:rsidRPr="00734D3B">
        <w:rPr>
          <w:b/>
          <w:noProof/>
          <w:szCs w:val="18"/>
        </w:rPr>
        <w:fldChar w:fldCharType="end"/>
      </w:r>
      <w:r w:rsidRPr="00734D3B">
        <w:rPr>
          <w:b/>
          <w:szCs w:val="18"/>
        </w:rPr>
        <w:t xml:space="preserve"> </w:t>
      </w:r>
      <w:r w:rsidRPr="00734D3B">
        <w:rPr>
          <w:b/>
          <w:szCs w:val="18"/>
        </w:rPr>
        <w:br/>
      </w:r>
      <w:r w:rsidRPr="00734D3B">
        <w:rPr>
          <w:bCs/>
          <w:i/>
          <w:iCs/>
          <w:szCs w:val="18"/>
        </w:rPr>
        <w:t>Opinión si se da seguimiento a desempeño ambiental</w:t>
      </w:r>
      <w:bookmarkEnd w:id="337"/>
    </w:p>
    <w:p w14:paraId="50FCF8DF" w14:textId="77777777" w:rsidR="00285B3C" w:rsidRPr="00734D3B" w:rsidRDefault="00285B3C" w:rsidP="00AF5AC9">
      <w:pPr>
        <w:keepNext/>
        <w:ind w:firstLine="0"/>
        <w:contextualSpacing/>
        <w:jc w:val="center"/>
        <w:outlineLvl w:val="0"/>
        <w:rPr>
          <w:b/>
          <w:bCs/>
        </w:rPr>
      </w:pPr>
      <w:bookmarkStart w:id="338" w:name="_Toc224894443"/>
      <w:bookmarkStart w:id="339" w:name="_Toc227075504"/>
      <w:bookmarkStart w:id="340" w:name="_Toc227845378"/>
      <w:bookmarkStart w:id="341" w:name="_Toc227936429"/>
      <w:r w:rsidRPr="00734D3B">
        <w:rPr>
          <w:b/>
          <w:bCs/>
          <w:noProof/>
        </w:rPr>
        <w:drawing>
          <wp:inline distT="0" distB="0" distL="0" distR="0" wp14:anchorId="0FBA52DC" wp14:editId="7A0982CE">
            <wp:extent cx="4572000" cy="2743200"/>
            <wp:effectExtent l="0" t="0" r="0" b="0"/>
            <wp:docPr id="1337591730" name="Gráfico 1">
              <a:extLst xmlns:a="http://schemas.openxmlformats.org/drawingml/2006/main">
                <a:ext uri="{FF2B5EF4-FFF2-40B4-BE49-F238E27FC236}">
                  <a16:creationId xmlns:a16="http://schemas.microsoft.com/office/drawing/2014/main" id="{EF4C2A85-025D-33E3-3DC2-DC8F0FB90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bookmarkEnd w:id="338"/>
      <w:bookmarkEnd w:id="339"/>
      <w:bookmarkEnd w:id="340"/>
      <w:bookmarkEnd w:id="341"/>
    </w:p>
    <w:p w14:paraId="13E464F2"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3C015AE7" w14:textId="77777777" w:rsidR="00285B3C" w:rsidRPr="00734D3B" w:rsidRDefault="00285B3C" w:rsidP="00A8783B">
      <w:r w:rsidRPr="00734D3B">
        <w:t xml:space="preserve">Lo anterior muestra que el seguimiento al desempeño ambiental es limitado. Un 53% de los participantes señala que este nunca o rara vez se realiza, lo que refleja una baja sistematización del control ambiental. Por otro lado, un 37% indica que el seguimiento se efectúa casi siempre o siempre, mientras que un 11% considera que ocurre a veces. En conjunto, los datos muestran la necesidad de fortalecer los mecanismos de monitoreo y evaluación del desempeño ambiental para mejorar la gestión sostenible. </w:t>
      </w:r>
    </w:p>
    <w:p w14:paraId="1B09123B" w14:textId="77777777" w:rsidR="00285B3C" w:rsidRPr="00734D3B" w:rsidRDefault="00285B3C" w:rsidP="00A8783B">
      <w:pPr>
        <w:rPr>
          <w:b/>
          <w:bCs/>
        </w:rPr>
      </w:pPr>
    </w:p>
    <w:p w14:paraId="460D31C2" w14:textId="77777777" w:rsidR="00285B3C" w:rsidRPr="00734D3B" w:rsidRDefault="00285B3C" w:rsidP="00285B3C">
      <w:pPr>
        <w:spacing w:line="240" w:lineRule="auto"/>
        <w:ind w:firstLine="0"/>
        <w:rPr>
          <w:b/>
          <w:bCs/>
        </w:rPr>
      </w:pPr>
      <w:r w:rsidRPr="00734D3B">
        <w:br w:type="page"/>
      </w:r>
    </w:p>
    <w:p w14:paraId="033AAE88" w14:textId="07E06D4B" w:rsidR="00285B3C" w:rsidRPr="00734D3B" w:rsidRDefault="00285B3C" w:rsidP="00285B3C">
      <w:pPr>
        <w:spacing w:after="200"/>
        <w:ind w:firstLine="0"/>
        <w:rPr>
          <w:bCs/>
          <w:i/>
          <w:iCs/>
          <w:szCs w:val="18"/>
        </w:rPr>
      </w:pPr>
      <w:bookmarkStart w:id="342" w:name="_Toc227937882"/>
      <w:r w:rsidRPr="00734D3B">
        <w:rPr>
          <w:b/>
          <w:szCs w:val="18"/>
        </w:rPr>
        <w:lastRenderedPageBreak/>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1145C" w:rsidRPr="00734D3B">
        <w:rPr>
          <w:b/>
          <w:noProof/>
          <w:szCs w:val="18"/>
        </w:rPr>
        <w:t>28</w:t>
      </w:r>
      <w:r w:rsidRPr="00734D3B">
        <w:rPr>
          <w:b/>
          <w:noProof/>
          <w:szCs w:val="18"/>
        </w:rPr>
        <w:fldChar w:fldCharType="end"/>
      </w:r>
      <w:r w:rsidRPr="00734D3B">
        <w:rPr>
          <w:b/>
          <w:szCs w:val="18"/>
        </w:rPr>
        <w:t xml:space="preserve"> </w:t>
      </w:r>
      <w:r w:rsidRPr="00734D3B">
        <w:rPr>
          <w:b/>
          <w:szCs w:val="18"/>
        </w:rPr>
        <w:br/>
      </w:r>
      <w:r w:rsidRPr="00734D3B">
        <w:rPr>
          <w:bCs/>
          <w:i/>
          <w:iCs/>
          <w:szCs w:val="18"/>
        </w:rPr>
        <w:t xml:space="preserve">Opinión si una guía </w:t>
      </w:r>
      <w:proofErr w:type="gramStart"/>
      <w:r w:rsidRPr="00734D3B">
        <w:rPr>
          <w:bCs/>
          <w:i/>
          <w:iCs/>
          <w:szCs w:val="18"/>
        </w:rPr>
        <w:t>ayudaría</w:t>
      </w:r>
      <w:proofErr w:type="gramEnd"/>
      <w:r w:rsidRPr="00734D3B">
        <w:rPr>
          <w:bCs/>
          <w:i/>
          <w:iCs/>
          <w:szCs w:val="18"/>
        </w:rPr>
        <w:t xml:space="preserve"> a mejorar el manejo de residuos.</w:t>
      </w:r>
      <w:bookmarkEnd w:id="342"/>
    </w:p>
    <w:p w14:paraId="7D463CB8" w14:textId="77777777" w:rsidR="00285B3C" w:rsidRPr="00734D3B" w:rsidRDefault="00285B3C" w:rsidP="00AF5AC9">
      <w:pPr>
        <w:keepNext/>
        <w:ind w:firstLine="0"/>
        <w:contextualSpacing/>
        <w:jc w:val="center"/>
        <w:outlineLvl w:val="0"/>
        <w:rPr>
          <w:b/>
          <w:bCs/>
          <w:noProof/>
        </w:rPr>
      </w:pPr>
      <w:bookmarkStart w:id="343" w:name="_Toc224894444"/>
      <w:bookmarkStart w:id="344" w:name="_Toc227075505"/>
      <w:bookmarkStart w:id="345" w:name="_Toc227845379"/>
      <w:bookmarkStart w:id="346" w:name="_Toc227936430"/>
      <w:r w:rsidRPr="00734D3B">
        <w:rPr>
          <w:b/>
          <w:bCs/>
          <w:noProof/>
        </w:rPr>
        <w:drawing>
          <wp:inline distT="0" distB="0" distL="0" distR="0" wp14:anchorId="59EC2493" wp14:editId="53441276">
            <wp:extent cx="4572000" cy="2743200"/>
            <wp:effectExtent l="0" t="0" r="0" b="0"/>
            <wp:docPr id="839403851" name="Gráfico 1">
              <a:extLst xmlns:a="http://schemas.openxmlformats.org/drawingml/2006/main">
                <a:ext uri="{FF2B5EF4-FFF2-40B4-BE49-F238E27FC236}">
                  <a16:creationId xmlns:a16="http://schemas.microsoft.com/office/drawing/2014/main" id="{657C0A4F-B8F2-ED21-6D78-228F3EF09A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End w:id="343"/>
      <w:bookmarkEnd w:id="344"/>
      <w:bookmarkEnd w:id="345"/>
      <w:bookmarkEnd w:id="346"/>
    </w:p>
    <w:p w14:paraId="0A944A39" w14:textId="77777777" w:rsidR="00285B3C" w:rsidRPr="00734D3B" w:rsidRDefault="00285B3C" w:rsidP="00285B3C">
      <w:r w:rsidRPr="00734D3B">
        <w:rPr>
          <w:rFonts w:cs="Arial"/>
          <w:i/>
          <w:iCs/>
          <w:szCs w:val="22"/>
        </w:rPr>
        <w:t>Nota</w:t>
      </w:r>
      <w:r w:rsidRPr="00734D3B">
        <w:rPr>
          <w:rFonts w:cs="Arial"/>
          <w:szCs w:val="22"/>
        </w:rPr>
        <w:t xml:space="preserve">: </w:t>
      </w:r>
      <w:r w:rsidRPr="00734D3B">
        <w:rPr>
          <w:i/>
          <w:iCs/>
          <w:szCs w:val="22"/>
        </w:rPr>
        <w:t>Elaboración propia</w:t>
      </w:r>
    </w:p>
    <w:p w14:paraId="75F01BFC" w14:textId="4F0BEC5D" w:rsidR="00285B3C" w:rsidRPr="00734D3B" w:rsidRDefault="00285B3C" w:rsidP="00A8783B">
      <w:r w:rsidRPr="00734D3B">
        <w:t>En relación con la aceptación de la utilidad de una guía para mejorar el manejo de residuos, se tiene que el 94% de los participantes considera que una guía casi siempre o siempre contribuiría a optimizar estas prácticas, lo que evidencia una clara necesidad de orientación y estandarización. Solo un 5% opina que su aporte ser</w:t>
      </w:r>
      <w:r w:rsidR="00971B2F" w:rsidRPr="00734D3B">
        <w:t>í</w:t>
      </w:r>
      <w:r w:rsidRPr="00734D3B">
        <w:t xml:space="preserve">a a veces, lo que refuerza la percepción general de que contar con una guía </w:t>
      </w:r>
      <w:r w:rsidR="00EC3B7F" w:rsidRPr="00734D3B">
        <w:t>sería</w:t>
      </w:r>
      <w:r w:rsidRPr="00734D3B">
        <w:t xml:space="preserve"> una herramienta clave para fortalecer la gestión de residuos. </w:t>
      </w:r>
    </w:p>
    <w:p w14:paraId="79BD2CA4" w14:textId="77777777" w:rsidR="0071145C" w:rsidRPr="00734D3B" w:rsidRDefault="0071145C" w:rsidP="00A8783B"/>
    <w:p w14:paraId="7D48E71D" w14:textId="70D744EF" w:rsidR="0071145C" w:rsidRPr="00734D3B" w:rsidRDefault="0071145C">
      <w:pPr>
        <w:spacing w:line="240" w:lineRule="auto"/>
        <w:ind w:firstLine="0"/>
      </w:pPr>
      <w:r w:rsidRPr="00734D3B">
        <w:br w:type="page"/>
      </w:r>
    </w:p>
    <w:p w14:paraId="0D7C7957" w14:textId="32081227" w:rsidR="0071145C" w:rsidRPr="00734D3B" w:rsidRDefault="008123A5" w:rsidP="00A8783B">
      <w:r w:rsidRPr="00734D3B">
        <w:lastRenderedPageBreak/>
        <w:t xml:space="preserve">A </w:t>
      </w:r>
      <w:proofErr w:type="gramStart"/>
      <w:r w:rsidRPr="00734D3B">
        <w:t>continuación</w:t>
      </w:r>
      <w:proofErr w:type="gramEnd"/>
      <w:r w:rsidRPr="00734D3B">
        <w:t xml:space="preserve"> se muestra una tabla resumen con l</w:t>
      </w:r>
      <w:r w:rsidR="00971B2F" w:rsidRPr="00734D3B">
        <w:t>o</w:t>
      </w:r>
      <w:r w:rsidRPr="00734D3B">
        <w:t xml:space="preserve">s principales resultados obtenidos en la encuesta: </w:t>
      </w:r>
    </w:p>
    <w:p w14:paraId="223D3D82" w14:textId="019892B0" w:rsidR="00722B7C" w:rsidRPr="00734D3B" w:rsidRDefault="00722B7C" w:rsidP="009951F9">
      <w:pPr>
        <w:spacing w:after="200"/>
        <w:ind w:firstLine="0"/>
        <w:rPr>
          <w:b/>
          <w:szCs w:val="18"/>
        </w:rPr>
      </w:pPr>
      <w:bookmarkStart w:id="347" w:name="_Toc228342088"/>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8</w:t>
      </w:r>
      <w:r w:rsidRPr="00734D3B">
        <w:rPr>
          <w:b/>
          <w:noProof/>
          <w:szCs w:val="18"/>
        </w:rPr>
        <w:fldChar w:fldCharType="end"/>
      </w:r>
      <w:r w:rsidRPr="00734D3B">
        <w:rPr>
          <w:b/>
          <w:szCs w:val="18"/>
        </w:rPr>
        <w:t xml:space="preserve"> </w:t>
      </w:r>
      <w:r w:rsidRPr="00734D3B">
        <w:rPr>
          <w:b/>
          <w:szCs w:val="18"/>
        </w:rPr>
        <w:br/>
      </w:r>
      <w:r w:rsidR="005F4311" w:rsidRPr="00734D3B">
        <w:rPr>
          <w:bCs/>
          <w:i/>
          <w:iCs/>
          <w:szCs w:val="18"/>
        </w:rPr>
        <w:t>Resumen de resultados</w:t>
      </w:r>
      <w:bookmarkEnd w:id="347"/>
    </w:p>
    <w:tbl>
      <w:tblPr>
        <w:tblStyle w:val="PlainTable2"/>
        <w:tblW w:w="0" w:type="auto"/>
        <w:tblLook w:val="04A0" w:firstRow="1" w:lastRow="0" w:firstColumn="1" w:lastColumn="0" w:noHBand="0" w:noVBand="1"/>
      </w:tblPr>
      <w:tblGrid>
        <w:gridCol w:w="2291"/>
        <w:gridCol w:w="3148"/>
        <w:gridCol w:w="3923"/>
      </w:tblGrid>
      <w:tr w:rsidR="00734D3B" w:rsidRPr="00734D3B" w14:paraId="2B7A3656" w14:textId="77777777" w:rsidTr="00303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1E34B1" w14:textId="77777777" w:rsidR="008123A5" w:rsidRPr="00734D3B" w:rsidRDefault="008123A5" w:rsidP="008123A5">
            <w:pPr>
              <w:spacing w:line="240" w:lineRule="auto"/>
              <w:ind w:firstLine="0"/>
              <w:jc w:val="center"/>
              <w:rPr>
                <w:rFonts w:cs="Arial"/>
                <w:b w:val="0"/>
                <w:bCs w:val="0"/>
                <w:szCs w:val="22"/>
                <w:lang w:eastAsia="en-US"/>
              </w:rPr>
            </w:pPr>
            <w:r w:rsidRPr="00734D3B">
              <w:rPr>
                <w:rFonts w:cs="Arial"/>
                <w:szCs w:val="22"/>
                <w:lang w:eastAsia="en-US"/>
              </w:rPr>
              <w:t>Dimensión evaluada</w:t>
            </w:r>
          </w:p>
        </w:tc>
        <w:tc>
          <w:tcPr>
            <w:tcW w:w="0" w:type="auto"/>
            <w:hideMark/>
          </w:tcPr>
          <w:p w14:paraId="70D82544" w14:textId="77777777" w:rsidR="008123A5" w:rsidRPr="00734D3B" w:rsidRDefault="008123A5" w:rsidP="008123A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szCs w:val="22"/>
                <w:lang w:eastAsia="en-US"/>
              </w:rPr>
              <w:t>Hallazgo principal</w:t>
            </w:r>
          </w:p>
        </w:tc>
        <w:tc>
          <w:tcPr>
            <w:tcW w:w="0" w:type="auto"/>
            <w:hideMark/>
          </w:tcPr>
          <w:p w14:paraId="2F1AA009" w14:textId="77777777" w:rsidR="008123A5" w:rsidRPr="00734D3B" w:rsidRDefault="008123A5" w:rsidP="008123A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szCs w:val="22"/>
                <w:lang w:eastAsia="en-US"/>
              </w:rPr>
              <w:t>Interpretación general</w:t>
            </w:r>
          </w:p>
        </w:tc>
      </w:tr>
      <w:tr w:rsidR="00734D3B" w:rsidRPr="00734D3B" w14:paraId="76DF5EDC"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835C82"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Tipo de empresa</w:t>
            </w:r>
          </w:p>
        </w:tc>
        <w:tc>
          <w:tcPr>
            <w:tcW w:w="0" w:type="auto"/>
            <w:hideMark/>
          </w:tcPr>
          <w:p w14:paraId="6C80A3D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58% contratistas eléctricos; baja participación de contratistas generales (5%) y otros (11%).</w:t>
            </w:r>
          </w:p>
        </w:tc>
        <w:tc>
          <w:tcPr>
            <w:tcW w:w="0" w:type="auto"/>
            <w:hideMark/>
          </w:tcPr>
          <w:p w14:paraId="1E1A6D49"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La muestra está concentrada en empresas altamente técnicas, lo que aporta especialización, pero limita la diversidad de enfoques.</w:t>
            </w:r>
          </w:p>
        </w:tc>
      </w:tr>
      <w:tr w:rsidR="00734D3B" w:rsidRPr="00734D3B" w14:paraId="160BAA53"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724719DA"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Rol en el proyecto</w:t>
            </w:r>
          </w:p>
        </w:tc>
        <w:tc>
          <w:tcPr>
            <w:tcW w:w="0" w:type="auto"/>
            <w:hideMark/>
          </w:tcPr>
          <w:p w14:paraId="2CB7AAD2"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53% en funciones administrativas; 16% supervisores y 16% técnicos de campo.</w:t>
            </w:r>
          </w:p>
        </w:tc>
        <w:tc>
          <w:tcPr>
            <w:tcW w:w="0" w:type="auto"/>
            <w:hideMark/>
          </w:tcPr>
          <w:p w14:paraId="1D21000D"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Predomina la visión estratégica y de gestión sobre la operativa.</w:t>
            </w:r>
          </w:p>
        </w:tc>
      </w:tr>
      <w:tr w:rsidR="00734D3B" w:rsidRPr="00734D3B" w14:paraId="6423C8B4"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91DD16"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Experiencia</w:t>
            </w:r>
          </w:p>
        </w:tc>
        <w:tc>
          <w:tcPr>
            <w:tcW w:w="0" w:type="auto"/>
            <w:hideMark/>
          </w:tcPr>
          <w:p w14:paraId="6EDB71E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53% con más de 10 años de experiencia.</w:t>
            </w:r>
          </w:p>
        </w:tc>
        <w:tc>
          <w:tcPr>
            <w:tcW w:w="0" w:type="auto"/>
            <w:hideMark/>
          </w:tcPr>
          <w:p w14:paraId="73AD8DBF"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La información recopilada posee solidez técnica y criterio profesional consolidado.</w:t>
            </w:r>
          </w:p>
        </w:tc>
      </w:tr>
      <w:tr w:rsidR="00734D3B" w:rsidRPr="00734D3B" w14:paraId="5A36D8F3"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4BD78605"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Existencia de políticas</w:t>
            </w:r>
          </w:p>
        </w:tc>
        <w:tc>
          <w:tcPr>
            <w:tcW w:w="0" w:type="auto"/>
            <w:hideMark/>
          </w:tcPr>
          <w:p w14:paraId="263D457C"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58% indica que casi siempre o siempre existen políticas.</w:t>
            </w:r>
          </w:p>
        </w:tc>
        <w:tc>
          <w:tcPr>
            <w:tcW w:w="0" w:type="auto"/>
            <w:hideMark/>
          </w:tcPr>
          <w:p w14:paraId="179F6D75"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Hay formalización parcial, pero con aplicación no uniforme.</w:t>
            </w:r>
          </w:p>
        </w:tc>
      </w:tr>
      <w:tr w:rsidR="00734D3B" w:rsidRPr="00734D3B" w14:paraId="5AF5C32C"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2DCC01"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Metas claras en proyectos</w:t>
            </w:r>
          </w:p>
        </w:tc>
        <w:tc>
          <w:tcPr>
            <w:tcW w:w="0" w:type="auto"/>
            <w:hideMark/>
          </w:tcPr>
          <w:p w14:paraId="48F8012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52% señala que casi siempre o siempre se establecen metas.</w:t>
            </w:r>
          </w:p>
        </w:tc>
        <w:tc>
          <w:tcPr>
            <w:tcW w:w="0" w:type="auto"/>
            <w:hideMark/>
          </w:tcPr>
          <w:p w14:paraId="6D51173F"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Existe planificación, aunque con brechas en algunos proyectos.</w:t>
            </w:r>
          </w:p>
        </w:tc>
      </w:tr>
      <w:tr w:rsidR="00734D3B" w:rsidRPr="00734D3B" w14:paraId="69B91190"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214D4F6B"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Separación de residuos</w:t>
            </w:r>
          </w:p>
        </w:tc>
        <w:tc>
          <w:tcPr>
            <w:tcW w:w="0" w:type="auto"/>
            <w:hideMark/>
          </w:tcPr>
          <w:p w14:paraId="2DEC8CF2"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58% indica que casi siempre o siempre se separan.</w:t>
            </w:r>
          </w:p>
        </w:tc>
        <w:tc>
          <w:tcPr>
            <w:tcW w:w="0" w:type="auto"/>
            <w:hideMark/>
          </w:tcPr>
          <w:p w14:paraId="66E7E7EB"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Práctica relativamente positiva, pero no totalmente sistematizada.</w:t>
            </w:r>
          </w:p>
        </w:tc>
      </w:tr>
      <w:tr w:rsidR="00734D3B" w:rsidRPr="00734D3B" w14:paraId="70A974B0"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E3B06E"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Sostenibilidad en reuniones</w:t>
            </w:r>
          </w:p>
        </w:tc>
        <w:tc>
          <w:tcPr>
            <w:tcW w:w="0" w:type="auto"/>
            <w:hideMark/>
          </w:tcPr>
          <w:p w14:paraId="68F4541C"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43% indica que nunca o rara vez se aborda.</w:t>
            </w:r>
          </w:p>
        </w:tc>
        <w:tc>
          <w:tcPr>
            <w:tcW w:w="0" w:type="auto"/>
            <w:hideMark/>
          </w:tcPr>
          <w:p w14:paraId="004BA299"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Baja integración del enfoque sostenible en la comunicación interna.</w:t>
            </w:r>
          </w:p>
        </w:tc>
      </w:tr>
      <w:tr w:rsidR="00734D3B" w:rsidRPr="00734D3B" w14:paraId="0C43217B"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2FEE6B1E"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Contenedores identificados</w:t>
            </w:r>
          </w:p>
        </w:tc>
        <w:tc>
          <w:tcPr>
            <w:tcW w:w="0" w:type="auto"/>
            <w:hideMark/>
          </w:tcPr>
          <w:p w14:paraId="68902467"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69% afirma que casi siempre o siempre existen.</w:t>
            </w:r>
          </w:p>
        </w:tc>
        <w:tc>
          <w:tcPr>
            <w:tcW w:w="0" w:type="auto"/>
            <w:hideMark/>
          </w:tcPr>
          <w:p w14:paraId="7CD180B2"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Buen nivel de organización física para gestión de residuos.</w:t>
            </w:r>
          </w:p>
        </w:tc>
      </w:tr>
      <w:tr w:rsidR="00734D3B" w:rsidRPr="00734D3B" w14:paraId="18C5B20F"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68260E"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Registro de residuos</w:t>
            </w:r>
          </w:p>
        </w:tc>
        <w:tc>
          <w:tcPr>
            <w:tcW w:w="0" w:type="auto"/>
            <w:hideMark/>
          </w:tcPr>
          <w:p w14:paraId="6488ADAB"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53% indica que se realiza a veces o rara vez.</w:t>
            </w:r>
          </w:p>
        </w:tc>
        <w:tc>
          <w:tcPr>
            <w:tcW w:w="0" w:type="auto"/>
            <w:hideMark/>
          </w:tcPr>
          <w:p w14:paraId="6A7B5701"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Debilidad en la sistematización y control documental.</w:t>
            </w:r>
          </w:p>
        </w:tc>
      </w:tr>
      <w:tr w:rsidR="00734D3B" w:rsidRPr="00734D3B" w14:paraId="21404770"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734CA41E"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Capacitación de supervisores</w:t>
            </w:r>
          </w:p>
        </w:tc>
        <w:tc>
          <w:tcPr>
            <w:tcW w:w="0" w:type="auto"/>
            <w:hideMark/>
          </w:tcPr>
          <w:p w14:paraId="5E40F55A"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63% señala que es insuficiente o inexistente.</w:t>
            </w:r>
          </w:p>
        </w:tc>
        <w:tc>
          <w:tcPr>
            <w:tcW w:w="0" w:type="auto"/>
            <w:hideMark/>
          </w:tcPr>
          <w:p w14:paraId="7D11719B"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Necesidad de fortalecer formación técnica ambiental.</w:t>
            </w:r>
          </w:p>
        </w:tc>
      </w:tr>
      <w:tr w:rsidR="00734D3B" w:rsidRPr="00734D3B" w14:paraId="1C6C2EB0"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015E8B"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Conocimiento normativo (Arizona)</w:t>
            </w:r>
          </w:p>
        </w:tc>
        <w:tc>
          <w:tcPr>
            <w:tcW w:w="0" w:type="auto"/>
            <w:hideMark/>
          </w:tcPr>
          <w:p w14:paraId="6194BF94"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58% indica conocimiento frecuente.</w:t>
            </w:r>
          </w:p>
        </w:tc>
        <w:tc>
          <w:tcPr>
            <w:tcW w:w="0" w:type="auto"/>
            <w:hideMark/>
          </w:tcPr>
          <w:p w14:paraId="22867CBD"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Base normativa moderada, con brechas de actualización.</w:t>
            </w:r>
          </w:p>
        </w:tc>
      </w:tr>
      <w:tr w:rsidR="00734D3B" w:rsidRPr="00734D3B" w14:paraId="4B21799A"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7D47C91C"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Sanciones por mala gestión</w:t>
            </w:r>
          </w:p>
        </w:tc>
        <w:tc>
          <w:tcPr>
            <w:tcW w:w="0" w:type="auto"/>
            <w:hideMark/>
          </w:tcPr>
          <w:p w14:paraId="45FB39B2"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53% indica que sí se han presentado en alguna medida.</w:t>
            </w:r>
          </w:p>
        </w:tc>
        <w:tc>
          <w:tcPr>
            <w:tcW w:w="0" w:type="auto"/>
            <w:hideMark/>
          </w:tcPr>
          <w:p w14:paraId="51E14BB0"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Persisten incumplimientos puntuales.</w:t>
            </w:r>
          </w:p>
        </w:tc>
      </w:tr>
      <w:tr w:rsidR="00734D3B" w:rsidRPr="00734D3B" w14:paraId="5B893B38"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42DA8A"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Capacitación en sostenibilidad</w:t>
            </w:r>
          </w:p>
        </w:tc>
        <w:tc>
          <w:tcPr>
            <w:tcW w:w="0" w:type="auto"/>
            <w:hideMark/>
          </w:tcPr>
          <w:p w14:paraId="45C6D8EB"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58% señala que nunca o rara vez se brinda.</w:t>
            </w:r>
          </w:p>
        </w:tc>
        <w:tc>
          <w:tcPr>
            <w:tcW w:w="0" w:type="auto"/>
            <w:hideMark/>
          </w:tcPr>
          <w:p w14:paraId="787C81B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Débil cultura formativa en sostenibilidad.</w:t>
            </w:r>
          </w:p>
        </w:tc>
      </w:tr>
      <w:tr w:rsidR="00734D3B" w:rsidRPr="00734D3B" w14:paraId="14C521C3"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3AB1C95B"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Promoción gerencial</w:t>
            </w:r>
          </w:p>
        </w:tc>
        <w:tc>
          <w:tcPr>
            <w:tcW w:w="0" w:type="auto"/>
            <w:hideMark/>
          </w:tcPr>
          <w:p w14:paraId="5186851E"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58% percibe impulso frecuente desde la gerencia.</w:t>
            </w:r>
          </w:p>
        </w:tc>
        <w:tc>
          <w:tcPr>
            <w:tcW w:w="0" w:type="auto"/>
            <w:hideMark/>
          </w:tcPr>
          <w:p w14:paraId="30ADC0AB"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Liderazgo positivo, aunque no completamente consistente.</w:t>
            </w:r>
          </w:p>
        </w:tc>
      </w:tr>
      <w:tr w:rsidR="00734D3B" w:rsidRPr="00734D3B" w14:paraId="5C7ADE59"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CEDCF"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lastRenderedPageBreak/>
              <w:t>Presión de tiempo</w:t>
            </w:r>
          </w:p>
        </w:tc>
        <w:tc>
          <w:tcPr>
            <w:tcW w:w="0" w:type="auto"/>
            <w:hideMark/>
          </w:tcPr>
          <w:p w14:paraId="2A2C125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53% indica que casi siempre o siempre dificulta la sostenibilidad.</w:t>
            </w:r>
          </w:p>
        </w:tc>
        <w:tc>
          <w:tcPr>
            <w:tcW w:w="0" w:type="auto"/>
            <w:hideMark/>
          </w:tcPr>
          <w:p w14:paraId="77C85BE8"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Los plazos impactan negativamente la aplicación ambiental.</w:t>
            </w:r>
          </w:p>
        </w:tc>
      </w:tr>
      <w:tr w:rsidR="00734D3B" w:rsidRPr="00734D3B" w14:paraId="1A51972E"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70B0DAF7"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Percepción de incremento de costos</w:t>
            </w:r>
          </w:p>
        </w:tc>
        <w:tc>
          <w:tcPr>
            <w:tcW w:w="0" w:type="auto"/>
            <w:hideMark/>
          </w:tcPr>
          <w:p w14:paraId="4BCD1F61"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100% considera que al menos a veces incrementa costos.</w:t>
            </w:r>
          </w:p>
        </w:tc>
        <w:tc>
          <w:tcPr>
            <w:tcW w:w="0" w:type="auto"/>
            <w:hideMark/>
          </w:tcPr>
          <w:p w14:paraId="1739AA93"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Se percibe la sostenibilidad como carga económica.</w:t>
            </w:r>
          </w:p>
        </w:tc>
      </w:tr>
      <w:tr w:rsidR="00734D3B" w:rsidRPr="00734D3B" w14:paraId="214113FC"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218804"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Recursos para sostenibilidad</w:t>
            </w:r>
          </w:p>
        </w:tc>
        <w:tc>
          <w:tcPr>
            <w:tcW w:w="0" w:type="auto"/>
            <w:hideMark/>
          </w:tcPr>
          <w:p w14:paraId="6C6BE628"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53% indica disponibilidad intermitente.</w:t>
            </w:r>
          </w:p>
        </w:tc>
        <w:tc>
          <w:tcPr>
            <w:tcW w:w="0" w:type="auto"/>
            <w:hideMark/>
          </w:tcPr>
          <w:p w14:paraId="02696B2B"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Apoyo financiero y material no constante.</w:t>
            </w:r>
          </w:p>
        </w:tc>
      </w:tr>
      <w:tr w:rsidR="00734D3B" w:rsidRPr="00734D3B" w14:paraId="12520CC6"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58A86957"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Apoyo de los dueños</w:t>
            </w:r>
          </w:p>
        </w:tc>
        <w:tc>
          <w:tcPr>
            <w:tcW w:w="0" w:type="auto"/>
            <w:hideMark/>
          </w:tcPr>
          <w:p w14:paraId="4FDE0153"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58% señala respaldo frecuente.</w:t>
            </w:r>
          </w:p>
        </w:tc>
        <w:tc>
          <w:tcPr>
            <w:tcW w:w="0" w:type="auto"/>
            <w:hideMark/>
          </w:tcPr>
          <w:p w14:paraId="12E5BB60"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Compromiso relevante desde la propiedad.</w:t>
            </w:r>
          </w:p>
        </w:tc>
      </w:tr>
      <w:tr w:rsidR="00734D3B" w:rsidRPr="00734D3B" w14:paraId="6DE52CB4"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0B290"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Cumplimiento de subcontratistas</w:t>
            </w:r>
          </w:p>
        </w:tc>
        <w:tc>
          <w:tcPr>
            <w:tcW w:w="0" w:type="auto"/>
            <w:hideMark/>
          </w:tcPr>
          <w:p w14:paraId="2B8F25B7"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47% percibe cumplimiento irregular.</w:t>
            </w:r>
          </w:p>
        </w:tc>
        <w:tc>
          <w:tcPr>
            <w:tcW w:w="0" w:type="auto"/>
            <w:hideMark/>
          </w:tcPr>
          <w:p w14:paraId="2DA6AA6F"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Necesidad de mayor control contractual.</w:t>
            </w:r>
          </w:p>
        </w:tc>
      </w:tr>
      <w:tr w:rsidR="00734D3B" w:rsidRPr="00734D3B" w14:paraId="44A159E7"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0BF0E111"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Supervisión ambiental</w:t>
            </w:r>
          </w:p>
        </w:tc>
        <w:tc>
          <w:tcPr>
            <w:tcW w:w="0" w:type="auto"/>
            <w:hideMark/>
          </w:tcPr>
          <w:p w14:paraId="32F6FD67"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63% indica aplicación irregular o inexistente.</w:t>
            </w:r>
          </w:p>
        </w:tc>
        <w:tc>
          <w:tcPr>
            <w:tcW w:w="0" w:type="auto"/>
            <w:hideMark/>
          </w:tcPr>
          <w:p w14:paraId="4864230C"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Debilidad significativa en seguimiento ambiental.</w:t>
            </w:r>
          </w:p>
        </w:tc>
      </w:tr>
      <w:tr w:rsidR="00734D3B" w:rsidRPr="00734D3B" w14:paraId="78CEC60B"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02C4E3"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Requisitos de sostenibilidad</w:t>
            </w:r>
          </w:p>
        </w:tc>
        <w:tc>
          <w:tcPr>
            <w:tcW w:w="0" w:type="auto"/>
            <w:hideMark/>
          </w:tcPr>
          <w:p w14:paraId="6E482DBA"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53% señala que son esporádicos o inexistentes.</w:t>
            </w:r>
          </w:p>
        </w:tc>
        <w:tc>
          <w:tcPr>
            <w:tcW w:w="0" w:type="auto"/>
            <w:hideMark/>
          </w:tcPr>
          <w:p w14:paraId="620F1CBF"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Falta estandarización formal.</w:t>
            </w:r>
          </w:p>
        </w:tc>
      </w:tr>
      <w:tr w:rsidR="00734D3B" w:rsidRPr="00734D3B" w14:paraId="70F404AB" w14:textId="77777777" w:rsidTr="00303A51">
        <w:tc>
          <w:tcPr>
            <w:cnfStyle w:val="001000000000" w:firstRow="0" w:lastRow="0" w:firstColumn="1" w:lastColumn="0" w:oddVBand="0" w:evenVBand="0" w:oddHBand="0" w:evenHBand="0" w:firstRowFirstColumn="0" w:firstRowLastColumn="0" w:lastRowFirstColumn="0" w:lastRowLastColumn="0"/>
            <w:tcW w:w="0" w:type="auto"/>
            <w:hideMark/>
          </w:tcPr>
          <w:p w14:paraId="2F907B19"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Seguimiento al desempeño ambiental</w:t>
            </w:r>
          </w:p>
        </w:tc>
        <w:tc>
          <w:tcPr>
            <w:tcW w:w="0" w:type="auto"/>
            <w:hideMark/>
          </w:tcPr>
          <w:p w14:paraId="54CF4586"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53% indica que nunca o rara vez se realiza.</w:t>
            </w:r>
          </w:p>
        </w:tc>
        <w:tc>
          <w:tcPr>
            <w:tcW w:w="0" w:type="auto"/>
            <w:hideMark/>
          </w:tcPr>
          <w:p w14:paraId="2EAAFE8C" w14:textId="77777777" w:rsidR="008123A5" w:rsidRPr="00734D3B" w:rsidRDefault="008123A5" w:rsidP="008123A5">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Bajo nivel de monitoreo sistemático.</w:t>
            </w:r>
          </w:p>
        </w:tc>
      </w:tr>
      <w:tr w:rsidR="00734D3B" w:rsidRPr="00734D3B" w14:paraId="6984C95A" w14:textId="77777777" w:rsidTr="00303A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63FCB8" w14:textId="77777777" w:rsidR="008123A5" w:rsidRPr="00734D3B" w:rsidRDefault="008123A5" w:rsidP="008123A5">
            <w:pPr>
              <w:spacing w:line="240" w:lineRule="auto"/>
              <w:ind w:firstLine="0"/>
              <w:rPr>
                <w:rFonts w:cs="Arial"/>
                <w:szCs w:val="22"/>
                <w:lang w:eastAsia="en-US"/>
              </w:rPr>
            </w:pPr>
            <w:r w:rsidRPr="00734D3B">
              <w:rPr>
                <w:rFonts w:cs="Arial"/>
                <w:szCs w:val="22"/>
                <w:lang w:eastAsia="en-US"/>
              </w:rPr>
              <w:t>Utilidad de una guía</w:t>
            </w:r>
          </w:p>
        </w:tc>
        <w:tc>
          <w:tcPr>
            <w:tcW w:w="0" w:type="auto"/>
            <w:hideMark/>
          </w:tcPr>
          <w:p w14:paraId="02E30E91"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94% considera que ayudaría casi siempre o siempre.</w:t>
            </w:r>
          </w:p>
        </w:tc>
        <w:tc>
          <w:tcPr>
            <w:tcW w:w="0" w:type="auto"/>
            <w:hideMark/>
          </w:tcPr>
          <w:p w14:paraId="5BB27D7B" w14:textId="77777777" w:rsidR="008123A5" w:rsidRPr="00734D3B" w:rsidRDefault="008123A5" w:rsidP="008123A5">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Alta aceptación y necesidad de estandarización formal.</w:t>
            </w:r>
          </w:p>
        </w:tc>
      </w:tr>
    </w:tbl>
    <w:p w14:paraId="793A70CA" w14:textId="686B8959" w:rsidR="009951F9" w:rsidRPr="00734D3B" w:rsidRDefault="009951F9" w:rsidP="009951F9">
      <w:pPr>
        <w:spacing w:line="240" w:lineRule="auto"/>
        <w:ind w:firstLine="0"/>
        <w:contextualSpacing/>
        <w:rPr>
          <w:rFonts w:cs="Arial"/>
          <w:szCs w:val="22"/>
        </w:rPr>
      </w:pPr>
      <w:r w:rsidRPr="00734D3B">
        <w:rPr>
          <w:rFonts w:cs="Arial"/>
          <w:i/>
          <w:iCs/>
          <w:szCs w:val="22"/>
        </w:rPr>
        <w:t>Nota</w:t>
      </w:r>
      <w:r w:rsidRPr="00734D3B">
        <w:rPr>
          <w:rFonts w:cs="Arial"/>
          <w:szCs w:val="22"/>
        </w:rPr>
        <w:t xml:space="preserve">. La Tabla 8 muestra </w:t>
      </w:r>
      <w:r w:rsidR="00851AFE" w:rsidRPr="00734D3B">
        <w:rPr>
          <w:rFonts w:cs="Arial"/>
          <w:szCs w:val="22"/>
        </w:rPr>
        <w:t>el resumen de resultados</w:t>
      </w:r>
      <w:r w:rsidRPr="00734D3B">
        <w:rPr>
          <w:rFonts w:cs="Arial"/>
          <w:szCs w:val="22"/>
        </w:rPr>
        <w:t xml:space="preserve">, en correspondencia con </w:t>
      </w:r>
      <w:r w:rsidR="00851AFE" w:rsidRPr="00734D3B">
        <w:rPr>
          <w:rFonts w:cs="Arial"/>
          <w:szCs w:val="22"/>
        </w:rPr>
        <w:t xml:space="preserve">el </w:t>
      </w:r>
      <w:r w:rsidRPr="00734D3B">
        <w:rPr>
          <w:rFonts w:cs="Arial"/>
          <w:szCs w:val="22"/>
        </w:rPr>
        <w:t>objetivo</w:t>
      </w:r>
      <w:r w:rsidR="00851AFE" w:rsidRPr="00734D3B">
        <w:rPr>
          <w:rFonts w:cs="Arial"/>
          <w:szCs w:val="22"/>
        </w:rPr>
        <w:t xml:space="preserve"> 1</w:t>
      </w:r>
      <w:r w:rsidRPr="00734D3B">
        <w:rPr>
          <w:rFonts w:cs="Arial"/>
          <w:szCs w:val="22"/>
        </w:rPr>
        <w:t>. Autoría propia.</w:t>
      </w:r>
    </w:p>
    <w:p w14:paraId="600D698C" w14:textId="77777777" w:rsidR="008123A5" w:rsidRPr="00734D3B" w:rsidRDefault="008123A5" w:rsidP="00A8783B"/>
    <w:p w14:paraId="176E83FE" w14:textId="120B2085" w:rsidR="00285B3C" w:rsidRPr="00734D3B" w:rsidRDefault="00F90936" w:rsidP="005E549C">
      <w:pPr>
        <w:pStyle w:val="Heading2"/>
        <w:numPr>
          <w:ilvl w:val="1"/>
          <w:numId w:val="60"/>
        </w:numPr>
        <w:rPr>
          <w:b w:val="0"/>
          <w:bCs w:val="0"/>
        </w:rPr>
      </w:pPr>
      <w:bookmarkStart w:id="348" w:name="_Toc227936431"/>
      <w:bookmarkStart w:id="349" w:name="_Toc305353879"/>
      <w:r w:rsidRPr="00734D3B">
        <w:t xml:space="preserve">Análisis de marcos normativos y buenas </w:t>
      </w:r>
      <w:r w:rsidR="00971B2F" w:rsidRPr="00734D3B">
        <w:t>prácticas</w:t>
      </w:r>
      <w:r w:rsidRPr="00734D3B">
        <w:t xml:space="preserve"> aplicables a la gestión ambiental en proyectos eléctricos</w:t>
      </w:r>
      <w:bookmarkEnd w:id="348"/>
      <w:r w:rsidRPr="00734D3B">
        <w:t xml:space="preserve"> </w:t>
      </w:r>
    </w:p>
    <w:bookmarkEnd w:id="349"/>
    <w:p w14:paraId="3864E59D" w14:textId="77777777" w:rsidR="00285B3C" w:rsidRPr="00734D3B" w:rsidRDefault="00285B3C" w:rsidP="00A8783B">
      <w:r w:rsidRPr="00734D3B">
        <w:t xml:space="preserve">A </w:t>
      </w:r>
      <w:proofErr w:type="gramStart"/>
      <w:r w:rsidRPr="00734D3B">
        <w:t>continuación</w:t>
      </w:r>
      <w:proofErr w:type="gramEnd"/>
      <w:r w:rsidRPr="00734D3B">
        <w:t xml:space="preserve"> se muestra el comparativo del marco normativo y/o buenas prácticas donde se observa el ámbito, los principales lineamientos que expone cada una de ellas, la aplicación de proyectos eléctricos y el aporte para el diseño de la guía metodología que se pretende elaborar en este documento. </w:t>
      </w:r>
    </w:p>
    <w:p w14:paraId="7707299D" w14:textId="77777777" w:rsidR="003E3FE1" w:rsidRPr="00734D3B" w:rsidRDefault="003E3FE1">
      <w:pPr>
        <w:spacing w:line="240" w:lineRule="auto"/>
        <w:ind w:firstLine="0"/>
        <w:rPr>
          <w:b/>
          <w:szCs w:val="18"/>
        </w:rPr>
      </w:pPr>
      <w:r w:rsidRPr="00734D3B">
        <w:rPr>
          <w:b/>
          <w:szCs w:val="18"/>
        </w:rPr>
        <w:br w:type="page"/>
      </w:r>
    </w:p>
    <w:p w14:paraId="11C992DA" w14:textId="2CA2A122" w:rsidR="00285B3C" w:rsidRPr="00734D3B" w:rsidRDefault="00285B3C" w:rsidP="00285B3C">
      <w:pPr>
        <w:spacing w:after="200"/>
        <w:ind w:firstLine="0"/>
        <w:rPr>
          <w:b/>
          <w:szCs w:val="18"/>
        </w:rPr>
      </w:pPr>
      <w:bookmarkStart w:id="350" w:name="_Toc228342089"/>
      <w:r w:rsidRPr="00734D3B">
        <w:rPr>
          <w:b/>
          <w:szCs w:val="18"/>
        </w:rPr>
        <w:lastRenderedPageBreak/>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374D60" w:rsidRPr="00734D3B">
        <w:rPr>
          <w:b/>
          <w:noProof/>
          <w:szCs w:val="18"/>
        </w:rPr>
        <w:t>9</w:t>
      </w:r>
      <w:r w:rsidRPr="00734D3B">
        <w:rPr>
          <w:b/>
          <w:szCs w:val="18"/>
        </w:rPr>
        <w:fldChar w:fldCharType="end"/>
      </w:r>
      <w:r w:rsidRPr="00734D3B">
        <w:rPr>
          <w:b/>
          <w:szCs w:val="18"/>
        </w:rPr>
        <w:t xml:space="preserve"> </w:t>
      </w:r>
      <w:r w:rsidRPr="00734D3B">
        <w:rPr>
          <w:b/>
          <w:szCs w:val="18"/>
        </w:rPr>
        <w:br/>
      </w:r>
      <w:r w:rsidRPr="00734D3B">
        <w:rPr>
          <w:bCs/>
          <w:i/>
          <w:iCs/>
          <w:szCs w:val="18"/>
        </w:rPr>
        <w:t>Comparativo de marco normativo y buenas prácticas</w:t>
      </w:r>
      <w:bookmarkEnd w:id="350"/>
      <w:r w:rsidRPr="00734D3B">
        <w:rPr>
          <w:bCs/>
          <w:i/>
          <w:iCs/>
          <w:szCs w:val="18"/>
        </w:rPr>
        <w:t xml:space="preserve"> </w:t>
      </w:r>
    </w:p>
    <w:tbl>
      <w:tblPr>
        <w:tblStyle w:val="PlainTable2"/>
        <w:tblW w:w="0" w:type="auto"/>
        <w:tblLook w:val="04A0" w:firstRow="1" w:lastRow="0" w:firstColumn="1" w:lastColumn="0" w:noHBand="0" w:noVBand="1"/>
      </w:tblPr>
      <w:tblGrid>
        <w:gridCol w:w="1989"/>
        <w:gridCol w:w="1492"/>
        <w:gridCol w:w="1823"/>
        <w:gridCol w:w="2238"/>
        <w:gridCol w:w="1820"/>
      </w:tblGrid>
      <w:tr w:rsidR="00734D3B" w:rsidRPr="00734D3B" w14:paraId="2D55136D" w14:textId="77777777" w:rsidTr="00616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136E5D" w14:textId="77777777" w:rsidR="00285B3C" w:rsidRPr="00734D3B" w:rsidRDefault="00285B3C" w:rsidP="00285B3C">
            <w:pPr>
              <w:spacing w:line="240" w:lineRule="auto"/>
              <w:ind w:firstLine="0"/>
              <w:jc w:val="center"/>
              <w:rPr>
                <w:rFonts w:cs="Arial"/>
                <w:b w:val="0"/>
                <w:bCs w:val="0"/>
                <w:szCs w:val="22"/>
                <w:lang w:eastAsia="en-US"/>
              </w:rPr>
            </w:pPr>
            <w:r w:rsidRPr="00734D3B">
              <w:rPr>
                <w:rFonts w:cs="Arial"/>
                <w:b w:val="0"/>
                <w:bCs w:val="0"/>
                <w:szCs w:val="22"/>
                <w:lang w:eastAsia="en-US"/>
              </w:rPr>
              <w:t>Marco normativo / Buena práctica</w:t>
            </w:r>
          </w:p>
        </w:tc>
        <w:tc>
          <w:tcPr>
            <w:tcW w:w="0" w:type="auto"/>
            <w:hideMark/>
          </w:tcPr>
          <w:p w14:paraId="6D7DD653" w14:textId="77777777" w:rsidR="00285B3C" w:rsidRPr="00734D3B" w:rsidRDefault="00285B3C" w:rsidP="00285B3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b w:val="0"/>
                <w:bCs w:val="0"/>
                <w:szCs w:val="22"/>
                <w:lang w:eastAsia="en-US"/>
              </w:rPr>
              <w:t>Ámbito</w:t>
            </w:r>
          </w:p>
        </w:tc>
        <w:tc>
          <w:tcPr>
            <w:tcW w:w="0" w:type="auto"/>
            <w:hideMark/>
          </w:tcPr>
          <w:p w14:paraId="0F9427C4" w14:textId="77777777" w:rsidR="00285B3C" w:rsidRPr="00734D3B" w:rsidRDefault="00285B3C" w:rsidP="00285B3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b w:val="0"/>
                <w:bCs w:val="0"/>
                <w:szCs w:val="22"/>
                <w:lang w:eastAsia="en-US"/>
              </w:rPr>
              <w:t>Principales lineamientos ambientales</w:t>
            </w:r>
          </w:p>
        </w:tc>
        <w:tc>
          <w:tcPr>
            <w:tcW w:w="0" w:type="auto"/>
            <w:hideMark/>
          </w:tcPr>
          <w:p w14:paraId="41C63630" w14:textId="77777777" w:rsidR="00285B3C" w:rsidRPr="00734D3B" w:rsidRDefault="00285B3C" w:rsidP="00285B3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b w:val="0"/>
                <w:bCs w:val="0"/>
                <w:szCs w:val="22"/>
                <w:lang w:eastAsia="en-US"/>
              </w:rPr>
              <w:t>Aplicación a proyectos eléctricos</w:t>
            </w:r>
          </w:p>
        </w:tc>
        <w:tc>
          <w:tcPr>
            <w:tcW w:w="0" w:type="auto"/>
            <w:hideMark/>
          </w:tcPr>
          <w:p w14:paraId="6C199AD0" w14:textId="77777777" w:rsidR="00285B3C" w:rsidRPr="00734D3B" w:rsidRDefault="00285B3C" w:rsidP="00285B3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Cs w:val="22"/>
                <w:lang w:eastAsia="en-US"/>
              </w:rPr>
            </w:pPr>
            <w:r w:rsidRPr="00734D3B">
              <w:rPr>
                <w:rFonts w:cs="Arial"/>
                <w:b w:val="0"/>
                <w:bCs w:val="0"/>
                <w:szCs w:val="22"/>
                <w:lang w:eastAsia="en-US"/>
              </w:rPr>
              <w:t>Aporte al diseño de la guía metodológica</w:t>
            </w:r>
          </w:p>
        </w:tc>
      </w:tr>
      <w:tr w:rsidR="00734D3B" w:rsidRPr="00734D3B" w14:paraId="575CDDFA" w14:textId="77777777" w:rsidTr="0061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D70BCC"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ISO 14001:2015 – Sistemas de Gestión Ambiental</w:t>
            </w:r>
          </w:p>
        </w:tc>
        <w:tc>
          <w:tcPr>
            <w:tcW w:w="0" w:type="auto"/>
            <w:hideMark/>
          </w:tcPr>
          <w:p w14:paraId="5BEC6AB9"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Internacional</w:t>
            </w:r>
          </w:p>
        </w:tc>
        <w:tc>
          <w:tcPr>
            <w:tcW w:w="0" w:type="auto"/>
            <w:hideMark/>
          </w:tcPr>
          <w:p w14:paraId="17C71E57"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Gestión basada en riesgos, ciclos de mejora continua, cumplimiento legal, control de impactos significativos.</w:t>
            </w:r>
          </w:p>
        </w:tc>
        <w:tc>
          <w:tcPr>
            <w:tcW w:w="0" w:type="auto"/>
            <w:hideMark/>
          </w:tcPr>
          <w:p w14:paraId="4CE3AEFF"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Permite estructurar procesos de identificación de impactos, control operacional y monitoreo.</w:t>
            </w:r>
          </w:p>
        </w:tc>
        <w:tc>
          <w:tcPr>
            <w:tcW w:w="0" w:type="auto"/>
            <w:hideMark/>
          </w:tcPr>
          <w:p w14:paraId="55BD39BD"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Brinda el marco base para el diseño de procedimientos y estándares ambientales.</w:t>
            </w:r>
          </w:p>
        </w:tc>
      </w:tr>
      <w:tr w:rsidR="00734D3B" w:rsidRPr="00734D3B" w14:paraId="28143061" w14:textId="77777777" w:rsidTr="00616C68">
        <w:tc>
          <w:tcPr>
            <w:cnfStyle w:val="001000000000" w:firstRow="0" w:lastRow="0" w:firstColumn="1" w:lastColumn="0" w:oddVBand="0" w:evenVBand="0" w:oddHBand="0" w:evenHBand="0" w:firstRowFirstColumn="0" w:firstRowLastColumn="0" w:lastRowFirstColumn="0" w:lastRowLastColumn="0"/>
            <w:tcW w:w="0" w:type="auto"/>
            <w:hideMark/>
          </w:tcPr>
          <w:p w14:paraId="20BCA341"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 xml:space="preserve">Estándares de Desempeño IFC (International </w:t>
            </w:r>
            <w:proofErr w:type="spellStart"/>
            <w:r w:rsidRPr="00734D3B">
              <w:rPr>
                <w:rFonts w:cs="Arial"/>
                <w:b w:val="0"/>
                <w:bCs w:val="0"/>
                <w:szCs w:val="22"/>
                <w:lang w:eastAsia="en-US"/>
              </w:rPr>
              <w:t>Finance</w:t>
            </w:r>
            <w:proofErr w:type="spellEnd"/>
            <w:r w:rsidRPr="00734D3B">
              <w:rPr>
                <w:rFonts w:cs="Arial"/>
                <w:b w:val="0"/>
                <w:bCs w:val="0"/>
                <w:szCs w:val="22"/>
                <w:lang w:eastAsia="en-US"/>
              </w:rPr>
              <w:t xml:space="preserve"> </w:t>
            </w:r>
            <w:proofErr w:type="spellStart"/>
            <w:r w:rsidRPr="00734D3B">
              <w:rPr>
                <w:rFonts w:cs="Arial"/>
                <w:b w:val="0"/>
                <w:bCs w:val="0"/>
                <w:szCs w:val="22"/>
                <w:lang w:eastAsia="en-US"/>
              </w:rPr>
              <w:t>Corporation</w:t>
            </w:r>
            <w:proofErr w:type="spellEnd"/>
            <w:r w:rsidRPr="00734D3B">
              <w:rPr>
                <w:rFonts w:cs="Arial"/>
                <w:b w:val="0"/>
                <w:bCs w:val="0"/>
                <w:szCs w:val="22"/>
                <w:lang w:eastAsia="en-US"/>
              </w:rPr>
              <w:t>)</w:t>
            </w:r>
          </w:p>
        </w:tc>
        <w:tc>
          <w:tcPr>
            <w:tcW w:w="0" w:type="auto"/>
            <w:hideMark/>
          </w:tcPr>
          <w:p w14:paraId="7FCFA982"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Internacional</w:t>
            </w:r>
          </w:p>
        </w:tc>
        <w:tc>
          <w:tcPr>
            <w:tcW w:w="0" w:type="auto"/>
            <w:hideMark/>
          </w:tcPr>
          <w:p w14:paraId="5CA6E992"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Protección de biodiversidad, gestión de recursos, prevención de contaminación, participación comunitaria, evaluación ambiental.</w:t>
            </w:r>
          </w:p>
        </w:tc>
        <w:tc>
          <w:tcPr>
            <w:tcW w:w="0" w:type="auto"/>
            <w:hideMark/>
          </w:tcPr>
          <w:p w14:paraId="0A5B5DEF"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Base técnica para proyectos financiados internacionalmente, incluidos hidroeléctricos y líneas de transmisión.</w:t>
            </w:r>
          </w:p>
        </w:tc>
        <w:tc>
          <w:tcPr>
            <w:tcW w:w="0" w:type="auto"/>
            <w:hideMark/>
          </w:tcPr>
          <w:p w14:paraId="6E2F4FC5"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Aporta criterios sólidos de evaluación de riesgos y gestión socioambiental.</w:t>
            </w:r>
          </w:p>
        </w:tc>
      </w:tr>
      <w:tr w:rsidR="00734D3B" w:rsidRPr="00734D3B" w14:paraId="6D97D517" w14:textId="77777777" w:rsidTr="0061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90BDCD"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Directrices del Banco Mundial – Medio Ambiente y Energía</w:t>
            </w:r>
          </w:p>
        </w:tc>
        <w:tc>
          <w:tcPr>
            <w:tcW w:w="0" w:type="auto"/>
            <w:hideMark/>
          </w:tcPr>
          <w:p w14:paraId="30CE1CAB"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Internacional</w:t>
            </w:r>
          </w:p>
        </w:tc>
        <w:tc>
          <w:tcPr>
            <w:tcW w:w="0" w:type="auto"/>
            <w:hideMark/>
          </w:tcPr>
          <w:p w14:paraId="6E2E92A0"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Evaluaciones de impacto, manejo de residuos, emisiones, seguridad laboral, protección comunitaria.</w:t>
            </w:r>
          </w:p>
        </w:tc>
        <w:tc>
          <w:tcPr>
            <w:tcW w:w="0" w:type="auto"/>
            <w:hideMark/>
          </w:tcPr>
          <w:p w14:paraId="0BBC0169"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Aplicado en proyectos eléctricos en América Latina con financiamiento multilateral.</w:t>
            </w:r>
          </w:p>
        </w:tc>
        <w:tc>
          <w:tcPr>
            <w:tcW w:w="0" w:type="auto"/>
            <w:hideMark/>
          </w:tcPr>
          <w:p w14:paraId="468EC13B"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Aporta criterios para medidas de mitigación y estándares de emisiones.</w:t>
            </w:r>
          </w:p>
        </w:tc>
      </w:tr>
      <w:tr w:rsidR="00734D3B" w:rsidRPr="00734D3B" w14:paraId="6230EC99" w14:textId="77777777" w:rsidTr="00616C68">
        <w:tc>
          <w:tcPr>
            <w:cnfStyle w:val="001000000000" w:firstRow="0" w:lastRow="0" w:firstColumn="1" w:lastColumn="0" w:oddVBand="0" w:evenVBand="0" w:oddHBand="0" w:evenHBand="0" w:firstRowFirstColumn="0" w:firstRowLastColumn="0" w:lastRowFirstColumn="0" w:lastRowLastColumn="0"/>
            <w:tcW w:w="0" w:type="auto"/>
            <w:hideMark/>
          </w:tcPr>
          <w:p w14:paraId="74D6B954"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Protocolo de Evaluación Ambiental Estratégica del Convenio de Aarhus</w:t>
            </w:r>
          </w:p>
        </w:tc>
        <w:tc>
          <w:tcPr>
            <w:tcW w:w="0" w:type="auto"/>
            <w:hideMark/>
          </w:tcPr>
          <w:p w14:paraId="6C90D3F5"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Internacional</w:t>
            </w:r>
          </w:p>
        </w:tc>
        <w:tc>
          <w:tcPr>
            <w:tcW w:w="0" w:type="auto"/>
            <w:hideMark/>
          </w:tcPr>
          <w:p w14:paraId="0B20555E"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Integración ambiental temprana, transparencia, participación ciudadana, evaluación de alternativas.</w:t>
            </w:r>
          </w:p>
        </w:tc>
        <w:tc>
          <w:tcPr>
            <w:tcW w:w="0" w:type="auto"/>
            <w:hideMark/>
          </w:tcPr>
          <w:p w14:paraId="7277B842"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Útil en planificación de líneas de transmisión y expansión eléctrica.</w:t>
            </w:r>
          </w:p>
        </w:tc>
        <w:tc>
          <w:tcPr>
            <w:tcW w:w="0" w:type="auto"/>
            <w:hideMark/>
          </w:tcPr>
          <w:p w14:paraId="75E4B642"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Permite incluir análisis estratégico y participación ciudadana en la guía.</w:t>
            </w:r>
          </w:p>
        </w:tc>
      </w:tr>
      <w:tr w:rsidR="00734D3B" w:rsidRPr="00734D3B" w14:paraId="2F55B529" w14:textId="77777777" w:rsidTr="0061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F195B5"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Guía de Buenas Prácticas Ambientales de la Comisión Europea para Proyectos de Energía</w:t>
            </w:r>
          </w:p>
        </w:tc>
        <w:tc>
          <w:tcPr>
            <w:tcW w:w="0" w:type="auto"/>
            <w:hideMark/>
          </w:tcPr>
          <w:p w14:paraId="1408F85B"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Internacional / Regional UE</w:t>
            </w:r>
          </w:p>
        </w:tc>
        <w:tc>
          <w:tcPr>
            <w:tcW w:w="0" w:type="auto"/>
            <w:hideMark/>
          </w:tcPr>
          <w:p w14:paraId="372C65FE"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 xml:space="preserve">Eficiencia energética, impacto en flora/fauna, gestión de ruido y paisaje, </w:t>
            </w:r>
            <w:r w:rsidRPr="00734D3B">
              <w:rPr>
                <w:rFonts w:cs="Arial"/>
                <w:szCs w:val="22"/>
                <w:lang w:eastAsia="en-US"/>
              </w:rPr>
              <w:lastRenderedPageBreak/>
              <w:t>restauración ambiental.</w:t>
            </w:r>
          </w:p>
        </w:tc>
        <w:tc>
          <w:tcPr>
            <w:tcW w:w="0" w:type="auto"/>
            <w:hideMark/>
          </w:tcPr>
          <w:p w14:paraId="3D519E2F"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lastRenderedPageBreak/>
              <w:t>Aplica a parques eólicos, solares y redes de distribución.</w:t>
            </w:r>
          </w:p>
        </w:tc>
        <w:tc>
          <w:tcPr>
            <w:tcW w:w="0" w:type="auto"/>
            <w:hideMark/>
          </w:tcPr>
          <w:p w14:paraId="7F2E53E7"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Permite incorporar estándares altos de mitigación y restauración.</w:t>
            </w:r>
          </w:p>
        </w:tc>
      </w:tr>
      <w:tr w:rsidR="00734D3B" w:rsidRPr="00734D3B" w14:paraId="41001D30" w14:textId="77777777" w:rsidTr="00616C68">
        <w:tc>
          <w:tcPr>
            <w:cnfStyle w:val="001000000000" w:firstRow="0" w:lastRow="0" w:firstColumn="1" w:lastColumn="0" w:oddVBand="0" w:evenVBand="0" w:oddHBand="0" w:evenHBand="0" w:firstRowFirstColumn="0" w:firstRowLastColumn="0" w:lastRowFirstColumn="0" w:lastRowLastColumn="0"/>
            <w:tcW w:w="0" w:type="auto"/>
            <w:hideMark/>
          </w:tcPr>
          <w:p w14:paraId="0613C3A2"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Normativa de la Agencia de Protección Ambiental (EPA) sobre Emisiones y Calidad del Agua</w:t>
            </w:r>
          </w:p>
        </w:tc>
        <w:tc>
          <w:tcPr>
            <w:tcW w:w="0" w:type="auto"/>
            <w:hideMark/>
          </w:tcPr>
          <w:p w14:paraId="3F44DA3E"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EE. UU.</w:t>
            </w:r>
          </w:p>
        </w:tc>
        <w:tc>
          <w:tcPr>
            <w:tcW w:w="0" w:type="auto"/>
            <w:hideMark/>
          </w:tcPr>
          <w:p w14:paraId="4F7565CC"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Límites de emisiones, control de aguas residuales, gestión de sustancias peligrosas.</w:t>
            </w:r>
          </w:p>
        </w:tc>
        <w:tc>
          <w:tcPr>
            <w:tcW w:w="0" w:type="auto"/>
            <w:hideMark/>
          </w:tcPr>
          <w:p w14:paraId="65CF24D0"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Guía para proyectos térmicos, subestaciones y manejo de químicos.</w:t>
            </w:r>
          </w:p>
        </w:tc>
        <w:tc>
          <w:tcPr>
            <w:tcW w:w="0" w:type="auto"/>
            <w:hideMark/>
          </w:tcPr>
          <w:p w14:paraId="56C43A5E"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Sirve como referencia técnica para límites de emisiones y calidad ambiental.</w:t>
            </w:r>
          </w:p>
        </w:tc>
      </w:tr>
      <w:tr w:rsidR="00734D3B" w:rsidRPr="00734D3B" w14:paraId="314E4206" w14:textId="77777777" w:rsidTr="00616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6C89A3"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CEPAL – Lineamientos para la Evaluación de Impacto Ambiental en América Latina</w:t>
            </w:r>
          </w:p>
        </w:tc>
        <w:tc>
          <w:tcPr>
            <w:tcW w:w="0" w:type="auto"/>
            <w:hideMark/>
          </w:tcPr>
          <w:p w14:paraId="2AE90BD5"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Regional</w:t>
            </w:r>
          </w:p>
        </w:tc>
        <w:tc>
          <w:tcPr>
            <w:tcW w:w="0" w:type="auto"/>
            <w:hideMark/>
          </w:tcPr>
          <w:p w14:paraId="4977A725"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Inclusión de variable social, indicadores, análisis de ciclo de vida, adaptación al cambio climático.</w:t>
            </w:r>
          </w:p>
        </w:tc>
        <w:tc>
          <w:tcPr>
            <w:tcW w:w="0" w:type="auto"/>
            <w:hideMark/>
          </w:tcPr>
          <w:p w14:paraId="0E541C33"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Aplica a proyectos de energía renovable y convencional en la región.</w:t>
            </w:r>
          </w:p>
        </w:tc>
        <w:tc>
          <w:tcPr>
            <w:tcW w:w="0" w:type="auto"/>
            <w:hideMark/>
          </w:tcPr>
          <w:p w14:paraId="4BCA7744" w14:textId="77777777" w:rsidR="00285B3C" w:rsidRPr="00734D3B" w:rsidRDefault="00285B3C" w:rsidP="00285B3C">
            <w:pPr>
              <w:spacing w:line="240" w:lineRule="auto"/>
              <w:ind w:firstLine="0"/>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Aporta enfoque regional realista adaptado a capacidades institucionales.</w:t>
            </w:r>
          </w:p>
        </w:tc>
      </w:tr>
      <w:tr w:rsidR="00734D3B" w:rsidRPr="00734D3B" w14:paraId="61607B8F" w14:textId="77777777" w:rsidTr="00616C68">
        <w:tc>
          <w:tcPr>
            <w:cnfStyle w:val="001000000000" w:firstRow="0" w:lastRow="0" w:firstColumn="1" w:lastColumn="0" w:oddVBand="0" w:evenVBand="0" w:oddHBand="0" w:evenHBand="0" w:firstRowFirstColumn="0" w:firstRowLastColumn="0" w:lastRowFirstColumn="0" w:lastRowLastColumn="0"/>
            <w:tcW w:w="0" w:type="auto"/>
            <w:hideMark/>
          </w:tcPr>
          <w:p w14:paraId="22479D40" w14:textId="77777777" w:rsidR="00285B3C" w:rsidRPr="00734D3B" w:rsidRDefault="00285B3C" w:rsidP="00285B3C">
            <w:pPr>
              <w:spacing w:line="240" w:lineRule="auto"/>
              <w:ind w:firstLine="0"/>
              <w:rPr>
                <w:rFonts w:cs="Arial"/>
                <w:b w:val="0"/>
                <w:bCs w:val="0"/>
                <w:szCs w:val="22"/>
                <w:lang w:eastAsia="en-US"/>
              </w:rPr>
            </w:pPr>
            <w:r w:rsidRPr="00734D3B">
              <w:rPr>
                <w:rFonts w:cs="Arial"/>
                <w:b w:val="0"/>
                <w:bCs w:val="0"/>
                <w:szCs w:val="22"/>
                <w:lang w:eastAsia="en-US"/>
              </w:rPr>
              <w:t>Política Ambiental Centroamericana – CCAD</w:t>
            </w:r>
          </w:p>
        </w:tc>
        <w:tc>
          <w:tcPr>
            <w:tcW w:w="0" w:type="auto"/>
            <w:hideMark/>
          </w:tcPr>
          <w:p w14:paraId="30685527"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Regional (SICA)</w:t>
            </w:r>
          </w:p>
        </w:tc>
        <w:tc>
          <w:tcPr>
            <w:tcW w:w="0" w:type="auto"/>
            <w:hideMark/>
          </w:tcPr>
          <w:p w14:paraId="2D9775C9"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Uso sostenible de recursos naturales, protección de ecosistemas, gestión de cuencas, gobernanza ambiental.</w:t>
            </w:r>
          </w:p>
        </w:tc>
        <w:tc>
          <w:tcPr>
            <w:tcW w:w="0" w:type="auto"/>
            <w:hideMark/>
          </w:tcPr>
          <w:p w14:paraId="268E77D6"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Se relaciona con hidroeléctricas y proyectos en áreas sensibles.</w:t>
            </w:r>
          </w:p>
        </w:tc>
        <w:tc>
          <w:tcPr>
            <w:tcW w:w="0" w:type="auto"/>
            <w:hideMark/>
          </w:tcPr>
          <w:p w14:paraId="42982216" w14:textId="77777777" w:rsidR="00285B3C" w:rsidRPr="00734D3B" w:rsidRDefault="00285B3C" w:rsidP="00285B3C">
            <w:pPr>
              <w:spacing w:line="240" w:lineRule="auto"/>
              <w:ind w:firstLine="0"/>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Añade criterios regionales de conservación y articulación con políticas locales.</w:t>
            </w:r>
          </w:p>
        </w:tc>
      </w:tr>
    </w:tbl>
    <w:p w14:paraId="4D71076C" w14:textId="6F08221E" w:rsidR="00285B3C" w:rsidRPr="00734D3B" w:rsidRDefault="00285B3C" w:rsidP="00285B3C">
      <w:pPr>
        <w:spacing w:line="240" w:lineRule="auto"/>
        <w:ind w:firstLine="0"/>
        <w:contextualSpacing/>
        <w:rPr>
          <w:rFonts w:cs="Arial"/>
          <w:szCs w:val="22"/>
        </w:rPr>
      </w:pPr>
      <w:r w:rsidRPr="00734D3B">
        <w:rPr>
          <w:rFonts w:cs="Arial"/>
          <w:i/>
          <w:iCs/>
          <w:szCs w:val="22"/>
        </w:rPr>
        <w:t>Nota</w:t>
      </w:r>
      <w:r w:rsidRPr="00734D3B">
        <w:rPr>
          <w:rFonts w:cs="Arial"/>
          <w:szCs w:val="22"/>
        </w:rPr>
        <w:t xml:space="preserve">. La Tabla </w:t>
      </w:r>
      <w:r w:rsidR="00851AFE" w:rsidRPr="00734D3B">
        <w:rPr>
          <w:rFonts w:cs="Arial"/>
          <w:szCs w:val="22"/>
        </w:rPr>
        <w:t>9</w:t>
      </w:r>
      <w:r w:rsidRPr="00734D3B">
        <w:rPr>
          <w:rFonts w:cs="Arial"/>
          <w:szCs w:val="22"/>
        </w:rPr>
        <w:t xml:space="preserve"> muestra los comparativos de la normativa y buenas prácticas. Autoría propia.</w:t>
      </w:r>
    </w:p>
    <w:p w14:paraId="04369859" w14:textId="77777777" w:rsidR="00285B3C" w:rsidRPr="00734D3B" w:rsidRDefault="00285B3C" w:rsidP="00285B3C"/>
    <w:p w14:paraId="56DB6A8F" w14:textId="77777777" w:rsidR="00285B3C" w:rsidRPr="00734D3B" w:rsidRDefault="00285B3C" w:rsidP="00285B3C">
      <w:r w:rsidRPr="00734D3B">
        <w:t>La revisión de los principales marcos normativos internacionales y regionales evidencia que la gestión ambiental en proyectos eléctricos se ha estructurado progresivamente sobre estándares globales que buscan garantizar la prevención de impactos, la participación ciudadana y la integración temprana de criterios ambientales en el ciclo de vida del proyecto. Desde la perspectiva de la Administración de Proyectos, esto es fundamental, porque cada normativa analizada aporta elementos directamente vinculados con procesos, riesgos, fases y sistemas de gestión propios del PMBOK, ISO 21500, ISO 31000 y metodologías de ciclo de vida del proyecto.</w:t>
      </w:r>
    </w:p>
    <w:p w14:paraId="5426CB3E" w14:textId="77777777" w:rsidR="00285B3C" w:rsidRPr="00734D3B" w:rsidRDefault="00285B3C" w:rsidP="00285B3C">
      <w:r w:rsidRPr="00734D3B">
        <w:t xml:space="preserve">En primer lugar, ISO 14001:2015 se posiciona como el estándar base para estructurar sistemas de control ambiental, lo que permite vincular los componentes ambientales con áreas </w:t>
      </w:r>
      <w:r w:rsidRPr="00734D3B">
        <w:lastRenderedPageBreak/>
        <w:t>de conocimiento como gestión de riesgos, gestión de calidad y gestión de recursos. Su enfoque de mejora continua ofrece una arquitectura operativa que puede integrarse directamente en el plan de gestión ambiental de un proyecto eléctrico, definiendo responsabilidades, indicadores y procedimientos (ISO, 2015).</w:t>
      </w:r>
    </w:p>
    <w:p w14:paraId="66F4B6E7" w14:textId="77777777" w:rsidR="00285B3C" w:rsidRPr="00734D3B" w:rsidRDefault="00285B3C" w:rsidP="00285B3C">
      <w:r w:rsidRPr="00734D3B">
        <w:t>Los Estándares de Desempeño de la IFC (2012) y el Marco Ambiental del Banco Mundial (2017), por su parte, muestran un mayor énfasis en los riesgos socioambientales, la protección de comunidades y los requisitos de monitoreo para los financiadores internacionales. En proyectos eléctricos, que suelen implicar líneas de transmisión, subestaciones o plantas generadoras, estos documentos representan un marco técnico indispensable para estructurar Evaluaciones de Impacto Ambiental (EIA) robustas y planes de mitigación que cumplan con criterios globales de aceptabilidad social. Para una tesis en Administración de Proyectos, estos estándares permiten justificar por qué la gestión ambiental debe incorporarse desde la fase de formulación y análisis de factibilidad, no únicamente como requisito regulatorio.</w:t>
      </w:r>
    </w:p>
    <w:p w14:paraId="559DD697" w14:textId="77777777" w:rsidR="00285B3C" w:rsidRPr="00734D3B" w:rsidRDefault="00285B3C" w:rsidP="00285B3C">
      <w:r w:rsidRPr="00734D3B">
        <w:t>Asimismo, el Protocolo de Evaluación Ambiental Estratégica del Convenio de Aarhus (UNECE, 2003) aporta elementos esenciales para la planificación temprana del territorio y el ordenamiento ambiental, lo cual fortalece la fase de inicio y planificación del proyecto, proporcionando herramientas para valorar alternativas, escenarios y riesgos territoriales. En proyectos eléctricos, donde la ubicación geográfica determina viabilidad, costos y aceptación social, la Evaluación Ambiental Estratégica es un elemento que puede reducir de manera significativa la incertidumbre en etapas posteriores.</w:t>
      </w:r>
    </w:p>
    <w:p w14:paraId="26E38163" w14:textId="77777777" w:rsidR="00285B3C" w:rsidRPr="00734D3B" w:rsidRDefault="00285B3C" w:rsidP="00285B3C">
      <w:r w:rsidRPr="00734D3B">
        <w:t xml:space="preserve">En el ámbito regional, las guías de la CEPAL (2021) y la CCAD (2015) destacan la necesidad de adaptar la gestión ambiental a las particularidades socioeconómicas de América Latina y Centroamérica, integrando variables como vulnerabilidad climática, gobernanza y capacidades institucionales. Estas fuentes permiten construir una guía metodológica </w:t>
      </w:r>
      <w:r w:rsidRPr="00734D3B">
        <w:lastRenderedPageBreak/>
        <w:t>contextualizada, lo cual es clave para proyectos eléctricos desarrollados en Costa Rica o la región, donde existen ecosistemas sensibles, áreas protegidas y comunidades involucradas en procesos de consulta y negociación.</w:t>
      </w:r>
    </w:p>
    <w:p w14:paraId="4BB027ED" w14:textId="77777777" w:rsidR="00285B3C" w:rsidRPr="00734D3B" w:rsidRDefault="00285B3C" w:rsidP="00285B3C">
      <w:r w:rsidRPr="00734D3B">
        <w:t>Finalmente, los lineamientos técnicos de la EPA (2020) y la Comisión Europea (2018) incorporan estándares específicos sobre emisiones, calidad de agua, gestión de residuos y control de ruido, útiles para definir los parámetros ambientales en etapas de construcción y operación de plantas eléctricas o infraestructura asociada.</w:t>
      </w:r>
    </w:p>
    <w:p w14:paraId="3B4B8C1A" w14:textId="77777777" w:rsidR="00285B3C" w:rsidRPr="00734D3B" w:rsidRDefault="00285B3C" w:rsidP="00285B3C">
      <w:r w:rsidRPr="00734D3B">
        <w:t>En síntesis, el análisis comparativo demuestra que los marcos normativos convergen en cinco pilares fundamentales para la gestión ambiental en proyectos eléctricos:</w:t>
      </w:r>
    </w:p>
    <w:p w14:paraId="5C4A96DD" w14:textId="77777777" w:rsidR="00285B3C" w:rsidRPr="00734D3B" w:rsidRDefault="00285B3C" w:rsidP="00285B3C">
      <w:r w:rsidRPr="00734D3B">
        <w:t>(1) evaluación temprana de impactos,</w:t>
      </w:r>
    </w:p>
    <w:p w14:paraId="348A78D3" w14:textId="77777777" w:rsidR="00285B3C" w:rsidRPr="00734D3B" w:rsidRDefault="00285B3C" w:rsidP="00285B3C">
      <w:r w:rsidRPr="00734D3B">
        <w:t>(2) gobernanza y participación pública,</w:t>
      </w:r>
    </w:p>
    <w:p w14:paraId="3F49F6A4" w14:textId="77777777" w:rsidR="00285B3C" w:rsidRPr="00734D3B" w:rsidRDefault="00285B3C" w:rsidP="00285B3C">
      <w:r w:rsidRPr="00734D3B">
        <w:t>(3) control operacional y monitoreo,</w:t>
      </w:r>
    </w:p>
    <w:p w14:paraId="1387D011" w14:textId="77777777" w:rsidR="00285B3C" w:rsidRPr="00734D3B" w:rsidRDefault="00285B3C" w:rsidP="00285B3C">
      <w:r w:rsidRPr="00734D3B">
        <w:t>(4) gestión de riesgos socioambientales, y</w:t>
      </w:r>
    </w:p>
    <w:p w14:paraId="5C45D186" w14:textId="77777777" w:rsidR="00285B3C" w:rsidRPr="00734D3B" w:rsidRDefault="00285B3C" w:rsidP="00285B3C">
      <w:r w:rsidRPr="00734D3B">
        <w:t>(5) cumplimiento normativo basado en estándares internacionales.</w:t>
      </w:r>
    </w:p>
    <w:p w14:paraId="486C3943" w14:textId="77777777" w:rsidR="00285B3C" w:rsidRPr="00734D3B" w:rsidRDefault="00285B3C" w:rsidP="00285B3C">
      <w:r w:rsidRPr="00734D3B">
        <w:t>Estos pilares permiten establecer una guía metodológica coherente, aplicable y alineada con las mejores prácticas globales, reforzando la toma de decisiones desde el enfoque de Administración de Proyectos.</w:t>
      </w:r>
    </w:p>
    <w:p w14:paraId="68C4238F" w14:textId="77777777" w:rsidR="00285B3C" w:rsidRPr="00734D3B" w:rsidRDefault="00285B3C" w:rsidP="00285B3C">
      <w:pPr>
        <w:rPr>
          <w:b/>
          <w:bCs/>
        </w:rPr>
      </w:pPr>
      <w:r w:rsidRPr="00734D3B">
        <w:rPr>
          <w:b/>
          <w:bCs/>
        </w:rPr>
        <w:t>Análisis de impacto mediante el modelo P5</w:t>
      </w:r>
    </w:p>
    <w:p w14:paraId="3FADDB9E" w14:textId="77777777" w:rsidR="00285B3C" w:rsidRPr="00734D3B" w:rsidRDefault="00285B3C" w:rsidP="00285B3C">
      <w:r w:rsidRPr="00734D3B">
        <w:t>Como complemento al análisis normativo y técnico de los marcos aplicables a la gestión ambiental, se incorporó el modelo P5 de GPM Global, el cual constituye una herramienta metodológica orientada a integrar la sostenibilidad dentro de la gestión de proyectos. Este modelo permite evaluar de manera sistemática los impactos del proyecto a partir de cinco dimensiones fundamentales: Personas (People), Planeta (Planet), Prosperidad (Prosperity), Procesos (Process) y Producto (</w:t>
      </w:r>
      <w:proofErr w:type="spellStart"/>
      <w:r w:rsidRPr="00734D3B">
        <w:t>Product</w:t>
      </w:r>
      <w:proofErr w:type="spellEnd"/>
      <w:r w:rsidRPr="00734D3B">
        <w:t>), ampliando el enfoque tradicional centrado exclusivamente en el cumplimiento ambiental (GPM Global, 2019).</w:t>
      </w:r>
    </w:p>
    <w:p w14:paraId="0BCF0828" w14:textId="77777777" w:rsidR="00285B3C" w:rsidRPr="00734D3B" w:rsidRDefault="00285B3C" w:rsidP="00285B3C"/>
    <w:p w14:paraId="20788C26" w14:textId="77777777" w:rsidR="00285B3C" w:rsidRPr="00734D3B" w:rsidRDefault="00285B3C" w:rsidP="00285B3C">
      <w:r w:rsidRPr="00734D3B">
        <w:t>El valor principal del modelo P5 radica en que vincula los impactos ambientales, sociales y económicos con los procesos de dirección de proyectos, facilitando una toma de decisiones más informada y alineada con los principios del desarrollo sostenible. A diferencia de otros instrumentos que operan de forma aislada, el P5 permite analizar cómo cada decisión técnica, operativa o administrativa genera efectos directos e indirectos en las distintas dimensiones del proyecto.</w:t>
      </w:r>
    </w:p>
    <w:p w14:paraId="1ED46CAC" w14:textId="77777777" w:rsidR="00285B3C" w:rsidRPr="00734D3B" w:rsidRDefault="00285B3C" w:rsidP="00285B3C">
      <w:r w:rsidRPr="00734D3B">
        <w:t>En el contexto específico de los proyectos eléctricos, la aplicación del modelo P5 resulta particularmente pertinente debido a la complejidad técnica de las obras, el uso intensivo de recursos materiales y energéticos, y los potenciales impactos ambientales y sociales asociados a la construcción y operación de infraestructuras eléctricas. Desde la dimensión Planeta, el análisis P5 facilita la identificación de impactos ambientales tales como la alteración del entorno natural, la generación de residuos eléctricos y electrónicos, el consumo de energía y agua, así como las emisiones derivadas del uso de equipos, transporte de materiales y pruebas operativas.</w:t>
      </w:r>
    </w:p>
    <w:p w14:paraId="4FC53511" w14:textId="77777777" w:rsidR="00285B3C" w:rsidRPr="00734D3B" w:rsidRDefault="00285B3C" w:rsidP="00285B3C">
      <w:r w:rsidRPr="00734D3B">
        <w:t>Por su parte, la dimensión Personas permite evaluar los efectos del proyecto sobre la salud y seguridad del personal, las condiciones laborales, la capacitación técnica, así como la relación con comunidades cercanas a las áreas de intervención. En proyectos eléctricos, esta dimensión es clave para integrar prácticas de trabajo seguro, cumplimiento normativo en materia de seguridad ocupacional y responsabilidad social, elementos que inciden directamente en la sostenibilidad del proyecto.</w:t>
      </w:r>
    </w:p>
    <w:p w14:paraId="7DC6D5DD" w14:textId="77777777" w:rsidR="00285B3C" w:rsidRPr="00734D3B" w:rsidRDefault="00285B3C" w:rsidP="00285B3C">
      <w:r w:rsidRPr="00734D3B">
        <w:t xml:space="preserve">La dimensión Prosperidad se orienta al análisis del impacto económico del proyecto, considerando aspectos como la eficiencia en el uso de recursos, el control de costos, la reducción de reprocesos y desperdicios, y el valor generado a largo plazo tanto para el contratista como para el cliente. En este sentido, el modelo P5 permite demostrar que la </w:t>
      </w:r>
      <w:r w:rsidRPr="00734D3B">
        <w:lastRenderedPageBreak/>
        <w:t>implementación de prácticas ambientales sostenibles no solo reduce impactos negativos, sino que también puede generar beneficios económicos mediante una gestión más eficiente y responsable.</w:t>
      </w:r>
    </w:p>
    <w:p w14:paraId="49653F29" w14:textId="77777777" w:rsidR="00285B3C" w:rsidRPr="00734D3B" w:rsidRDefault="00285B3C" w:rsidP="00285B3C">
      <w:r w:rsidRPr="00734D3B">
        <w:t>Asimismo, la dimensión Procesos analiza cómo los métodos constructivos, los procedimientos operativos y los sistemas de gestión influyen en los resultados ambientales y sociales del proyecto. En proyectos eléctricos, esta dimensión se relaciona directamente con la estandarización de procedimientos, la gestión de residuos, el control operacional y la trazabilidad de actividades, elementos fundamentales para garantizar el cumplimiento de los objetivos ambientales definidos.</w:t>
      </w:r>
    </w:p>
    <w:p w14:paraId="21A5736A" w14:textId="77777777" w:rsidR="00285B3C" w:rsidRPr="00734D3B" w:rsidRDefault="00285B3C" w:rsidP="00285B3C">
      <w:r w:rsidRPr="00734D3B">
        <w:t>Finalmente, la dimensión Producto evalúa el desempeño ambiental y funcional del resultado final del proyecto, considerando criterios como la eficiencia energética, la durabilidad de las instalaciones, la facilidad de mantenimiento y el cumplimiento de estándares técnicos y ambientales. Esta dimensión resulta especialmente relevante en infraestructuras eléctricas de misión crítica, donde la confiabilidad operativa y la sostenibilidad a largo plazo son factores determinantes.</w:t>
      </w:r>
    </w:p>
    <w:p w14:paraId="122D4DF4" w14:textId="77777777" w:rsidR="00285B3C" w:rsidRPr="00734D3B" w:rsidRDefault="00285B3C" w:rsidP="00285B3C">
      <w:r w:rsidRPr="00734D3B">
        <w:t>En conjunto, el análisis de impacto mediante el modelo P5 permitió articular los marcos normativos revisados con una visión estratégica de sostenibilidad, proporcionando una base sólida para el diseño de la guía metodológica. De esta forma, el modelo P5 contribuye a integrar la gestión ambiental dentro del ciclo de vida del proyecto eléctrico, fortaleciendo la coherencia entre planificación, ejecución y resultados finales.</w:t>
      </w:r>
    </w:p>
    <w:p w14:paraId="6F143C71" w14:textId="77777777" w:rsidR="00285B3C" w:rsidRPr="00734D3B" w:rsidRDefault="00285B3C" w:rsidP="00285B3C">
      <w:pPr>
        <w:rPr>
          <w:b/>
          <w:bCs/>
        </w:rPr>
      </w:pPr>
      <w:r w:rsidRPr="00734D3B">
        <w:rPr>
          <w:b/>
          <w:bCs/>
        </w:rPr>
        <w:t>Plan de gestión de calidad por fases</w:t>
      </w:r>
    </w:p>
    <w:p w14:paraId="765F9ABB" w14:textId="3A17A0FB" w:rsidR="00285B3C" w:rsidRPr="00734D3B" w:rsidRDefault="00285B3C" w:rsidP="00285B3C">
      <w:pPr>
        <w:rPr>
          <w:lang w:val="es-MX"/>
        </w:rPr>
      </w:pPr>
      <w:r w:rsidRPr="00734D3B">
        <w:rPr>
          <w:lang w:val="es-MX"/>
        </w:rPr>
        <w:t>En plan de gestión de calidad para la gestión ambiental de proyectos en proyectos eléctricos se escritura en fases secuenciales e interrelacionadas no alineadas con el ciclo de vida del proyecto y con el enfoque de mejora continua PHVA</w:t>
      </w:r>
      <w:r w:rsidR="00FD2D8A" w:rsidRPr="00734D3B">
        <w:rPr>
          <w:lang w:val="es-MX"/>
        </w:rPr>
        <w:t xml:space="preserve">, </w:t>
      </w:r>
      <w:r w:rsidRPr="00734D3B">
        <w:rPr>
          <w:lang w:val="es-MX"/>
        </w:rPr>
        <w:t xml:space="preserve">estableciendo en las normas ISO </w:t>
      </w:r>
      <w:r w:rsidRPr="00734D3B">
        <w:rPr>
          <w:lang w:val="es-MX"/>
        </w:rPr>
        <w:lastRenderedPageBreak/>
        <w:t>9001 2015 e ISO 14001 2015. Esta estructuración por fases permite asegurar la trazabilidad, el control y la sostenibilidad de las acciones ambientales implementadas.</w:t>
      </w:r>
    </w:p>
    <w:p w14:paraId="4CBFF67D" w14:textId="38732F18" w:rsidR="00285B3C" w:rsidRPr="00734D3B" w:rsidRDefault="00285B3C" w:rsidP="00285B3C">
      <w:pPr>
        <w:rPr>
          <w:b/>
          <w:bCs/>
          <w:lang w:val="es-MX"/>
        </w:rPr>
      </w:pPr>
      <w:r w:rsidRPr="00734D3B">
        <w:rPr>
          <w:b/>
          <w:bCs/>
          <w:lang w:val="es-MX"/>
        </w:rPr>
        <w:t xml:space="preserve">Fase 1: </w:t>
      </w:r>
      <w:r w:rsidR="00262A58" w:rsidRPr="00734D3B">
        <w:rPr>
          <w:b/>
          <w:bCs/>
          <w:lang w:val="es-MX"/>
        </w:rPr>
        <w:t>P</w:t>
      </w:r>
      <w:r w:rsidRPr="00734D3B">
        <w:rPr>
          <w:b/>
          <w:bCs/>
          <w:lang w:val="es-MX"/>
        </w:rPr>
        <w:t>lanificación de la calidad ambiental</w:t>
      </w:r>
    </w:p>
    <w:p w14:paraId="7B5FEB4E" w14:textId="0F5C0C6B" w:rsidR="00285B3C" w:rsidRPr="00734D3B" w:rsidRDefault="00285B3C" w:rsidP="00285B3C">
      <w:pPr>
        <w:rPr>
          <w:lang w:val="es-MX"/>
        </w:rPr>
      </w:pPr>
      <w:r w:rsidRPr="00734D3B">
        <w:rPr>
          <w:lang w:val="es-MX"/>
        </w:rPr>
        <w:t xml:space="preserve">En esta fase se definen los criterios de calidad ambiental que regirán el proyecto eléctrico, considerando los requisitos legales, normativos y contractuales aplicables. Se identifican los aspectos e impactos ambientales significativos, </w:t>
      </w:r>
      <w:r w:rsidR="00262A58" w:rsidRPr="00734D3B">
        <w:rPr>
          <w:lang w:val="es-MX"/>
        </w:rPr>
        <w:t>así</w:t>
      </w:r>
      <w:r w:rsidRPr="00734D3B">
        <w:rPr>
          <w:lang w:val="es-MX"/>
        </w:rPr>
        <w:t xml:space="preserve"> como los riesgos asociados a las actividades eléctricas, tales como la </w:t>
      </w:r>
      <w:r w:rsidR="00262A58" w:rsidRPr="00734D3B">
        <w:rPr>
          <w:lang w:val="es-MX"/>
        </w:rPr>
        <w:t>generación</w:t>
      </w:r>
      <w:r w:rsidRPr="00734D3B">
        <w:rPr>
          <w:lang w:val="es-MX"/>
        </w:rPr>
        <w:t xml:space="preserve"> de residuos, el consumo eléctrico y el uso de materiales especializados.</w:t>
      </w:r>
    </w:p>
    <w:p w14:paraId="29D2FDA2" w14:textId="00BBD0C5" w:rsidR="00285B3C" w:rsidRPr="00734D3B" w:rsidRDefault="00285B3C" w:rsidP="00285B3C">
      <w:pPr>
        <w:rPr>
          <w:lang w:val="es-MX"/>
        </w:rPr>
      </w:pPr>
      <w:r w:rsidRPr="00734D3B">
        <w:rPr>
          <w:lang w:val="es-MX"/>
        </w:rPr>
        <w:t>Asimismo, se establecen los objetivos ambientales, los indicadores de desempeño (</w:t>
      </w:r>
      <w:proofErr w:type="spellStart"/>
      <w:r w:rsidRPr="00734D3B">
        <w:rPr>
          <w:lang w:val="es-MX"/>
        </w:rPr>
        <w:t>KPI´s</w:t>
      </w:r>
      <w:proofErr w:type="spellEnd"/>
      <w:r w:rsidRPr="00734D3B">
        <w:rPr>
          <w:lang w:val="es-MX"/>
        </w:rPr>
        <w:t xml:space="preserve">) y los procedimientos operativos que serán aplicados durante la </w:t>
      </w:r>
      <w:r w:rsidR="00262A58" w:rsidRPr="00734D3B">
        <w:rPr>
          <w:lang w:val="es-MX"/>
        </w:rPr>
        <w:t>ejecución</w:t>
      </w:r>
      <w:r w:rsidRPr="00734D3B">
        <w:rPr>
          <w:lang w:val="es-MX"/>
        </w:rPr>
        <w:t xml:space="preserve"> del proyecto. De acuerdo con ISO 14001, esta fase es fundamental para anticipar los riesgos y oportunidades y para integrar la gestión ambiental en la </w:t>
      </w:r>
      <w:r w:rsidR="00262A58" w:rsidRPr="00734D3B">
        <w:rPr>
          <w:lang w:val="es-MX"/>
        </w:rPr>
        <w:t>planificación</w:t>
      </w:r>
      <w:r w:rsidRPr="00734D3B">
        <w:rPr>
          <w:lang w:val="es-MX"/>
        </w:rPr>
        <w:t xml:space="preserve"> general del proyecto (ISO, 2015). </w:t>
      </w:r>
    </w:p>
    <w:p w14:paraId="1E58F1B7" w14:textId="24664B44" w:rsidR="00285B3C" w:rsidRPr="00734D3B" w:rsidRDefault="00285B3C" w:rsidP="00285B3C">
      <w:pPr>
        <w:rPr>
          <w:b/>
          <w:bCs/>
          <w:lang w:val="es-MX"/>
        </w:rPr>
      </w:pPr>
      <w:r w:rsidRPr="00734D3B">
        <w:rPr>
          <w:b/>
          <w:bCs/>
          <w:lang w:val="es-MX"/>
        </w:rPr>
        <w:t xml:space="preserve">Fase 2: </w:t>
      </w:r>
      <w:r w:rsidR="00262A58" w:rsidRPr="00734D3B">
        <w:rPr>
          <w:b/>
          <w:bCs/>
          <w:lang w:val="es-MX"/>
        </w:rPr>
        <w:t>Implementación</w:t>
      </w:r>
      <w:r w:rsidRPr="00734D3B">
        <w:rPr>
          <w:b/>
          <w:bCs/>
          <w:lang w:val="es-MX"/>
        </w:rPr>
        <w:t xml:space="preserve"> y control operativo</w:t>
      </w:r>
    </w:p>
    <w:p w14:paraId="553DC65B" w14:textId="45658308" w:rsidR="00285B3C" w:rsidRPr="00734D3B" w:rsidRDefault="00285B3C" w:rsidP="00285B3C">
      <w:pPr>
        <w:rPr>
          <w:lang w:val="es-MX"/>
        </w:rPr>
      </w:pPr>
      <w:r w:rsidRPr="00734D3B">
        <w:rPr>
          <w:lang w:val="es-MX"/>
        </w:rPr>
        <w:t xml:space="preserve">La fase de </w:t>
      </w:r>
      <w:r w:rsidR="00262A58" w:rsidRPr="00734D3B">
        <w:rPr>
          <w:lang w:val="es-MX"/>
        </w:rPr>
        <w:t>implementación</w:t>
      </w:r>
      <w:r w:rsidRPr="00734D3B">
        <w:rPr>
          <w:lang w:val="es-MX"/>
        </w:rPr>
        <w:t xml:space="preserve"> corresponde a la </w:t>
      </w:r>
      <w:r w:rsidR="00262A58" w:rsidRPr="00734D3B">
        <w:rPr>
          <w:lang w:val="es-MX"/>
        </w:rPr>
        <w:t>ejecución</w:t>
      </w:r>
      <w:r w:rsidRPr="00734D3B">
        <w:rPr>
          <w:lang w:val="es-MX"/>
        </w:rPr>
        <w:t xml:space="preserve"> de los procedimientos definidos, asegurando que las actividades eléctricas se desarrollen conforme a los estándares de calidad y sostenibilidad establecidos. En esta etapa se aplican los Procedimientos Operativos Estandarizados (POE) relacionados con la gestión de residuos eléctricos, el almacenamiento temporal, la segregación, el transporte y la disposición final.</w:t>
      </w:r>
    </w:p>
    <w:p w14:paraId="3DEF78D6" w14:textId="2BC466F2" w:rsidR="00285B3C" w:rsidRPr="00734D3B" w:rsidRDefault="00285B3C" w:rsidP="00285B3C">
      <w:pPr>
        <w:rPr>
          <w:lang w:val="es-MX"/>
        </w:rPr>
      </w:pPr>
      <w:r w:rsidRPr="00734D3B">
        <w:rPr>
          <w:lang w:val="es-MX"/>
        </w:rPr>
        <w:t>Adem</w:t>
      </w:r>
      <w:r w:rsidR="00262A58" w:rsidRPr="00734D3B">
        <w:rPr>
          <w:lang w:val="es-MX"/>
        </w:rPr>
        <w:t>á</w:t>
      </w:r>
      <w:r w:rsidRPr="00734D3B">
        <w:rPr>
          <w:lang w:val="es-MX"/>
        </w:rPr>
        <w:t xml:space="preserve">s, se asignan responsabilidades claras mediante herramientas como la matriz RACI, lo que favorece la coordinación de contratistas, supervisoras y responsables ambientales. Según ISO 9001, el control operativo es clave para garantizar la coherencia entre lo planificado y lo ejecutado, minimizando errores y reprocesos (ISO, 2015). </w:t>
      </w:r>
    </w:p>
    <w:p w14:paraId="7CCBEE62" w14:textId="77777777" w:rsidR="00971B2F" w:rsidRPr="00734D3B" w:rsidRDefault="00971B2F" w:rsidP="00285B3C">
      <w:pPr>
        <w:rPr>
          <w:lang w:val="es-MX"/>
        </w:rPr>
      </w:pPr>
    </w:p>
    <w:p w14:paraId="29F48505" w14:textId="77777777" w:rsidR="00971B2F" w:rsidRPr="00734D3B" w:rsidRDefault="00971B2F" w:rsidP="00285B3C">
      <w:pPr>
        <w:rPr>
          <w:lang w:val="es-MX"/>
        </w:rPr>
      </w:pPr>
    </w:p>
    <w:p w14:paraId="26FB732C" w14:textId="29868814" w:rsidR="00285B3C" w:rsidRPr="00734D3B" w:rsidRDefault="00285B3C" w:rsidP="00285B3C">
      <w:pPr>
        <w:rPr>
          <w:b/>
          <w:bCs/>
          <w:lang w:val="es-MX"/>
        </w:rPr>
      </w:pPr>
      <w:r w:rsidRPr="00734D3B">
        <w:rPr>
          <w:b/>
          <w:bCs/>
          <w:lang w:val="es-MX"/>
        </w:rPr>
        <w:lastRenderedPageBreak/>
        <w:t xml:space="preserve">Fase 3: </w:t>
      </w:r>
      <w:r w:rsidR="00262A58" w:rsidRPr="00734D3B">
        <w:rPr>
          <w:b/>
          <w:bCs/>
          <w:lang w:val="es-MX"/>
        </w:rPr>
        <w:t>S</w:t>
      </w:r>
      <w:r w:rsidRPr="00734D3B">
        <w:rPr>
          <w:b/>
          <w:bCs/>
          <w:lang w:val="es-MX"/>
        </w:rPr>
        <w:t>eguimiento, medición y verificaci</w:t>
      </w:r>
      <w:r w:rsidR="00262A58" w:rsidRPr="00734D3B">
        <w:rPr>
          <w:b/>
          <w:bCs/>
          <w:lang w:val="es-MX"/>
        </w:rPr>
        <w:t>ó</w:t>
      </w:r>
      <w:r w:rsidRPr="00734D3B">
        <w:rPr>
          <w:b/>
          <w:bCs/>
          <w:lang w:val="es-MX"/>
        </w:rPr>
        <w:t>n</w:t>
      </w:r>
    </w:p>
    <w:p w14:paraId="177E3920" w14:textId="2A689027" w:rsidR="00285B3C" w:rsidRPr="00734D3B" w:rsidRDefault="00285B3C" w:rsidP="00285B3C">
      <w:pPr>
        <w:rPr>
          <w:lang w:val="es-MX"/>
        </w:rPr>
      </w:pPr>
      <w:r w:rsidRPr="00734D3B">
        <w:rPr>
          <w:lang w:val="es-MX"/>
        </w:rPr>
        <w:t>Durante esta fase se realiza el monitoreo sistemático del desempeño ambiental, utilizando los indicadores definidos en la fase de planificaci</w:t>
      </w:r>
      <w:r w:rsidR="00262A58" w:rsidRPr="00734D3B">
        <w:rPr>
          <w:lang w:val="es-MX"/>
        </w:rPr>
        <w:t>ó</w:t>
      </w:r>
      <w:r w:rsidRPr="00734D3B">
        <w:rPr>
          <w:lang w:val="es-MX"/>
        </w:rPr>
        <w:t xml:space="preserve">n. Se llevan a cabo inspecciones, </w:t>
      </w:r>
      <w:r w:rsidR="00AF2906" w:rsidRPr="00734D3B">
        <w:rPr>
          <w:lang w:val="es-MX"/>
        </w:rPr>
        <w:t>auditorías</w:t>
      </w:r>
      <w:r w:rsidRPr="00734D3B">
        <w:rPr>
          <w:lang w:val="es-MX"/>
        </w:rPr>
        <w:t xml:space="preserve"> internas y revisiones periódicas para evaluar el cumplimiento de los procedimientos y la eficacia de las medidas implementadas.</w:t>
      </w:r>
    </w:p>
    <w:p w14:paraId="606247CE" w14:textId="5321AD90" w:rsidR="00285B3C" w:rsidRPr="00734D3B" w:rsidRDefault="00285B3C" w:rsidP="00285B3C">
      <w:pPr>
        <w:rPr>
          <w:lang w:val="es-MX"/>
        </w:rPr>
      </w:pPr>
      <w:r w:rsidRPr="00734D3B">
        <w:rPr>
          <w:lang w:val="es-MX"/>
        </w:rPr>
        <w:t xml:space="preserve">El seguimiento permite detectar desviaciones o no conformidades, tales como una incorrecta segregación de residuos o el incumplimiento de los </w:t>
      </w:r>
      <w:r w:rsidR="00262A58" w:rsidRPr="00734D3B">
        <w:rPr>
          <w:lang w:val="es-MX"/>
        </w:rPr>
        <w:t>lí</w:t>
      </w:r>
      <w:r w:rsidRPr="00734D3B">
        <w:rPr>
          <w:lang w:val="es-MX"/>
        </w:rPr>
        <w:t>mites ambientales establecidos. ISO 14001 destaca que la medición y evaluaci</w:t>
      </w:r>
      <w:r w:rsidR="00262A58" w:rsidRPr="00734D3B">
        <w:rPr>
          <w:lang w:val="es-MX"/>
        </w:rPr>
        <w:t>ó</w:t>
      </w:r>
      <w:r w:rsidRPr="00734D3B">
        <w:rPr>
          <w:lang w:val="es-MX"/>
        </w:rPr>
        <w:t>n del desempeño son esenciales para demostrar el cumplimiento legal y la mejora del sistema de gestión ambiental (ISO, 2015).</w:t>
      </w:r>
    </w:p>
    <w:p w14:paraId="3569991B" w14:textId="77777777" w:rsidR="00285B3C" w:rsidRPr="00734D3B" w:rsidRDefault="00285B3C" w:rsidP="00285B3C">
      <w:pPr>
        <w:rPr>
          <w:b/>
          <w:bCs/>
          <w:lang w:val="es-MX"/>
        </w:rPr>
      </w:pPr>
      <w:r w:rsidRPr="00734D3B">
        <w:rPr>
          <w:b/>
          <w:bCs/>
          <w:lang w:val="es-MX"/>
        </w:rPr>
        <w:t>Fase 4: Acciones correctivas y mejora continua</w:t>
      </w:r>
    </w:p>
    <w:p w14:paraId="2F237089" w14:textId="77777777" w:rsidR="00285B3C" w:rsidRPr="00734D3B" w:rsidRDefault="00285B3C" w:rsidP="00285B3C">
      <w:pPr>
        <w:rPr>
          <w:lang w:val="es-MX"/>
        </w:rPr>
      </w:pPr>
      <w:r w:rsidRPr="00734D3B">
        <w:rPr>
          <w:lang w:val="es-MX"/>
        </w:rPr>
        <w:t xml:space="preserve">Con base en los resultados del seguimiento, se definen e implementan acciones correctivas y preventivas orientadas a eliminar las causas de las no conformidades identificadas. Esta fase busca no solo corregir errores, sino también mejorar continuamente los procesos, fortaleciendo la gestión ambiental del proyecto. </w:t>
      </w:r>
    </w:p>
    <w:p w14:paraId="7DA0F56F" w14:textId="77777777" w:rsidR="00285B3C" w:rsidRPr="00734D3B" w:rsidRDefault="00285B3C" w:rsidP="00285B3C">
      <w:pPr>
        <w:rPr>
          <w:lang w:val="es-MX"/>
        </w:rPr>
      </w:pPr>
      <w:r w:rsidRPr="00734D3B">
        <w:rPr>
          <w:lang w:val="es-MX"/>
        </w:rPr>
        <w:t>La aplicación del ciclo PHVA permite retroalimentar el sistema, ajustando procedimientos, indicadores y controles según las lecciones aprendidas. De acuerdo con ISO 9001, la mejora continua es un principio fundamental para aumentar la eficacia del sistema de gestión y asegurar la sostenibilidad de los resultados a largo plazo (ISO, 2015).</w:t>
      </w:r>
    </w:p>
    <w:p w14:paraId="6B46E116" w14:textId="77777777" w:rsidR="00374D60" w:rsidRPr="00734D3B" w:rsidRDefault="00374D60" w:rsidP="00374D60">
      <w:pPr>
        <w:rPr>
          <w:lang w:val="es-MX"/>
        </w:rPr>
      </w:pPr>
      <w:r w:rsidRPr="00734D3B">
        <w:rPr>
          <w:lang w:val="es-MX"/>
        </w:rPr>
        <w:t>La presente guía orienta la correcta identificación, clasificación y seguimiento de no conformidades ambientales, así como la implementación de acciones correctivas, preventivas y de mejora continua.</w:t>
      </w:r>
    </w:p>
    <w:p w14:paraId="1936029A" w14:textId="77777777" w:rsidR="00374D60" w:rsidRPr="00734D3B" w:rsidRDefault="00374D60" w:rsidP="00374D60">
      <w:pPr>
        <w:rPr>
          <w:lang w:val="es-MX"/>
        </w:rPr>
      </w:pPr>
      <w:r w:rsidRPr="00734D3B">
        <w:rPr>
          <w:lang w:val="es-MX"/>
        </w:rPr>
        <w:t>Apoya el uso del Registro de Monitoreo Ambiental y Lecciones Aprendidas, fomentando un enfoque sistemático de aprendizaje organizacional y permitiendo la retroalimentación de los indicadores ambientales (KPI) para su mejora progresiva en proyectos futuros.</w:t>
      </w:r>
    </w:p>
    <w:p w14:paraId="4E3C6087" w14:textId="77777777" w:rsidR="00834D7B" w:rsidRPr="00734D3B" w:rsidRDefault="00834D7B" w:rsidP="00374D60">
      <w:pPr>
        <w:rPr>
          <w:lang w:val="es-MX"/>
        </w:rPr>
      </w:pPr>
    </w:p>
    <w:p w14:paraId="602C19ED" w14:textId="77777777" w:rsidR="00FC648A" w:rsidRPr="00734D3B" w:rsidRDefault="00FC648A" w:rsidP="00FC648A">
      <w:pPr>
        <w:rPr>
          <w:b/>
          <w:bCs/>
          <w:lang w:val="es-MX"/>
        </w:rPr>
      </w:pPr>
      <w:r w:rsidRPr="00734D3B">
        <w:rPr>
          <w:b/>
          <w:bCs/>
          <w:lang w:val="es-MX"/>
        </w:rPr>
        <w:lastRenderedPageBreak/>
        <w:t xml:space="preserve">Fase 5. Evaluación final y cierre del proyecto </w:t>
      </w:r>
    </w:p>
    <w:p w14:paraId="16EB787C" w14:textId="77777777" w:rsidR="00FC648A" w:rsidRPr="00734D3B" w:rsidRDefault="00FC648A" w:rsidP="00FC648A">
      <w:pPr>
        <w:rPr>
          <w:lang w:val="es-MX"/>
        </w:rPr>
      </w:pPr>
      <w:r w:rsidRPr="00734D3B">
        <w:rPr>
          <w:lang w:val="es-MX"/>
        </w:rPr>
        <w:t>En la fase se realiza una evaluación integral del desempeño ambiental y de la calidad, verificando el cumplimiento de los objetivos establecidos y documentando los resultados alcanzados. Se consolidan las lecciones aprendidas, las buenas prácticas y las oportunidades de mejora, las cuales se integran en la guía metodológica para su futura replicabilidad.</w:t>
      </w:r>
    </w:p>
    <w:p w14:paraId="6279E94A" w14:textId="77777777" w:rsidR="00FC648A" w:rsidRPr="00734D3B" w:rsidRDefault="00FC648A" w:rsidP="00FC648A">
      <w:r w:rsidRPr="00734D3B">
        <w:rPr>
          <w:lang w:val="es-MX"/>
        </w:rPr>
        <w:t xml:space="preserve">Esta fase asegura que la experiencia adquirida durante el proyecto contribuya a fortalecer la gestión ambiental en proyectos eléctricos posteriores, promoviendo una cultura organizacional orientada a la sostenibilidad y a la excelencia en la gestión de proyectos. </w:t>
      </w:r>
    </w:p>
    <w:p w14:paraId="611E983D" w14:textId="41F179AB" w:rsidR="00A419FF" w:rsidRPr="00734D3B" w:rsidRDefault="00374D60" w:rsidP="00A419FF">
      <w:r w:rsidRPr="00734D3B">
        <w:rPr>
          <w:lang w:val="es-MX"/>
        </w:rPr>
        <w:t xml:space="preserve">Con el propósito de asegurar coherencia metodológica entre las fases </w:t>
      </w:r>
      <w:r w:rsidR="00A419FF" w:rsidRPr="00734D3B">
        <w:t>del proceso, las propuestas desarrolladas en el Objetivo 4.3 y los instrumentos definidos en el Objetivo 4.4, a continuación, se presenta un cuadro de correspondencia que identifica los elementos aplicables a cada fase de la gestión sostenible en proyectos de data centers.</w:t>
      </w:r>
    </w:p>
    <w:p w14:paraId="5BFEC87E" w14:textId="77777777" w:rsidR="00F928D4" w:rsidRDefault="00374D60" w:rsidP="00BE0964">
      <w:pPr>
        <w:pStyle w:val="Caption"/>
        <w:rPr>
          <w:color w:val="auto"/>
        </w:rPr>
      </w:pPr>
      <w:bookmarkStart w:id="351" w:name="_Toc228342090"/>
      <w:r w:rsidRPr="00734D3B">
        <w:rPr>
          <w:color w:val="auto"/>
        </w:rPr>
        <w:t xml:space="preserve">Tabla </w:t>
      </w:r>
      <w:r w:rsidRPr="00734D3B">
        <w:rPr>
          <w:color w:val="auto"/>
        </w:rPr>
        <w:fldChar w:fldCharType="begin"/>
      </w:r>
      <w:r w:rsidRPr="00734D3B">
        <w:rPr>
          <w:color w:val="auto"/>
        </w:rPr>
        <w:instrText xml:space="preserve"> SEQ Tabla \* ARABIC </w:instrText>
      </w:r>
      <w:r w:rsidRPr="00734D3B">
        <w:rPr>
          <w:color w:val="auto"/>
        </w:rPr>
        <w:fldChar w:fldCharType="separate"/>
      </w:r>
      <w:r w:rsidR="00204541" w:rsidRPr="00734D3B">
        <w:rPr>
          <w:noProof/>
          <w:color w:val="auto"/>
        </w:rPr>
        <w:t>10</w:t>
      </w:r>
      <w:r w:rsidRPr="00734D3B">
        <w:rPr>
          <w:color w:val="auto"/>
        </w:rPr>
        <w:fldChar w:fldCharType="end"/>
      </w:r>
    </w:p>
    <w:p w14:paraId="73F77F74" w14:textId="7B969C80" w:rsidR="007E5506" w:rsidRPr="00F928D4" w:rsidRDefault="007E5506" w:rsidP="00BE0964">
      <w:pPr>
        <w:pStyle w:val="Caption"/>
        <w:rPr>
          <w:b w:val="0"/>
          <w:bCs/>
          <w:color w:val="auto"/>
        </w:rPr>
      </w:pPr>
      <w:r w:rsidRPr="00F928D4">
        <w:rPr>
          <w:b w:val="0"/>
          <w:bCs/>
          <w:i/>
          <w:iCs/>
        </w:rPr>
        <w:t>Guía metodológica para la gestión ambiental, sostenibilidad y mejora continua en proyectos de data centers</w:t>
      </w:r>
      <w:bookmarkEnd w:id="351"/>
    </w:p>
    <w:tbl>
      <w:tblPr>
        <w:tblStyle w:val="TableGrid"/>
        <w:tblW w:w="0" w:type="auto"/>
        <w:tblLook w:val="04A0" w:firstRow="1" w:lastRow="0" w:firstColumn="1" w:lastColumn="0" w:noHBand="0" w:noVBand="1"/>
      </w:tblPr>
      <w:tblGrid>
        <w:gridCol w:w="1791"/>
        <w:gridCol w:w="1636"/>
        <w:gridCol w:w="1627"/>
        <w:gridCol w:w="1674"/>
        <w:gridCol w:w="1659"/>
      </w:tblGrid>
      <w:tr w:rsidR="00734D3B" w:rsidRPr="00734D3B" w14:paraId="201BC3F9" w14:textId="7739656B" w:rsidTr="006B52B3">
        <w:tc>
          <w:tcPr>
            <w:tcW w:w="1791" w:type="dxa"/>
          </w:tcPr>
          <w:p w14:paraId="70B72033" w14:textId="77777777" w:rsidR="006B52B3" w:rsidRPr="00734D3B" w:rsidRDefault="006B52B3" w:rsidP="006B52B3">
            <w:pPr>
              <w:ind w:firstLine="22"/>
              <w:jc w:val="both"/>
              <w:rPr>
                <w:b/>
                <w:bCs/>
              </w:rPr>
            </w:pPr>
            <w:r w:rsidRPr="00734D3B">
              <w:rPr>
                <w:b/>
                <w:bCs/>
              </w:rPr>
              <w:t>Fase de la guía metodológica</w:t>
            </w:r>
          </w:p>
        </w:tc>
        <w:tc>
          <w:tcPr>
            <w:tcW w:w="1636" w:type="dxa"/>
          </w:tcPr>
          <w:p w14:paraId="150F442F" w14:textId="77777777" w:rsidR="006B52B3" w:rsidRPr="00734D3B" w:rsidRDefault="006B52B3" w:rsidP="006B52B3">
            <w:pPr>
              <w:ind w:firstLine="22"/>
              <w:jc w:val="both"/>
              <w:rPr>
                <w:b/>
                <w:bCs/>
              </w:rPr>
            </w:pPr>
            <w:r w:rsidRPr="00734D3B">
              <w:rPr>
                <w:b/>
                <w:bCs/>
              </w:rPr>
              <w:t>Finalidad</w:t>
            </w:r>
          </w:p>
        </w:tc>
        <w:tc>
          <w:tcPr>
            <w:tcW w:w="1627" w:type="dxa"/>
          </w:tcPr>
          <w:p w14:paraId="05B7703B" w14:textId="77777777" w:rsidR="006B52B3" w:rsidRPr="00734D3B" w:rsidRDefault="006B52B3" w:rsidP="006B52B3">
            <w:pPr>
              <w:ind w:firstLine="22"/>
              <w:jc w:val="both"/>
              <w:rPr>
                <w:b/>
                <w:bCs/>
              </w:rPr>
            </w:pPr>
            <w:r w:rsidRPr="00734D3B">
              <w:rPr>
                <w:b/>
                <w:bCs/>
              </w:rPr>
              <w:t>Aplicación en proyectos de data centers</w:t>
            </w:r>
          </w:p>
        </w:tc>
        <w:tc>
          <w:tcPr>
            <w:tcW w:w="1674" w:type="dxa"/>
          </w:tcPr>
          <w:p w14:paraId="695940E7" w14:textId="1E166B09" w:rsidR="006B52B3" w:rsidRPr="00734D3B" w:rsidRDefault="006B52B3" w:rsidP="006B52B3">
            <w:pPr>
              <w:ind w:firstLine="22"/>
              <w:jc w:val="both"/>
              <w:rPr>
                <w:b/>
                <w:bCs/>
              </w:rPr>
            </w:pPr>
            <w:r w:rsidRPr="00734D3B">
              <w:rPr>
                <w:b/>
                <w:bCs/>
              </w:rPr>
              <w:t>Guía Operativa aplicable. Obj.4.3</w:t>
            </w:r>
          </w:p>
        </w:tc>
        <w:tc>
          <w:tcPr>
            <w:tcW w:w="1659" w:type="dxa"/>
          </w:tcPr>
          <w:p w14:paraId="05D6F330" w14:textId="77777777" w:rsidR="006B52B3" w:rsidRPr="00734D3B" w:rsidRDefault="006B52B3" w:rsidP="006B52B3">
            <w:pPr>
              <w:ind w:firstLine="22"/>
              <w:jc w:val="both"/>
              <w:rPr>
                <w:b/>
                <w:bCs/>
              </w:rPr>
            </w:pPr>
            <w:r w:rsidRPr="00734D3B">
              <w:rPr>
                <w:b/>
                <w:bCs/>
              </w:rPr>
              <w:t>Instrumento metodológico</w:t>
            </w:r>
          </w:p>
          <w:p w14:paraId="60765039" w14:textId="223C216D" w:rsidR="006B52B3" w:rsidRPr="00734D3B" w:rsidRDefault="006B52B3" w:rsidP="006B52B3">
            <w:pPr>
              <w:ind w:firstLine="22"/>
              <w:jc w:val="both"/>
              <w:rPr>
                <w:b/>
                <w:bCs/>
              </w:rPr>
            </w:pPr>
            <w:proofErr w:type="spellStart"/>
            <w:r w:rsidRPr="00734D3B">
              <w:rPr>
                <w:b/>
                <w:bCs/>
              </w:rPr>
              <w:t>Obj</w:t>
            </w:r>
            <w:proofErr w:type="spellEnd"/>
            <w:r w:rsidRPr="00734D3B">
              <w:rPr>
                <w:b/>
                <w:bCs/>
              </w:rPr>
              <w:t>. 4.4</w:t>
            </w:r>
          </w:p>
        </w:tc>
      </w:tr>
      <w:tr w:rsidR="00734D3B" w:rsidRPr="00734D3B" w14:paraId="41D5F35E" w14:textId="63550CE6" w:rsidTr="006B52B3">
        <w:tc>
          <w:tcPr>
            <w:tcW w:w="1791" w:type="dxa"/>
          </w:tcPr>
          <w:p w14:paraId="6439EA11" w14:textId="23E89BE2" w:rsidR="006B52B3" w:rsidRPr="00734D3B" w:rsidRDefault="006B52B3" w:rsidP="006B52B3">
            <w:pPr>
              <w:ind w:firstLine="0"/>
              <w:jc w:val="both"/>
            </w:pPr>
            <w:r w:rsidRPr="00734D3B">
              <w:t>Diagnóstico ambiental</w:t>
            </w:r>
          </w:p>
        </w:tc>
        <w:tc>
          <w:tcPr>
            <w:tcW w:w="1636" w:type="dxa"/>
          </w:tcPr>
          <w:p w14:paraId="44C47371" w14:textId="77777777" w:rsidR="006B52B3" w:rsidRPr="00734D3B" w:rsidRDefault="006B52B3" w:rsidP="006B52B3">
            <w:pPr>
              <w:ind w:firstLine="22"/>
              <w:jc w:val="both"/>
            </w:pPr>
            <w:r w:rsidRPr="00734D3B">
              <w:t xml:space="preserve">Identificar condiciones iniciales, impactos y riesgos </w:t>
            </w:r>
            <w:r w:rsidRPr="00734D3B">
              <w:lastRenderedPageBreak/>
              <w:t>ambientales asociados a las actividades eléctricas</w:t>
            </w:r>
          </w:p>
        </w:tc>
        <w:tc>
          <w:tcPr>
            <w:tcW w:w="1627" w:type="dxa"/>
          </w:tcPr>
          <w:p w14:paraId="3F8D833A" w14:textId="77777777" w:rsidR="006B52B3" w:rsidRPr="00734D3B" w:rsidRDefault="006B52B3" w:rsidP="006B52B3">
            <w:pPr>
              <w:ind w:firstLine="22"/>
              <w:jc w:val="both"/>
            </w:pPr>
            <w:r w:rsidRPr="00734D3B">
              <w:lastRenderedPageBreak/>
              <w:t xml:space="preserve">Permite reconocer residuos eléctricos, normativa </w:t>
            </w:r>
            <w:r w:rsidRPr="00734D3B">
              <w:lastRenderedPageBreak/>
              <w:t>EPA/ADEQ y riesgos ambientales desde el inicio del proyecto</w:t>
            </w:r>
          </w:p>
        </w:tc>
        <w:tc>
          <w:tcPr>
            <w:tcW w:w="1674" w:type="dxa"/>
          </w:tcPr>
          <w:p w14:paraId="32F0255B" w14:textId="431CD72A" w:rsidR="006B52B3" w:rsidRPr="00734D3B" w:rsidRDefault="006B52B3" w:rsidP="006B52B3">
            <w:pPr>
              <w:ind w:firstLine="22"/>
              <w:jc w:val="both"/>
            </w:pPr>
            <w:r w:rsidRPr="00734D3B">
              <w:lastRenderedPageBreak/>
              <w:t xml:space="preserve">Guía operativa para la identificación y evaluación de </w:t>
            </w:r>
            <w:r w:rsidRPr="00734D3B">
              <w:lastRenderedPageBreak/>
              <w:t>riesgos ambientales</w:t>
            </w:r>
          </w:p>
        </w:tc>
        <w:tc>
          <w:tcPr>
            <w:tcW w:w="1659" w:type="dxa"/>
          </w:tcPr>
          <w:p w14:paraId="4E1D17E7" w14:textId="77DB13C8" w:rsidR="006B52B3" w:rsidRPr="00734D3B" w:rsidRDefault="006B52B3" w:rsidP="006B52B3">
            <w:pPr>
              <w:ind w:firstLine="22"/>
              <w:jc w:val="both"/>
            </w:pPr>
            <w:r w:rsidRPr="00734D3B">
              <w:lastRenderedPageBreak/>
              <w:t>Formulario de Diagnóstico Ambiental del Proyecto Eléctrico</w:t>
            </w:r>
          </w:p>
        </w:tc>
      </w:tr>
      <w:tr w:rsidR="00734D3B" w:rsidRPr="00734D3B" w14:paraId="646AEEFB" w14:textId="5ACD7B54" w:rsidTr="006B52B3">
        <w:tc>
          <w:tcPr>
            <w:tcW w:w="1791" w:type="dxa"/>
          </w:tcPr>
          <w:p w14:paraId="47E638C9" w14:textId="34EDC9D7" w:rsidR="006B52B3" w:rsidRPr="00734D3B" w:rsidRDefault="006B52B3" w:rsidP="006B52B3">
            <w:pPr>
              <w:ind w:firstLine="22"/>
              <w:jc w:val="both"/>
            </w:pPr>
            <w:r w:rsidRPr="00734D3B">
              <w:t>Identificación de buenas prácticas sostenibles</w:t>
            </w:r>
          </w:p>
        </w:tc>
        <w:tc>
          <w:tcPr>
            <w:tcW w:w="1636" w:type="dxa"/>
          </w:tcPr>
          <w:p w14:paraId="0E8B6FE6" w14:textId="77777777" w:rsidR="006B52B3" w:rsidRPr="00734D3B" w:rsidRDefault="006B52B3" w:rsidP="006B52B3">
            <w:pPr>
              <w:ind w:firstLine="22"/>
              <w:jc w:val="both"/>
            </w:pPr>
            <w:r w:rsidRPr="00734D3B">
              <w:t>Reconocer y documentar prácticas sostenibles aplicables al alcance eléctrico del proyecto</w:t>
            </w:r>
          </w:p>
        </w:tc>
        <w:tc>
          <w:tcPr>
            <w:tcW w:w="1627" w:type="dxa"/>
          </w:tcPr>
          <w:p w14:paraId="16507B69" w14:textId="77777777" w:rsidR="006B52B3" w:rsidRPr="00734D3B" w:rsidRDefault="006B52B3" w:rsidP="006B52B3">
            <w:pPr>
              <w:ind w:firstLine="22"/>
              <w:jc w:val="both"/>
            </w:pPr>
            <w:r w:rsidRPr="00734D3B">
              <w:t>Facilita la adopción de economía circular, reciclaje de materiales eléctricos, reducción de desperdicios y optimización de recursos</w:t>
            </w:r>
          </w:p>
        </w:tc>
        <w:tc>
          <w:tcPr>
            <w:tcW w:w="1674" w:type="dxa"/>
          </w:tcPr>
          <w:p w14:paraId="289B2F1B" w14:textId="2B8F0E1E" w:rsidR="006B52B3" w:rsidRPr="00734D3B" w:rsidRDefault="006B52B3" w:rsidP="006B52B3">
            <w:pPr>
              <w:ind w:firstLine="22"/>
              <w:jc w:val="both"/>
            </w:pPr>
            <w:r w:rsidRPr="00734D3B">
              <w:t>Guía operativa para la identificación y evaluación de riesgos ambientales + Guía operativa para la clasificación, segregación y manejo de residuos eléctricos</w:t>
            </w:r>
          </w:p>
        </w:tc>
        <w:tc>
          <w:tcPr>
            <w:tcW w:w="1659" w:type="dxa"/>
          </w:tcPr>
          <w:p w14:paraId="6877FE83" w14:textId="2A92E0E9" w:rsidR="006B52B3" w:rsidRPr="00734D3B" w:rsidRDefault="006B52B3" w:rsidP="006B52B3">
            <w:pPr>
              <w:ind w:firstLine="22"/>
              <w:jc w:val="both"/>
            </w:pPr>
            <w:r w:rsidRPr="00734D3B">
              <w:t>Lista de Buenas Prácticas Sostenibles en Instalaciones Eléctricas</w:t>
            </w:r>
          </w:p>
        </w:tc>
      </w:tr>
      <w:tr w:rsidR="00734D3B" w:rsidRPr="00734D3B" w14:paraId="551B1C46" w14:textId="04A4EBA1" w:rsidTr="006B52B3">
        <w:tc>
          <w:tcPr>
            <w:tcW w:w="1791" w:type="dxa"/>
          </w:tcPr>
          <w:p w14:paraId="755EFAA8" w14:textId="3A2901E3" w:rsidR="006B52B3" w:rsidRPr="00734D3B" w:rsidRDefault="006B52B3" w:rsidP="006B52B3">
            <w:pPr>
              <w:ind w:firstLine="22"/>
              <w:jc w:val="both"/>
            </w:pPr>
            <w:r w:rsidRPr="00734D3B">
              <w:t>Lineamientos operativos de gestión sostenible</w:t>
            </w:r>
          </w:p>
        </w:tc>
        <w:tc>
          <w:tcPr>
            <w:tcW w:w="1636" w:type="dxa"/>
          </w:tcPr>
          <w:p w14:paraId="6DE35CAF" w14:textId="77777777" w:rsidR="006B52B3" w:rsidRPr="00734D3B" w:rsidRDefault="006B52B3" w:rsidP="006B52B3">
            <w:pPr>
              <w:ind w:firstLine="22"/>
              <w:jc w:val="both"/>
            </w:pPr>
            <w:r w:rsidRPr="00734D3B">
              <w:t xml:space="preserve">Establecer criterios operativos para la gestión de residuos, materiales, </w:t>
            </w:r>
            <w:r w:rsidRPr="00734D3B">
              <w:lastRenderedPageBreak/>
              <w:t>energía y control ambiental durante la ejecución</w:t>
            </w:r>
          </w:p>
        </w:tc>
        <w:tc>
          <w:tcPr>
            <w:tcW w:w="1627" w:type="dxa"/>
          </w:tcPr>
          <w:p w14:paraId="4667919F" w14:textId="77777777" w:rsidR="006B52B3" w:rsidRPr="00734D3B" w:rsidRDefault="006B52B3" w:rsidP="006B52B3">
            <w:pPr>
              <w:ind w:firstLine="22"/>
              <w:jc w:val="both"/>
            </w:pPr>
            <w:r w:rsidRPr="00734D3B">
              <w:lastRenderedPageBreak/>
              <w:t xml:space="preserve">Asegura una gestión estandarizada de residuos eléctricos, RAEE, </w:t>
            </w:r>
            <w:r w:rsidRPr="00734D3B">
              <w:lastRenderedPageBreak/>
              <w:t>materiales reciclables y cumplimiento ambiental en obra</w:t>
            </w:r>
          </w:p>
        </w:tc>
        <w:tc>
          <w:tcPr>
            <w:tcW w:w="1674" w:type="dxa"/>
          </w:tcPr>
          <w:p w14:paraId="0E4A57E8" w14:textId="576E1EC8" w:rsidR="006B52B3" w:rsidRPr="00734D3B" w:rsidRDefault="006B52B3" w:rsidP="006B52B3">
            <w:pPr>
              <w:ind w:firstLine="22"/>
              <w:jc w:val="both"/>
            </w:pPr>
            <w:r w:rsidRPr="00734D3B">
              <w:lastRenderedPageBreak/>
              <w:t xml:space="preserve">Guía operativa para la clasificación, segregación y manejo de residuos </w:t>
            </w:r>
            <w:r w:rsidRPr="00734D3B">
              <w:lastRenderedPageBreak/>
              <w:t>eléctricos + Guía operativa para la aplicación de la matriz RACI</w:t>
            </w:r>
          </w:p>
        </w:tc>
        <w:tc>
          <w:tcPr>
            <w:tcW w:w="1659" w:type="dxa"/>
          </w:tcPr>
          <w:p w14:paraId="09CFB2D8" w14:textId="5FCB0ADB" w:rsidR="006B52B3" w:rsidRPr="00734D3B" w:rsidRDefault="006B52B3" w:rsidP="006B52B3">
            <w:pPr>
              <w:ind w:firstLine="22"/>
              <w:jc w:val="both"/>
            </w:pPr>
            <w:r w:rsidRPr="00734D3B">
              <w:lastRenderedPageBreak/>
              <w:t>Lineamientos Operativos de Gestión Ambiental y Sostenible (POE)</w:t>
            </w:r>
          </w:p>
        </w:tc>
      </w:tr>
      <w:tr w:rsidR="00734D3B" w:rsidRPr="00734D3B" w14:paraId="60CAD0CE" w14:textId="3C0A2FF0" w:rsidTr="006B52B3">
        <w:tc>
          <w:tcPr>
            <w:tcW w:w="1791" w:type="dxa"/>
          </w:tcPr>
          <w:p w14:paraId="0C187DBA" w14:textId="1BD195BD" w:rsidR="006B52B3" w:rsidRPr="00734D3B" w:rsidRDefault="006B52B3" w:rsidP="006B52B3">
            <w:pPr>
              <w:ind w:firstLine="22"/>
              <w:jc w:val="both"/>
            </w:pPr>
            <w:r w:rsidRPr="00734D3B">
              <w:t>Implementación de indicadores (KPI)</w:t>
            </w:r>
          </w:p>
        </w:tc>
        <w:tc>
          <w:tcPr>
            <w:tcW w:w="1636" w:type="dxa"/>
          </w:tcPr>
          <w:p w14:paraId="571DF324" w14:textId="77777777" w:rsidR="006B52B3" w:rsidRPr="00734D3B" w:rsidRDefault="006B52B3" w:rsidP="006B52B3">
            <w:pPr>
              <w:ind w:firstLine="22"/>
              <w:jc w:val="both"/>
            </w:pPr>
            <w:r w:rsidRPr="00734D3B">
              <w:t>Medir el desempeño ambiental del proyecto mediante indicadores cuantificables</w:t>
            </w:r>
          </w:p>
        </w:tc>
        <w:tc>
          <w:tcPr>
            <w:tcW w:w="1627" w:type="dxa"/>
          </w:tcPr>
          <w:p w14:paraId="330584F2" w14:textId="77777777" w:rsidR="006B52B3" w:rsidRPr="00734D3B" w:rsidRDefault="006B52B3" w:rsidP="006B52B3">
            <w:pPr>
              <w:ind w:firstLine="22"/>
              <w:jc w:val="both"/>
            </w:pPr>
            <w:r w:rsidRPr="00734D3B">
              <w:t>Permite evaluar reciclaje, recuperación económica por residuos eléctricos, reducción de impactos y desempeño sostenible del proyecto</w:t>
            </w:r>
          </w:p>
        </w:tc>
        <w:tc>
          <w:tcPr>
            <w:tcW w:w="1674" w:type="dxa"/>
          </w:tcPr>
          <w:p w14:paraId="75C9FBB9" w14:textId="2C6024F4" w:rsidR="006B52B3" w:rsidRPr="00734D3B" w:rsidRDefault="006B52B3" w:rsidP="006B52B3">
            <w:pPr>
              <w:ind w:firstLine="22"/>
              <w:jc w:val="both"/>
            </w:pPr>
            <w:r w:rsidRPr="00734D3B">
              <w:t>Guía operativa para la aplicación de indicadores ambientales y de sostenibilidad (KPI)</w:t>
            </w:r>
          </w:p>
        </w:tc>
        <w:tc>
          <w:tcPr>
            <w:tcW w:w="1659" w:type="dxa"/>
          </w:tcPr>
          <w:p w14:paraId="7FA7DBB5" w14:textId="0B6C66F4" w:rsidR="006B52B3" w:rsidRPr="00734D3B" w:rsidRDefault="006B52B3" w:rsidP="006B52B3">
            <w:pPr>
              <w:ind w:firstLine="22"/>
              <w:jc w:val="both"/>
            </w:pPr>
            <w:r w:rsidRPr="00734D3B">
              <w:t>Formato de Indicadores Ambientales y de Sostenibilidad (KPI)</w:t>
            </w:r>
          </w:p>
        </w:tc>
      </w:tr>
      <w:tr w:rsidR="00734D3B" w:rsidRPr="00734D3B" w14:paraId="747D99D8" w14:textId="3EA242C3" w:rsidTr="006B52B3">
        <w:tc>
          <w:tcPr>
            <w:tcW w:w="1791" w:type="dxa"/>
          </w:tcPr>
          <w:p w14:paraId="5FB95E8D" w14:textId="50465A8A" w:rsidR="006B52B3" w:rsidRPr="00734D3B" w:rsidRDefault="006B52B3" w:rsidP="006B52B3">
            <w:pPr>
              <w:ind w:firstLine="22"/>
              <w:jc w:val="both"/>
            </w:pPr>
            <w:r w:rsidRPr="00734D3B">
              <w:t>Monitoreo y mejora continua</w:t>
            </w:r>
          </w:p>
        </w:tc>
        <w:tc>
          <w:tcPr>
            <w:tcW w:w="1636" w:type="dxa"/>
          </w:tcPr>
          <w:p w14:paraId="2B5A1DC8" w14:textId="77777777" w:rsidR="006B52B3" w:rsidRPr="00734D3B" w:rsidRDefault="006B52B3" w:rsidP="006B52B3">
            <w:pPr>
              <w:ind w:firstLine="22"/>
              <w:jc w:val="both"/>
            </w:pPr>
            <w:r w:rsidRPr="00734D3B">
              <w:t xml:space="preserve">Verificar resultados, documentar desviaciones y generar oportunidades </w:t>
            </w:r>
            <w:r w:rsidRPr="00734D3B">
              <w:lastRenderedPageBreak/>
              <w:t>de mejora continua</w:t>
            </w:r>
          </w:p>
        </w:tc>
        <w:tc>
          <w:tcPr>
            <w:tcW w:w="1627" w:type="dxa"/>
          </w:tcPr>
          <w:p w14:paraId="3B354A30" w14:textId="77777777" w:rsidR="006B52B3" w:rsidRPr="00734D3B" w:rsidRDefault="006B52B3" w:rsidP="006B52B3">
            <w:pPr>
              <w:ind w:firstLine="22"/>
              <w:jc w:val="both"/>
            </w:pPr>
            <w:r w:rsidRPr="00734D3B">
              <w:lastRenderedPageBreak/>
              <w:t xml:space="preserve">Facilita la mejora progresiva del desempeño ambiental y la replicabilidad de la </w:t>
            </w:r>
            <w:r w:rsidRPr="00734D3B">
              <w:lastRenderedPageBreak/>
              <w:t>metodología en futuros proyectos de data centers</w:t>
            </w:r>
          </w:p>
        </w:tc>
        <w:tc>
          <w:tcPr>
            <w:tcW w:w="1674" w:type="dxa"/>
          </w:tcPr>
          <w:p w14:paraId="066BE6B0" w14:textId="4981FA7E" w:rsidR="006B52B3" w:rsidRPr="00734D3B" w:rsidRDefault="006B52B3" w:rsidP="006B52B3">
            <w:pPr>
              <w:ind w:firstLine="22"/>
              <w:jc w:val="both"/>
            </w:pPr>
            <w:r w:rsidRPr="00734D3B">
              <w:lastRenderedPageBreak/>
              <w:t xml:space="preserve">Guía operativa para la ejecución de auditorías </w:t>
            </w:r>
            <w:proofErr w:type="gramStart"/>
            <w:r w:rsidRPr="00734D3B">
              <w:t>ambientales  +</w:t>
            </w:r>
            <w:proofErr w:type="gramEnd"/>
            <w:r w:rsidRPr="00734D3B">
              <w:t xml:space="preserve"> Guía operativa para la gestión </w:t>
            </w:r>
            <w:r w:rsidRPr="00734D3B">
              <w:lastRenderedPageBreak/>
              <w:t>de no conformidades y mejora continua</w:t>
            </w:r>
          </w:p>
        </w:tc>
        <w:tc>
          <w:tcPr>
            <w:tcW w:w="1659" w:type="dxa"/>
          </w:tcPr>
          <w:p w14:paraId="3778B669" w14:textId="58B647A0" w:rsidR="006B52B3" w:rsidRPr="00734D3B" w:rsidRDefault="006B52B3" w:rsidP="006B52B3">
            <w:pPr>
              <w:ind w:firstLine="22"/>
              <w:jc w:val="both"/>
            </w:pPr>
            <w:r w:rsidRPr="00734D3B">
              <w:lastRenderedPageBreak/>
              <w:t>Registro de Monitoreo Ambiental y Lecciones Aprendidas</w:t>
            </w:r>
          </w:p>
        </w:tc>
      </w:tr>
    </w:tbl>
    <w:p w14:paraId="2D7465B4" w14:textId="77777777" w:rsidR="00CD5BA9" w:rsidRPr="00734D3B" w:rsidRDefault="0091533B" w:rsidP="00CD5BA9">
      <w:pPr>
        <w:rPr>
          <w:rFonts w:cs="Arial"/>
          <w:szCs w:val="22"/>
        </w:rPr>
      </w:pPr>
      <w:r w:rsidRPr="00734D3B">
        <w:rPr>
          <w:rFonts w:cs="Arial"/>
          <w:i/>
          <w:iCs/>
          <w:szCs w:val="22"/>
        </w:rPr>
        <w:t>Nota</w:t>
      </w:r>
      <w:r w:rsidRPr="00734D3B">
        <w:rPr>
          <w:rFonts w:cs="Arial"/>
          <w:szCs w:val="22"/>
        </w:rPr>
        <w:t xml:space="preserve">. </w:t>
      </w:r>
      <w:r w:rsidR="00CD5BA9" w:rsidRPr="00734D3B">
        <w:rPr>
          <w:rFonts w:cs="Arial"/>
          <w:szCs w:val="22"/>
        </w:rPr>
        <w:t>La Tabla 10 sintetiza la estructura de la guía metodológica para la gestión ambiental y sostenible en proyectos de data centers, incorporando las fases del proceso, las guías operativas desarrolladas y los instrumentos metodológicos asociados, conforme a la normativa aplicable.</w:t>
      </w:r>
    </w:p>
    <w:p w14:paraId="3012FAF8" w14:textId="77777777" w:rsidR="007705D3" w:rsidRPr="00734D3B" w:rsidRDefault="007705D3" w:rsidP="00697C0B">
      <w:pPr>
        <w:pStyle w:val="Heading2"/>
        <w:numPr>
          <w:ilvl w:val="1"/>
          <w:numId w:val="61"/>
        </w:numPr>
        <w:rPr>
          <w:b w:val="0"/>
          <w:bCs w:val="0"/>
        </w:rPr>
      </w:pPr>
      <w:bookmarkStart w:id="352" w:name="_Toc227936432"/>
      <w:r w:rsidRPr="00734D3B">
        <w:t>Diseño de lineamientos y procedimientos para la gestión sostenible de residuos eléctricos en centros de datos</w:t>
      </w:r>
      <w:bookmarkEnd w:id="352"/>
    </w:p>
    <w:p w14:paraId="5EA3B175"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El crecimiento acelerado de la infraestructura digital ha provocado un aumento significativo en la construcción de centros de datos, lo cual implica un consumo intensivo de equipos eléctricos y electrónicos (servidores, UPS, cableado estructurado, baterías, sistemas de climatización, transformadores y tableros eléctricos). Durante la fase constructiva y de puesta en marcha se generan grandes cantidades de residuos eléctricos, conocidos como residuos de aparatos eléctricos y electrónicos (RAEE). Estos residuos contienen metales pesados y materiales recuperables, por lo que requieren una gestión diferenciada para evitar impactos ambientales y sanitarios.</w:t>
      </w:r>
      <w:r w:rsidRPr="00734D3B">
        <w:rPr>
          <w:rStyle w:val="eop"/>
          <w:rFonts w:ascii="Arial" w:hAnsi="Arial" w:cs="Arial"/>
          <w:sz w:val="22"/>
          <w:szCs w:val="22"/>
          <w:lang w:val="es-CR"/>
        </w:rPr>
        <w:t> </w:t>
      </w:r>
    </w:p>
    <w:p w14:paraId="48DBC90B"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La problemática radica en que la rápida renovación tecnológica genera reemplazos periódicos de hardware, incrementando el volumen de residuos electrónicos y agravando la presión ambiental asociada a su disposición final (</w:t>
      </w:r>
      <w:proofErr w:type="spellStart"/>
      <w:r w:rsidRPr="00734D3B">
        <w:rPr>
          <w:rStyle w:val="normaltextrun"/>
          <w:rFonts w:ascii="Arial" w:hAnsi="Arial" w:cs="Arial"/>
          <w:sz w:val="22"/>
          <w:szCs w:val="22"/>
          <w:lang w:val="es-419"/>
        </w:rPr>
        <w:t>Samaye</w:t>
      </w:r>
      <w:proofErr w:type="spellEnd"/>
      <w:r w:rsidRPr="00734D3B">
        <w:rPr>
          <w:rStyle w:val="normaltextrun"/>
          <w:rFonts w:ascii="Arial" w:hAnsi="Arial" w:cs="Arial"/>
          <w:sz w:val="22"/>
          <w:szCs w:val="22"/>
          <w:lang w:val="es-419"/>
        </w:rPr>
        <w:t> et al., 2024).</w:t>
      </w:r>
      <w:r w:rsidRPr="00734D3B">
        <w:rPr>
          <w:rStyle w:val="eop"/>
          <w:rFonts w:ascii="Arial" w:hAnsi="Arial" w:cs="Arial"/>
          <w:sz w:val="22"/>
          <w:szCs w:val="22"/>
          <w:lang w:val="es-CR"/>
        </w:rPr>
        <w:t> </w:t>
      </w:r>
    </w:p>
    <w:p w14:paraId="32BC8848"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En respuesta, la normativa intencional establece el principio de jerarquía de residuos, priorizando la reducción, reutilización y reciclaje antes de la eliminación final. La directiva WEE europea promueve precisamente la recuperación y reutilización para disminuir la contaminación generada por equipos electrónicos descartados (</w:t>
      </w:r>
      <w:proofErr w:type="spellStart"/>
      <w:r w:rsidRPr="00734D3B">
        <w:rPr>
          <w:rStyle w:val="normaltextrun"/>
          <w:rFonts w:ascii="Arial" w:hAnsi="Arial" w:cs="Arial"/>
          <w:sz w:val="22"/>
          <w:szCs w:val="22"/>
          <w:lang w:val="es-419"/>
        </w:rPr>
        <w:t>Samaye</w:t>
      </w:r>
      <w:proofErr w:type="spellEnd"/>
      <w:r w:rsidRPr="00734D3B">
        <w:rPr>
          <w:rStyle w:val="normaltextrun"/>
          <w:rFonts w:ascii="Arial" w:hAnsi="Arial" w:cs="Arial"/>
          <w:sz w:val="22"/>
          <w:szCs w:val="22"/>
          <w:lang w:val="es-419"/>
        </w:rPr>
        <w:t xml:space="preserve"> et al., 2024).</w:t>
      </w:r>
      <w:r w:rsidRPr="00734D3B">
        <w:rPr>
          <w:rStyle w:val="eop"/>
          <w:rFonts w:ascii="Arial" w:hAnsi="Arial" w:cs="Arial"/>
          <w:sz w:val="22"/>
          <w:szCs w:val="22"/>
          <w:lang w:val="es-CR"/>
        </w:rPr>
        <w:t> </w:t>
      </w:r>
    </w:p>
    <w:p w14:paraId="05C51178" w14:textId="32585E75" w:rsidR="00BC622D" w:rsidRPr="00734D3B" w:rsidRDefault="00BC622D" w:rsidP="00BC622D">
      <w:pPr>
        <w:pStyle w:val="paragraph"/>
        <w:spacing w:before="0" w:beforeAutospacing="0" w:after="0" w:afterAutospacing="0" w:line="480" w:lineRule="auto"/>
        <w:ind w:firstLine="708"/>
        <w:jc w:val="both"/>
        <w:textAlignment w:val="baseline"/>
        <w:rPr>
          <w:rStyle w:val="eop"/>
          <w:rFonts w:ascii="Arial" w:hAnsi="Arial" w:cs="Arial"/>
          <w:sz w:val="22"/>
          <w:szCs w:val="22"/>
          <w:lang w:val="es-CR"/>
        </w:rPr>
      </w:pPr>
      <w:r w:rsidRPr="00734D3B">
        <w:rPr>
          <w:rStyle w:val="normaltextrun"/>
          <w:rFonts w:ascii="Arial" w:hAnsi="Arial" w:cs="Arial"/>
          <w:sz w:val="22"/>
          <w:szCs w:val="22"/>
          <w:lang w:val="es-419"/>
        </w:rPr>
        <w:lastRenderedPageBreak/>
        <w:t xml:space="preserve">En Costa </w:t>
      </w:r>
      <w:r w:rsidR="004963B2" w:rsidRPr="00734D3B">
        <w:rPr>
          <w:rStyle w:val="normaltextrun"/>
          <w:rFonts w:ascii="Arial" w:hAnsi="Arial" w:cs="Arial"/>
          <w:sz w:val="22"/>
          <w:szCs w:val="22"/>
          <w:lang w:val="es-419"/>
        </w:rPr>
        <w:t>R</w:t>
      </w:r>
      <w:r w:rsidRPr="00734D3B">
        <w:rPr>
          <w:rStyle w:val="normaltextrun"/>
          <w:rFonts w:ascii="Arial" w:hAnsi="Arial" w:cs="Arial"/>
          <w:sz w:val="22"/>
          <w:szCs w:val="22"/>
          <w:lang w:val="es-419"/>
        </w:rPr>
        <w:t>ica, la gestión integral de RAEE se rige por el principio de responsabilidad compartida, donde productores, consumidores y gestores autorizados es deben participar en su tratamiento adecuado (Reglamento RAEE </w:t>
      </w:r>
      <w:proofErr w:type="spellStart"/>
      <w:r w:rsidRPr="00734D3B">
        <w:rPr>
          <w:rStyle w:val="normaltextrun"/>
          <w:rFonts w:ascii="Arial" w:hAnsi="Arial" w:cs="Arial"/>
          <w:sz w:val="22"/>
          <w:szCs w:val="22"/>
          <w:lang w:val="es-419"/>
        </w:rPr>
        <w:t>Nº</w:t>
      </w:r>
      <w:proofErr w:type="spellEnd"/>
      <w:r w:rsidRPr="00734D3B">
        <w:rPr>
          <w:rStyle w:val="normaltextrun"/>
          <w:rFonts w:ascii="Arial" w:hAnsi="Arial" w:cs="Arial"/>
          <w:sz w:val="22"/>
          <w:szCs w:val="22"/>
          <w:lang w:val="es-419"/>
        </w:rPr>
        <w:t> 35933-S).</w:t>
      </w:r>
      <w:r w:rsidRPr="00734D3B">
        <w:rPr>
          <w:rStyle w:val="eop"/>
          <w:rFonts w:ascii="Arial" w:hAnsi="Arial" w:cs="Arial"/>
          <w:sz w:val="22"/>
          <w:szCs w:val="22"/>
          <w:lang w:val="es-CR"/>
        </w:rPr>
        <w:t> </w:t>
      </w:r>
    </w:p>
    <w:p w14:paraId="743BDDDD"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Asimismo, la estrategia nacional de residuos electrónicos busca mejorar la separación, recuperación y manejo seguro para reducir riesgos ambientales y de salud (Ministerio de Salud, 2025).</w:t>
      </w:r>
      <w:r w:rsidRPr="00734D3B">
        <w:rPr>
          <w:rStyle w:val="eop"/>
          <w:rFonts w:ascii="Arial" w:hAnsi="Arial" w:cs="Arial"/>
          <w:sz w:val="22"/>
          <w:szCs w:val="22"/>
          <w:lang w:val="es-CR"/>
        </w:rPr>
        <w:t> </w:t>
      </w:r>
    </w:p>
    <w:p w14:paraId="37BB6D1C"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Por lo anterior, los proyectos de construcción de data centers requieren un instrumento operativo específico: un Manual de Lineamientos para la gestión sostenible de Residuos Eléctricos, alineado a buenas prácticas internacionales (economía circular, ISO 14001 y logística inversa).</w:t>
      </w:r>
      <w:r w:rsidRPr="00734D3B">
        <w:rPr>
          <w:rStyle w:val="eop"/>
          <w:rFonts w:ascii="Arial" w:hAnsi="Arial" w:cs="Arial"/>
          <w:sz w:val="22"/>
          <w:szCs w:val="22"/>
          <w:lang w:val="es-CR"/>
        </w:rPr>
        <w:t> </w:t>
      </w:r>
    </w:p>
    <w:p w14:paraId="2C558E89"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En cuanto al manual de lineamientos para la gestión sostenible de residuos eléctricos, se propone lo siguiente:  </w:t>
      </w:r>
      <w:r w:rsidRPr="00734D3B">
        <w:rPr>
          <w:rStyle w:val="eop"/>
          <w:rFonts w:ascii="Arial" w:hAnsi="Arial" w:cs="Arial"/>
          <w:sz w:val="22"/>
          <w:szCs w:val="22"/>
          <w:lang w:val="es-CR"/>
        </w:rPr>
        <w:t> </w:t>
      </w:r>
    </w:p>
    <w:p w14:paraId="6949DC8F" w14:textId="1E9641F6" w:rsidR="00BC622D" w:rsidRPr="00734D3B" w:rsidRDefault="000F5561" w:rsidP="000F5561">
      <w:pPr>
        <w:pStyle w:val="paragraph"/>
        <w:spacing w:before="0" w:beforeAutospacing="0" w:after="0" w:afterAutospacing="0" w:line="480" w:lineRule="auto"/>
        <w:ind w:left="1440"/>
        <w:jc w:val="both"/>
        <w:textAlignment w:val="baseline"/>
        <w:rPr>
          <w:rFonts w:ascii="Arial" w:hAnsi="Arial" w:cs="Arial"/>
          <w:b/>
          <w:bCs/>
          <w:sz w:val="22"/>
          <w:szCs w:val="22"/>
          <w:lang w:val="es-CR"/>
        </w:rPr>
      </w:pPr>
      <w:r w:rsidRPr="00734D3B">
        <w:rPr>
          <w:rStyle w:val="normaltextrun"/>
          <w:rFonts w:ascii="Arial" w:hAnsi="Arial" w:cs="Arial"/>
          <w:b/>
          <w:bCs/>
          <w:sz w:val="22"/>
          <w:szCs w:val="22"/>
          <w:lang w:val="es-419"/>
        </w:rPr>
        <w:t xml:space="preserve">4.3.1 </w:t>
      </w:r>
      <w:r w:rsidR="00BC622D" w:rsidRPr="00734D3B">
        <w:rPr>
          <w:rStyle w:val="normaltextrun"/>
          <w:rFonts w:ascii="Arial" w:hAnsi="Arial" w:cs="Arial"/>
          <w:b/>
          <w:bCs/>
          <w:sz w:val="22"/>
          <w:szCs w:val="22"/>
          <w:lang w:val="es-419"/>
        </w:rPr>
        <w:t>Política ambiental del proyecto</w:t>
      </w:r>
      <w:r w:rsidR="00BC622D" w:rsidRPr="00734D3B">
        <w:rPr>
          <w:rStyle w:val="eop"/>
          <w:rFonts w:ascii="Arial" w:hAnsi="Arial" w:cs="Arial"/>
          <w:b/>
          <w:bCs/>
          <w:sz w:val="22"/>
          <w:szCs w:val="22"/>
          <w:lang w:val="es-CR"/>
        </w:rPr>
        <w:t> </w:t>
      </w:r>
    </w:p>
    <w:p w14:paraId="519F3C08" w14:textId="77777777" w:rsidR="00BC622D" w:rsidRPr="00734D3B" w:rsidRDefault="00BC622D" w:rsidP="00BC622D">
      <w:pPr>
        <w:pStyle w:val="paragraph"/>
        <w:spacing w:before="0" w:beforeAutospacing="0" w:after="0" w:afterAutospacing="0" w:line="480" w:lineRule="auto"/>
        <w:ind w:left="1440"/>
        <w:jc w:val="both"/>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Style w:val="normaltextrun"/>
          <w:rFonts w:ascii="Arial" w:hAnsi="Arial" w:cs="Arial"/>
          <w:sz w:val="22"/>
          <w:szCs w:val="22"/>
          <w:lang w:val="es-419"/>
        </w:rPr>
        <w:t>El proyecto </w:t>
      </w:r>
      <w:proofErr w:type="gramStart"/>
      <w:r w:rsidRPr="00734D3B">
        <w:rPr>
          <w:rStyle w:val="normaltextrun"/>
          <w:rFonts w:ascii="Arial" w:hAnsi="Arial" w:cs="Arial"/>
          <w:sz w:val="22"/>
          <w:szCs w:val="22"/>
          <w:lang w:val="es-419"/>
        </w:rPr>
        <w:t>del data</w:t>
      </w:r>
      <w:proofErr w:type="gramEnd"/>
      <w:r w:rsidRPr="00734D3B">
        <w:rPr>
          <w:rStyle w:val="normaltextrun"/>
          <w:rFonts w:ascii="Arial" w:hAnsi="Arial" w:cs="Arial"/>
          <w:sz w:val="22"/>
          <w:szCs w:val="22"/>
          <w:lang w:val="es-419"/>
        </w:rPr>
        <w:t> center adopta una política ambiental basada en:</w:t>
      </w:r>
      <w:r w:rsidRPr="00734D3B">
        <w:rPr>
          <w:rStyle w:val="eop"/>
          <w:rFonts w:ascii="Arial" w:hAnsi="Arial" w:cs="Arial"/>
          <w:sz w:val="22"/>
          <w:szCs w:val="22"/>
          <w:lang w:val="es-CR"/>
        </w:rPr>
        <w:t> </w:t>
      </w:r>
    </w:p>
    <w:p w14:paraId="64CECFD4" w14:textId="77777777" w:rsidR="00BC622D" w:rsidRPr="00734D3B" w:rsidRDefault="00BC622D" w:rsidP="00BC622D">
      <w:pPr>
        <w:pStyle w:val="paragraph"/>
        <w:spacing w:before="0" w:beforeAutospacing="0" w:after="0" w:afterAutospacing="0" w:line="480" w:lineRule="auto"/>
        <w:ind w:left="1440"/>
        <w:jc w:val="both"/>
        <w:textAlignment w:val="baseline"/>
        <w:rPr>
          <w:rFonts w:ascii="Arial" w:hAnsi="Arial" w:cs="Arial"/>
          <w:sz w:val="22"/>
          <w:szCs w:val="22"/>
          <w:lang w:val="es-CR"/>
        </w:rPr>
      </w:pPr>
      <w:r w:rsidRPr="00734D3B">
        <w:rPr>
          <w:rStyle w:val="normaltextrun"/>
          <w:rFonts w:ascii="Arial" w:hAnsi="Arial" w:cs="Arial"/>
          <w:sz w:val="22"/>
          <w:szCs w:val="22"/>
          <w:lang w:val="es-419"/>
        </w:rPr>
        <w:t>Prevención de la contaminación </w:t>
      </w:r>
      <w:r w:rsidRPr="00734D3B">
        <w:rPr>
          <w:rStyle w:val="eop"/>
          <w:rFonts w:ascii="Arial" w:hAnsi="Arial" w:cs="Arial"/>
          <w:sz w:val="22"/>
          <w:szCs w:val="22"/>
          <w:lang w:val="es-CR"/>
        </w:rPr>
        <w:t> </w:t>
      </w:r>
    </w:p>
    <w:p w14:paraId="6D07D872" w14:textId="77777777" w:rsidR="00BC622D" w:rsidRPr="00734D3B" w:rsidRDefault="00BC622D" w:rsidP="00BC622D">
      <w:pPr>
        <w:pStyle w:val="paragraph"/>
        <w:spacing w:before="0" w:beforeAutospacing="0" w:after="0" w:afterAutospacing="0" w:line="480" w:lineRule="auto"/>
        <w:ind w:left="1440"/>
        <w:jc w:val="both"/>
        <w:textAlignment w:val="baseline"/>
        <w:rPr>
          <w:rFonts w:ascii="Arial" w:hAnsi="Arial" w:cs="Arial"/>
          <w:sz w:val="22"/>
          <w:szCs w:val="22"/>
          <w:lang w:val="es-CR"/>
        </w:rPr>
      </w:pPr>
      <w:r w:rsidRPr="00734D3B">
        <w:rPr>
          <w:rStyle w:val="normaltextrun"/>
          <w:rFonts w:ascii="Arial" w:hAnsi="Arial" w:cs="Arial"/>
          <w:sz w:val="22"/>
          <w:szCs w:val="22"/>
          <w:lang w:val="es-419"/>
        </w:rPr>
        <w:t>Cumplimiento legal ambiental.</w:t>
      </w:r>
      <w:r w:rsidRPr="00734D3B">
        <w:rPr>
          <w:rStyle w:val="eop"/>
          <w:rFonts w:ascii="Arial" w:hAnsi="Arial" w:cs="Arial"/>
          <w:sz w:val="22"/>
          <w:szCs w:val="22"/>
          <w:lang w:val="es-CR"/>
        </w:rPr>
        <w:t> </w:t>
      </w:r>
    </w:p>
    <w:p w14:paraId="610784D9" w14:textId="77777777" w:rsidR="00BC622D" w:rsidRPr="00734D3B" w:rsidRDefault="00BC622D" w:rsidP="00BC622D">
      <w:pPr>
        <w:pStyle w:val="paragraph"/>
        <w:spacing w:before="0" w:beforeAutospacing="0" w:after="0" w:afterAutospacing="0" w:line="480" w:lineRule="auto"/>
        <w:ind w:left="1440"/>
        <w:jc w:val="both"/>
        <w:textAlignment w:val="baseline"/>
        <w:rPr>
          <w:rFonts w:ascii="Arial" w:hAnsi="Arial" w:cs="Arial"/>
          <w:sz w:val="22"/>
          <w:szCs w:val="22"/>
          <w:lang w:val="es-CR"/>
        </w:rPr>
      </w:pPr>
      <w:r w:rsidRPr="00734D3B">
        <w:rPr>
          <w:rStyle w:val="normaltextrun"/>
          <w:rFonts w:ascii="Arial" w:hAnsi="Arial" w:cs="Arial"/>
          <w:sz w:val="22"/>
          <w:szCs w:val="22"/>
          <w:lang w:val="es-419"/>
        </w:rPr>
        <w:t>Mejora continua. </w:t>
      </w:r>
      <w:r w:rsidRPr="00734D3B">
        <w:rPr>
          <w:rStyle w:val="eop"/>
          <w:rFonts w:ascii="Arial" w:hAnsi="Arial" w:cs="Arial"/>
          <w:sz w:val="22"/>
          <w:szCs w:val="22"/>
          <w:lang w:val="es-CR"/>
        </w:rPr>
        <w:t> </w:t>
      </w:r>
    </w:p>
    <w:p w14:paraId="78806759" w14:textId="77777777" w:rsidR="00BC622D" w:rsidRPr="00734D3B" w:rsidRDefault="00BC622D" w:rsidP="00BC622D">
      <w:pPr>
        <w:pStyle w:val="paragraph"/>
        <w:spacing w:before="0" w:beforeAutospacing="0" w:after="0" w:afterAutospacing="0" w:line="480" w:lineRule="auto"/>
        <w:ind w:left="1440"/>
        <w:jc w:val="both"/>
        <w:textAlignment w:val="baseline"/>
        <w:rPr>
          <w:rFonts w:ascii="Arial" w:hAnsi="Arial" w:cs="Arial"/>
          <w:sz w:val="22"/>
          <w:szCs w:val="22"/>
          <w:lang w:val="es-CR"/>
        </w:rPr>
      </w:pPr>
      <w:r w:rsidRPr="00734D3B">
        <w:rPr>
          <w:rStyle w:val="normaltextrun"/>
          <w:rFonts w:ascii="Arial" w:hAnsi="Arial" w:cs="Arial"/>
          <w:sz w:val="22"/>
          <w:szCs w:val="22"/>
          <w:lang w:val="es-419"/>
        </w:rPr>
        <w:t>Economía circular y valorización de materiales.</w:t>
      </w:r>
      <w:r w:rsidRPr="00734D3B">
        <w:rPr>
          <w:rStyle w:val="eop"/>
          <w:rFonts w:ascii="Arial" w:hAnsi="Arial" w:cs="Arial"/>
          <w:sz w:val="22"/>
          <w:szCs w:val="22"/>
          <w:lang w:val="es-CR"/>
        </w:rPr>
        <w:t> </w:t>
      </w:r>
    </w:p>
    <w:p w14:paraId="7109BE76" w14:textId="77777777" w:rsidR="00BC622D" w:rsidRPr="00734D3B" w:rsidRDefault="00BC622D" w:rsidP="00BC622D">
      <w:pPr>
        <w:pStyle w:val="paragraph"/>
        <w:spacing w:before="0" w:beforeAutospacing="0" w:after="0" w:afterAutospacing="0" w:line="480" w:lineRule="auto"/>
        <w:jc w:val="both"/>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Style w:val="normaltextrun"/>
          <w:rFonts w:ascii="Arial" w:hAnsi="Arial" w:cs="Arial"/>
          <w:sz w:val="22"/>
          <w:szCs w:val="22"/>
          <w:lang w:val="es-419"/>
        </w:rPr>
        <w:t>Esta política se fundamenta en que la gestión integral de RAEE debe priorizar la valorización sobre la disposición final, recuperado materias primas y reduciendo la eliminación de residuos (Reglamento RAEE, 2024).</w:t>
      </w:r>
      <w:r w:rsidRPr="00734D3B">
        <w:rPr>
          <w:rStyle w:val="eop"/>
          <w:rFonts w:ascii="Arial" w:hAnsi="Arial" w:cs="Arial"/>
          <w:sz w:val="22"/>
          <w:szCs w:val="22"/>
          <w:lang w:val="es-CR"/>
        </w:rPr>
        <w:t> </w:t>
      </w:r>
    </w:p>
    <w:p w14:paraId="1DDC9BE5" w14:textId="145AB6CA" w:rsidR="00BC622D" w:rsidRPr="00734D3B" w:rsidRDefault="000F5561" w:rsidP="000F5561">
      <w:pPr>
        <w:pStyle w:val="paragraph"/>
        <w:spacing w:before="0" w:beforeAutospacing="0" w:after="0" w:afterAutospacing="0" w:line="480" w:lineRule="auto"/>
        <w:ind w:left="1440"/>
        <w:jc w:val="both"/>
        <w:textAlignment w:val="baseline"/>
        <w:rPr>
          <w:rFonts w:ascii="Arial" w:hAnsi="Arial" w:cs="Arial"/>
          <w:b/>
          <w:bCs/>
          <w:sz w:val="22"/>
          <w:szCs w:val="22"/>
          <w:lang w:val="es-CR"/>
        </w:rPr>
      </w:pPr>
      <w:r w:rsidRPr="00734D3B">
        <w:rPr>
          <w:rStyle w:val="normaltextrun"/>
          <w:rFonts w:ascii="Arial" w:hAnsi="Arial" w:cs="Arial"/>
          <w:b/>
          <w:bCs/>
          <w:sz w:val="22"/>
          <w:szCs w:val="22"/>
          <w:lang w:val="es-419"/>
        </w:rPr>
        <w:t xml:space="preserve">4.3.2 </w:t>
      </w:r>
      <w:r w:rsidR="00BC622D" w:rsidRPr="00734D3B">
        <w:rPr>
          <w:rStyle w:val="normaltextrun"/>
          <w:rFonts w:ascii="Arial" w:hAnsi="Arial" w:cs="Arial"/>
          <w:b/>
          <w:bCs/>
          <w:sz w:val="22"/>
          <w:szCs w:val="22"/>
          <w:lang w:val="es-419"/>
        </w:rPr>
        <w:t>Objetivos ambientales</w:t>
      </w:r>
      <w:r w:rsidR="00BC622D" w:rsidRPr="00734D3B">
        <w:rPr>
          <w:rStyle w:val="eop"/>
          <w:rFonts w:ascii="Arial" w:hAnsi="Arial" w:cs="Arial"/>
          <w:b/>
          <w:bCs/>
          <w:sz w:val="22"/>
          <w:szCs w:val="22"/>
          <w:lang w:val="es-CR"/>
        </w:rPr>
        <w:t> </w:t>
      </w:r>
    </w:p>
    <w:p w14:paraId="335570BE" w14:textId="77777777" w:rsidR="00BC622D" w:rsidRPr="00734D3B" w:rsidRDefault="00BC622D" w:rsidP="00BC622D">
      <w:pPr>
        <w:pStyle w:val="paragraph"/>
        <w:spacing w:before="0" w:beforeAutospacing="0" w:after="0" w:afterAutospacing="0" w:line="480" w:lineRule="auto"/>
        <w:ind w:left="1080"/>
        <w:jc w:val="both"/>
        <w:textAlignment w:val="baseline"/>
        <w:rPr>
          <w:rFonts w:ascii="Arial" w:hAnsi="Arial" w:cs="Arial"/>
          <w:b/>
          <w:bCs/>
          <w:sz w:val="22"/>
          <w:szCs w:val="22"/>
          <w:lang w:val="es-CR"/>
        </w:rPr>
      </w:pPr>
      <w:r w:rsidRPr="00734D3B">
        <w:rPr>
          <w:rStyle w:val="normaltextrun"/>
          <w:rFonts w:ascii="Arial" w:hAnsi="Arial" w:cs="Arial"/>
          <w:b/>
          <w:bCs/>
          <w:sz w:val="22"/>
          <w:szCs w:val="22"/>
          <w:lang w:val="es-419"/>
        </w:rPr>
        <w:t>Objetivo general</w:t>
      </w:r>
      <w:r w:rsidRPr="00734D3B">
        <w:rPr>
          <w:rStyle w:val="eop"/>
          <w:rFonts w:ascii="Arial" w:hAnsi="Arial" w:cs="Arial"/>
          <w:b/>
          <w:bCs/>
          <w:sz w:val="22"/>
          <w:szCs w:val="22"/>
          <w:lang w:val="es-CR"/>
        </w:rPr>
        <w:t> </w:t>
      </w:r>
    </w:p>
    <w:p w14:paraId="6FD2E69D"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b/>
          <w:bCs/>
          <w:sz w:val="22"/>
          <w:szCs w:val="22"/>
          <w:lang w:val="es-CR"/>
        </w:rPr>
      </w:pPr>
      <w:r w:rsidRPr="00734D3B">
        <w:rPr>
          <w:rStyle w:val="normaltextrun"/>
          <w:rFonts w:ascii="Arial" w:hAnsi="Arial" w:cs="Arial"/>
          <w:sz w:val="22"/>
          <w:szCs w:val="22"/>
          <w:lang w:val="es-419"/>
        </w:rPr>
        <w:t>Gestionar los residuos eléctricos generados durante la construcción </w:t>
      </w:r>
      <w:proofErr w:type="gramStart"/>
      <w:r w:rsidRPr="00734D3B">
        <w:rPr>
          <w:rStyle w:val="normaltextrun"/>
          <w:rFonts w:ascii="Arial" w:hAnsi="Arial" w:cs="Arial"/>
          <w:sz w:val="22"/>
          <w:szCs w:val="22"/>
          <w:lang w:val="es-419"/>
        </w:rPr>
        <w:t>del data</w:t>
      </w:r>
      <w:proofErr w:type="gramEnd"/>
      <w:r w:rsidRPr="00734D3B">
        <w:rPr>
          <w:rStyle w:val="normaltextrun"/>
          <w:rFonts w:ascii="Arial" w:hAnsi="Arial" w:cs="Arial"/>
          <w:sz w:val="22"/>
          <w:szCs w:val="22"/>
          <w:lang w:val="es-419"/>
        </w:rPr>
        <w:t> center mediante reducción, segregación, reutilización y disposición segura.</w:t>
      </w:r>
      <w:r w:rsidRPr="00734D3B">
        <w:rPr>
          <w:rStyle w:val="eop"/>
          <w:rFonts w:ascii="Arial" w:hAnsi="Arial" w:cs="Arial"/>
          <w:sz w:val="22"/>
          <w:szCs w:val="22"/>
          <w:lang w:val="es-CR"/>
        </w:rPr>
        <w:t> </w:t>
      </w:r>
    </w:p>
    <w:p w14:paraId="08E5FAB7" w14:textId="77777777" w:rsidR="00BC622D" w:rsidRPr="00734D3B" w:rsidRDefault="00BC622D" w:rsidP="00BC622D">
      <w:pPr>
        <w:pStyle w:val="paragraph"/>
        <w:spacing w:before="0" w:beforeAutospacing="0" w:after="0" w:afterAutospacing="0" w:line="480" w:lineRule="auto"/>
        <w:jc w:val="both"/>
        <w:textAlignment w:val="baseline"/>
        <w:rPr>
          <w:rFonts w:ascii="Arial" w:hAnsi="Arial" w:cs="Arial"/>
          <w:b/>
          <w:bCs/>
          <w:sz w:val="22"/>
          <w:szCs w:val="22"/>
        </w:rPr>
      </w:pPr>
      <w:r w:rsidRPr="00734D3B">
        <w:rPr>
          <w:rStyle w:val="normaltextrun"/>
          <w:rFonts w:ascii="Arial" w:hAnsi="Arial" w:cs="Arial"/>
          <w:b/>
          <w:bCs/>
          <w:sz w:val="22"/>
          <w:szCs w:val="22"/>
          <w:lang w:val="es-419"/>
        </w:rPr>
        <w:lastRenderedPageBreak/>
        <w:t>Objetivos específicos </w:t>
      </w:r>
      <w:r w:rsidRPr="00734D3B">
        <w:rPr>
          <w:rStyle w:val="eop"/>
          <w:rFonts w:ascii="Arial" w:hAnsi="Arial" w:cs="Arial"/>
          <w:b/>
          <w:bCs/>
          <w:sz w:val="22"/>
          <w:szCs w:val="22"/>
        </w:rPr>
        <w:t> </w:t>
      </w:r>
    </w:p>
    <w:p w14:paraId="79D004AF" w14:textId="77777777" w:rsidR="00BC622D" w:rsidRPr="00734D3B" w:rsidRDefault="00BC622D" w:rsidP="00BC622D">
      <w:pPr>
        <w:pStyle w:val="paragraph"/>
        <w:numPr>
          <w:ilvl w:val="0"/>
          <w:numId w:val="41"/>
        </w:numPr>
        <w:spacing w:before="0" w:beforeAutospacing="0" w:after="0" w:afterAutospacing="0" w:line="480" w:lineRule="auto"/>
        <w:jc w:val="both"/>
        <w:textAlignment w:val="baseline"/>
        <w:rPr>
          <w:rFonts w:ascii="Arial" w:hAnsi="Arial" w:cs="Arial"/>
          <w:sz w:val="22"/>
          <w:szCs w:val="22"/>
          <w:lang w:val="es-CR"/>
        </w:rPr>
      </w:pPr>
      <w:r w:rsidRPr="00734D3B">
        <w:rPr>
          <w:rStyle w:val="normaltextrun"/>
          <w:rFonts w:ascii="Arial" w:hAnsi="Arial" w:cs="Arial"/>
          <w:sz w:val="22"/>
          <w:szCs w:val="22"/>
          <w:lang w:val="es-419"/>
        </w:rPr>
        <w:t>Reducir la generación de residuos eléctricos en al menos un porcentaje definido del proyecto.</w:t>
      </w:r>
      <w:r w:rsidRPr="00734D3B">
        <w:rPr>
          <w:rStyle w:val="eop"/>
          <w:rFonts w:ascii="Arial" w:hAnsi="Arial" w:cs="Arial"/>
          <w:sz w:val="22"/>
          <w:szCs w:val="22"/>
          <w:lang w:val="es-CR"/>
        </w:rPr>
        <w:t> </w:t>
      </w:r>
    </w:p>
    <w:p w14:paraId="3C50B558" w14:textId="77777777" w:rsidR="00BC622D" w:rsidRPr="00734D3B" w:rsidRDefault="00BC622D" w:rsidP="00BC622D">
      <w:pPr>
        <w:pStyle w:val="paragraph"/>
        <w:numPr>
          <w:ilvl w:val="0"/>
          <w:numId w:val="41"/>
        </w:numPr>
        <w:spacing w:before="0" w:beforeAutospacing="0" w:after="0" w:afterAutospacing="0" w:line="480" w:lineRule="auto"/>
        <w:jc w:val="both"/>
        <w:textAlignment w:val="baseline"/>
        <w:rPr>
          <w:rFonts w:ascii="Arial" w:hAnsi="Arial" w:cs="Arial"/>
          <w:sz w:val="22"/>
          <w:szCs w:val="22"/>
          <w:lang w:val="es-CR"/>
        </w:rPr>
      </w:pPr>
      <w:r w:rsidRPr="00734D3B">
        <w:rPr>
          <w:rStyle w:val="normaltextrun"/>
          <w:rFonts w:ascii="Arial" w:hAnsi="Arial" w:cs="Arial"/>
          <w:sz w:val="22"/>
          <w:szCs w:val="22"/>
          <w:lang w:val="es-419"/>
        </w:rPr>
        <w:t>Clasificar el 100% de los residuos eléctricos en origen.</w:t>
      </w:r>
      <w:r w:rsidRPr="00734D3B">
        <w:rPr>
          <w:rStyle w:val="eop"/>
          <w:rFonts w:ascii="Arial" w:hAnsi="Arial" w:cs="Arial"/>
          <w:sz w:val="22"/>
          <w:szCs w:val="22"/>
          <w:lang w:val="es-CR"/>
        </w:rPr>
        <w:t> </w:t>
      </w:r>
    </w:p>
    <w:p w14:paraId="7F49CFE6" w14:textId="77777777" w:rsidR="00BC622D" w:rsidRPr="00734D3B" w:rsidRDefault="00BC622D" w:rsidP="00BC622D">
      <w:pPr>
        <w:pStyle w:val="paragraph"/>
        <w:numPr>
          <w:ilvl w:val="0"/>
          <w:numId w:val="41"/>
        </w:numPr>
        <w:spacing w:before="0" w:beforeAutospacing="0" w:after="0" w:afterAutospacing="0" w:line="480" w:lineRule="auto"/>
        <w:jc w:val="both"/>
        <w:textAlignment w:val="baseline"/>
        <w:rPr>
          <w:rFonts w:ascii="Arial" w:hAnsi="Arial" w:cs="Arial"/>
          <w:sz w:val="22"/>
          <w:szCs w:val="22"/>
          <w:lang w:val="es-CR"/>
        </w:rPr>
      </w:pPr>
      <w:r w:rsidRPr="00734D3B">
        <w:rPr>
          <w:rStyle w:val="normaltextrun"/>
          <w:rFonts w:ascii="Arial" w:hAnsi="Arial" w:cs="Arial"/>
          <w:sz w:val="22"/>
          <w:szCs w:val="22"/>
          <w:lang w:val="es-419"/>
        </w:rPr>
        <w:t>Reutilizar equipos funcionales antes de su descarte.</w:t>
      </w:r>
      <w:r w:rsidRPr="00734D3B">
        <w:rPr>
          <w:rStyle w:val="eop"/>
          <w:rFonts w:ascii="Arial" w:hAnsi="Arial" w:cs="Arial"/>
          <w:sz w:val="22"/>
          <w:szCs w:val="22"/>
          <w:lang w:val="es-CR"/>
        </w:rPr>
        <w:t> </w:t>
      </w:r>
    </w:p>
    <w:p w14:paraId="4DB9B014" w14:textId="77777777" w:rsidR="00BC622D" w:rsidRPr="00734D3B" w:rsidRDefault="00BC622D" w:rsidP="00BC622D">
      <w:pPr>
        <w:pStyle w:val="paragraph"/>
        <w:numPr>
          <w:ilvl w:val="0"/>
          <w:numId w:val="41"/>
        </w:numPr>
        <w:spacing w:before="0" w:beforeAutospacing="0" w:after="0" w:afterAutospacing="0" w:line="480" w:lineRule="auto"/>
        <w:jc w:val="both"/>
        <w:textAlignment w:val="baseline"/>
        <w:rPr>
          <w:rFonts w:ascii="Arial" w:hAnsi="Arial" w:cs="Arial"/>
          <w:sz w:val="22"/>
          <w:szCs w:val="22"/>
          <w:lang w:val="es-CR"/>
        </w:rPr>
      </w:pPr>
      <w:r w:rsidRPr="00734D3B">
        <w:rPr>
          <w:rStyle w:val="normaltextrun"/>
          <w:rFonts w:ascii="Arial" w:hAnsi="Arial" w:cs="Arial"/>
          <w:sz w:val="22"/>
          <w:szCs w:val="22"/>
          <w:lang w:val="es-419"/>
        </w:rPr>
        <w:t>Garantizar disposición final mediante gestores autorizados.</w:t>
      </w:r>
      <w:r w:rsidRPr="00734D3B">
        <w:rPr>
          <w:rStyle w:val="eop"/>
          <w:rFonts w:ascii="Arial" w:hAnsi="Arial" w:cs="Arial"/>
          <w:sz w:val="22"/>
          <w:szCs w:val="22"/>
          <w:lang w:val="es-CR"/>
        </w:rPr>
        <w:t> </w:t>
      </w:r>
    </w:p>
    <w:p w14:paraId="67A4BD1D" w14:textId="68825FC5" w:rsidR="00BC622D" w:rsidRPr="00734D3B" w:rsidRDefault="00BC622D" w:rsidP="00047670">
      <w:pPr>
        <w:pStyle w:val="paragraph"/>
        <w:spacing w:before="0" w:beforeAutospacing="0" w:after="0" w:afterAutospacing="0" w:line="480" w:lineRule="auto"/>
        <w:ind w:left="1440"/>
        <w:jc w:val="both"/>
        <w:textAlignment w:val="baseline"/>
        <w:rPr>
          <w:rStyle w:val="normaltextrun"/>
          <w:b/>
          <w:bCs/>
          <w:lang w:val="es-419"/>
        </w:rPr>
      </w:pPr>
      <w:r w:rsidRPr="00734D3B">
        <w:rPr>
          <w:rStyle w:val="normaltextrun"/>
          <w:b/>
          <w:bCs/>
          <w:lang w:val="es-419"/>
        </w:rPr>
        <w:t> </w:t>
      </w:r>
      <w:r w:rsidR="00047670" w:rsidRPr="00734D3B">
        <w:rPr>
          <w:rStyle w:val="normaltextrun"/>
          <w:rFonts w:ascii="Arial" w:hAnsi="Arial" w:cs="Arial"/>
          <w:b/>
          <w:bCs/>
          <w:sz w:val="22"/>
          <w:szCs w:val="22"/>
          <w:lang w:val="es-419"/>
        </w:rPr>
        <w:t xml:space="preserve">4.3.3 </w:t>
      </w:r>
      <w:r w:rsidRPr="00734D3B">
        <w:rPr>
          <w:rStyle w:val="normaltextrun"/>
          <w:rFonts w:ascii="Arial" w:hAnsi="Arial" w:cs="Arial"/>
          <w:b/>
          <w:bCs/>
          <w:sz w:val="22"/>
          <w:szCs w:val="22"/>
          <w:lang w:val="es-419"/>
        </w:rPr>
        <w:t>Principios de gestión aplicables</w:t>
      </w:r>
      <w:r w:rsidRPr="00734D3B">
        <w:rPr>
          <w:rStyle w:val="normaltextrun"/>
          <w:b/>
          <w:bCs/>
          <w:lang w:val="es-419"/>
        </w:rPr>
        <w:t> </w:t>
      </w:r>
    </w:p>
    <w:p w14:paraId="35F7F72C" w14:textId="77777777" w:rsidR="00BC622D" w:rsidRPr="00734D3B" w:rsidRDefault="00BC622D" w:rsidP="00BC622D">
      <w:pPr>
        <w:pStyle w:val="paragraph"/>
        <w:spacing w:before="0" w:beforeAutospacing="0" w:after="0" w:afterAutospacing="0" w:line="480" w:lineRule="auto"/>
        <w:jc w:val="both"/>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Fonts w:ascii="Arial" w:hAnsi="Arial" w:cs="Arial"/>
          <w:sz w:val="22"/>
          <w:szCs w:val="22"/>
          <w:lang w:val="es-CR"/>
        </w:rPr>
        <w:tab/>
      </w:r>
      <w:r w:rsidRPr="00734D3B">
        <w:rPr>
          <w:rStyle w:val="normaltextrun"/>
          <w:rFonts w:ascii="Arial" w:hAnsi="Arial" w:cs="Arial"/>
          <w:sz w:val="22"/>
          <w:szCs w:val="22"/>
          <w:lang w:val="es-419"/>
        </w:rPr>
        <w:t>El manual adopta cinco principios:</w:t>
      </w:r>
      <w:r w:rsidRPr="00734D3B">
        <w:rPr>
          <w:rStyle w:val="eop"/>
          <w:rFonts w:ascii="Arial" w:hAnsi="Arial" w:cs="Arial"/>
          <w:sz w:val="22"/>
          <w:szCs w:val="22"/>
          <w:lang w:val="es-CR"/>
        </w:rPr>
        <w:t> </w:t>
      </w:r>
    </w:p>
    <w:p w14:paraId="04D23392" w14:textId="77777777" w:rsidR="00BC622D" w:rsidRPr="00734D3B" w:rsidRDefault="00BC622D" w:rsidP="00BC622D">
      <w:pPr>
        <w:pStyle w:val="paragraph"/>
        <w:numPr>
          <w:ilvl w:val="0"/>
          <w:numId w:val="36"/>
        </w:numPr>
        <w:spacing w:before="0" w:beforeAutospacing="0" w:after="0" w:afterAutospacing="0" w:line="480" w:lineRule="auto"/>
        <w:ind w:left="1080" w:firstLine="0"/>
        <w:jc w:val="both"/>
        <w:textAlignment w:val="baseline"/>
        <w:rPr>
          <w:rFonts w:ascii="Arial" w:hAnsi="Arial" w:cs="Arial"/>
          <w:sz w:val="22"/>
          <w:szCs w:val="22"/>
        </w:rPr>
      </w:pPr>
      <w:r w:rsidRPr="00734D3B">
        <w:rPr>
          <w:rStyle w:val="normaltextrun"/>
          <w:rFonts w:ascii="Arial" w:hAnsi="Arial" w:cs="Arial"/>
          <w:sz w:val="22"/>
          <w:szCs w:val="22"/>
          <w:lang w:val="es-419"/>
        </w:rPr>
        <w:t>Prevención </w:t>
      </w:r>
      <w:r w:rsidRPr="00734D3B">
        <w:rPr>
          <w:rStyle w:val="eop"/>
          <w:rFonts w:ascii="Arial" w:hAnsi="Arial" w:cs="Arial"/>
          <w:sz w:val="22"/>
          <w:szCs w:val="22"/>
        </w:rPr>
        <w:t> </w:t>
      </w:r>
    </w:p>
    <w:p w14:paraId="0F1120B0"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Evitar compras innecesarias y sobre dimensiona miento de equipos.</w:t>
      </w:r>
      <w:r w:rsidRPr="00734D3B">
        <w:rPr>
          <w:rStyle w:val="eop"/>
          <w:rFonts w:ascii="Arial" w:hAnsi="Arial" w:cs="Arial"/>
          <w:sz w:val="22"/>
          <w:szCs w:val="22"/>
          <w:lang w:val="es-CR"/>
        </w:rPr>
        <w:t> </w:t>
      </w:r>
    </w:p>
    <w:p w14:paraId="1F1FBFB4" w14:textId="77777777" w:rsidR="00BC622D" w:rsidRPr="00734D3B" w:rsidRDefault="00BC622D" w:rsidP="00BC622D">
      <w:pPr>
        <w:pStyle w:val="paragraph"/>
        <w:numPr>
          <w:ilvl w:val="0"/>
          <w:numId w:val="37"/>
        </w:numPr>
        <w:spacing w:before="0" w:beforeAutospacing="0" w:after="0" w:afterAutospacing="0" w:line="480" w:lineRule="auto"/>
        <w:ind w:left="1080" w:firstLine="0"/>
        <w:jc w:val="both"/>
        <w:textAlignment w:val="baseline"/>
        <w:rPr>
          <w:rFonts w:ascii="Arial" w:hAnsi="Arial" w:cs="Arial"/>
          <w:sz w:val="22"/>
          <w:szCs w:val="22"/>
        </w:rPr>
      </w:pPr>
      <w:r w:rsidRPr="00734D3B">
        <w:rPr>
          <w:rStyle w:val="normaltextrun"/>
          <w:rFonts w:ascii="Arial" w:hAnsi="Arial" w:cs="Arial"/>
          <w:sz w:val="22"/>
          <w:szCs w:val="22"/>
          <w:lang w:val="es-419"/>
        </w:rPr>
        <w:t>Responsabilidad extendida</w:t>
      </w:r>
      <w:r w:rsidRPr="00734D3B">
        <w:rPr>
          <w:rStyle w:val="eop"/>
          <w:rFonts w:ascii="Arial" w:hAnsi="Arial" w:cs="Arial"/>
          <w:sz w:val="22"/>
          <w:szCs w:val="22"/>
        </w:rPr>
        <w:t> </w:t>
      </w:r>
    </w:p>
    <w:p w14:paraId="200A25F9" w14:textId="77777777" w:rsidR="00BC622D" w:rsidRPr="00734D3B" w:rsidRDefault="00BC622D" w:rsidP="00BC622D">
      <w:pPr>
        <w:pStyle w:val="paragraph"/>
        <w:spacing w:before="0" w:beforeAutospacing="0" w:after="0" w:afterAutospacing="0" w:line="480" w:lineRule="auto"/>
        <w:ind w:left="720"/>
        <w:jc w:val="both"/>
        <w:textAlignment w:val="baseline"/>
        <w:rPr>
          <w:rFonts w:ascii="Arial" w:hAnsi="Arial" w:cs="Arial"/>
          <w:sz w:val="22"/>
          <w:szCs w:val="22"/>
          <w:lang w:val="es-CR"/>
        </w:rPr>
      </w:pPr>
      <w:r w:rsidRPr="00734D3B">
        <w:rPr>
          <w:rStyle w:val="normaltextrun"/>
          <w:rFonts w:ascii="Arial" w:hAnsi="Arial" w:cs="Arial"/>
          <w:sz w:val="22"/>
          <w:szCs w:val="22"/>
          <w:lang w:val="es-419"/>
        </w:rPr>
        <w:t>Los generados deben entregar los residuos a centros autorizados (Reglamento RAEE </w:t>
      </w:r>
      <w:proofErr w:type="spellStart"/>
      <w:r w:rsidRPr="00734D3B">
        <w:rPr>
          <w:rStyle w:val="normaltextrun"/>
          <w:rFonts w:ascii="Arial" w:hAnsi="Arial" w:cs="Arial"/>
          <w:sz w:val="22"/>
          <w:szCs w:val="22"/>
          <w:lang w:val="es-419"/>
        </w:rPr>
        <w:t>Nº</w:t>
      </w:r>
      <w:proofErr w:type="spellEnd"/>
      <w:r w:rsidRPr="00734D3B">
        <w:rPr>
          <w:rStyle w:val="normaltextrun"/>
          <w:rFonts w:ascii="Arial" w:hAnsi="Arial" w:cs="Arial"/>
          <w:sz w:val="22"/>
          <w:szCs w:val="22"/>
          <w:lang w:val="es-419"/>
        </w:rPr>
        <w:t>. 35933-S).</w:t>
      </w:r>
      <w:r w:rsidRPr="00734D3B">
        <w:rPr>
          <w:rStyle w:val="eop"/>
          <w:rFonts w:ascii="Arial" w:hAnsi="Arial" w:cs="Arial"/>
          <w:sz w:val="22"/>
          <w:szCs w:val="22"/>
          <w:lang w:val="es-CR"/>
        </w:rPr>
        <w:t> </w:t>
      </w:r>
    </w:p>
    <w:p w14:paraId="405F832B" w14:textId="77777777" w:rsidR="00BC622D" w:rsidRPr="00734D3B" w:rsidRDefault="00BC622D" w:rsidP="00BC622D">
      <w:pPr>
        <w:pStyle w:val="paragraph"/>
        <w:numPr>
          <w:ilvl w:val="0"/>
          <w:numId w:val="38"/>
        </w:numPr>
        <w:spacing w:before="0" w:beforeAutospacing="0" w:after="0" w:afterAutospacing="0" w:line="480" w:lineRule="auto"/>
        <w:ind w:left="1080" w:firstLine="0"/>
        <w:jc w:val="both"/>
        <w:textAlignment w:val="baseline"/>
        <w:rPr>
          <w:rFonts w:ascii="Arial" w:hAnsi="Arial" w:cs="Arial"/>
          <w:sz w:val="22"/>
          <w:szCs w:val="22"/>
        </w:rPr>
      </w:pPr>
      <w:r w:rsidRPr="00734D3B">
        <w:rPr>
          <w:rStyle w:val="normaltextrun"/>
          <w:rFonts w:ascii="Arial" w:hAnsi="Arial" w:cs="Arial"/>
          <w:sz w:val="22"/>
          <w:szCs w:val="22"/>
          <w:lang w:val="es-419"/>
        </w:rPr>
        <w:t>Economía circular</w:t>
      </w:r>
      <w:r w:rsidRPr="00734D3B">
        <w:rPr>
          <w:rStyle w:val="eop"/>
          <w:rFonts w:ascii="Arial" w:hAnsi="Arial" w:cs="Arial"/>
          <w:sz w:val="22"/>
          <w:szCs w:val="22"/>
        </w:rPr>
        <w:t> </w:t>
      </w:r>
    </w:p>
    <w:p w14:paraId="2B37EDED" w14:textId="77777777" w:rsidR="00BC622D" w:rsidRPr="00734D3B" w:rsidRDefault="00BC622D" w:rsidP="00BC622D">
      <w:pPr>
        <w:pStyle w:val="paragraph"/>
        <w:spacing w:before="0" w:beforeAutospacing="0" w:after="0" w:afterAutospacing="0" w:line="480" w:lineRule="auto"/>
        <w:ind w:left="360" w:firstLine="348"/>
        <w:jc w:val="both"/>
        <w:textAlignment w:val="baseline"/>
        <w:rPr>
          <w:rFonts w:ascii="Arial" w:hAnsi="Arial" w:cs="Arial"/>
          <w:sz w:val="22"/>
          <w:szCs w:val="22"/>
          <w:lang w:val="es-CR"/>
        </w:rPr>
      </w:pPr>
      <w:r w:rsidRPr="00734D3B">
        <w:rPr>
          <w:rStyle w:val="normaltextrun"/>
          <w:rFonts w:ascii="Arial" w:hAnsi="Arial" w:cs="Arial"/>
          <w:sz w:val="22"/>
          <w:szCs w:val="22"/>
          <w:lang w:val="es-419"/>
        </w:rPr>
        <w:t>Recuperación de materiales valiosos contenidos en equipos electrónicos.</w:t>
      </w:r>
      <w:r w:rsidRPr="00734D3B">
        <w:rPr>
          <w:rStyle w:val="eop"/>
          <w:rFonts w:ascii="Arial" w:hAnsi="Arial" w:cs="Arial"/>
          <w:sz w:val="22"/>
          <w:szCs w:val="22"/>
          <w:lang w:val="es-CR"/>
        </w:rPr>
        <w:t> </w:t>
      </w:r>
    </w:p>
    <w:p w14:paraId="1BAF66C1" w14:textId="77777777" w:rsidR="00BC622D" w:rsidRPr="00734D3B" w:rsidRDefault="00BC622D" w:rsidP="00BC622D">
      <w:pPr>
        <w:pStyle w:val="paragraph"/>
        <w:numPr>
          <w:ilvl w:val="0"/>
          <w:numId w:val="39"/>
        </w:numPr>
        <w:spacing w:before="0" w:beforeAutospacing="0" w:after="0" w:afterAutospacing="0" w:line="480" w:lineRule="auto"/>
        <w:ind w:left="1080" w:firstLine="0"/>
        <w:jc w:val="both"/>
        <w:textAlignment w:val="baseline"/>
        <w:rPr>
          <w:rFonts w:ascii="Arial" w:hAnsi="Arial" w:cs="Arial"/>
          <w:sz w:val="22"/>
          <w:szCs w:val="22"/>
        </w:rPr>
      </w:pPr>
      <w:r w:rsidRPr="00734D3B">
        <w:rPr>
          <w:rStyle w:val="normaltextrun"/>
          <w:rFonts w:ascii="Arial" w:hAnsi="Arial" w:cs="Arial"/>
          <w:sz w:val="22"/>
          <w:szCs w:val="22"/>
          <w:lang w:val="es-419"/>
        </w:rPr>
        <w:t>Jerarquía de residuos</w:t>
      </w:r>
      <w:r w:rsidRPr="00734D3B">
        <w:rPr>
          <w:rStyle w:val="eop"/>
          <w:rFonts w:ascii="Arial" w:hAnsi="Arial" w:cs="Arial"/>
          <w:sz w:val="22"/>
          <w:szCs w:val="22"/>
        </w:rPr>
        <w:t> </w:t>
      </w:r>
    </w:p>
    <w:p w14:paraId="3305C2CB" w14:textId="77777777" w:rsidR="00BC622D" w:rsidRPr="00734D3B" w:rsidRDefault="00BC622D" w:rsidP="00BC622D">
      <w:pPr>
        <w:pStyle w:val="paragraph"/>
        <w:spacing w:before="0" w:beforeAutospacing="0" w:after="0" w:afterAutospacing="0" w:line="480" w:lineRule="auto"/>
        <w:ind w:left="360" w:firstLine="348"/>
        <w:jc w:val="both"/>
        <w:textAlignment w:val="baseline"/>
        <w:rPr>
          <w:rFonts w:ascii="Arial" w:hAnsi="Arial" w:cs="Arial"/>
          <w:sz w:val="22"/>
          <w:szCs w:val="22"/>
        </w:rPr>
      </w:pPr>
      <w:r w:rsidRPr="00734D3B">
        <w:rPr>
          <w:rStyle w:val="normaltextrun"/>
          <w:rFonts w:ascii="Arial" w:hAnsi="Arial" w:cs="Arial"/>
          <w:sz w:val="22"/>
          <w:szCs w:val="22"/>
          <w:lang w:val="es-419"/>
        </w:rPr>
        <w:t>Reducir – Reutilizar – Reciclar- Disponer.</w:t>
      </w:r>
      <w:r w:rsidRPr="00734D3B">
        <w:rPr>
          <w:rStyle w:val="eop"/>
          <w:rFonts w:ascii="Arial" w:hAnsi="Arial" w:cs="Arial"/>
          <w:sz w:val="22"/>
          <w:szCs w:val="22"/>
        </w:rPr>
        <w:t> </w:t>
      </w:r>
    </w:p>
    <w:p w14:paraId="7F0EC6ED" w14:textId="77777777" w:rsidR="00BC622D" w:rsidRPr="00734D3B" w:rsidRDefault="00BC622D" w:rsidP="00BC622D">
      <w:pPr>
        <w:pStyle w:val="paragraph"/>
        <w:numPr>
          <w:ilvl w:val="0"/>
          <w:numId w:val="40"/>
        </w:numPr>
        <w:spacing w:before="0" w:beforeAutospacing="0" w:after="0" w:afterAutospacing="0" w:line="480" w:lineRule="auto"/>
        <w:ind w:left="1080" w:firstLine="0"/>
        <w:jc w:val="both"/>
        <w:textAlignment w:val="baseline"/>
        <w:rPr>
          <w:rFonts w:ascii="Arial" w:hAnsi="Arial" w:cs="Arial"/>
          <w:sz w:val="22"/>
          <w:szCs w:val="22"/>
        </w:rPr>
      </w:pPr>
      <w:r w:rsidRPr="00734D3B">
        <w:rPr>
          <w:rStyle w:val="normaltextrun"/>
          <w:rFonts w:ascii="Arial" w:hAnsi="Arial" w:cs="Arial"/>
          <w:sz w:val="22"/>
          <w:szCs w:val="22"/>
          <w:lang w:val="es-419"/>
        </w:rPr>
        <w:t>Seguridad ambiental y ocupacional </w:t>
      </w:r>
      <w:r w:rsidRPr="00734D3B">
        <w:rPr>
          <w:rStyle w:val="eop"/>
          <w:rFonts w:ascii="Arial" w:hAnsi="Arial" w:cs="Arial"/>
          <w:sz w:val="22"/>
          <w:szCs w:val="22"/>
        </w:rPr>
        <w:t> </w:t>
      </w:r>
    </w:p>
    <w:p w14:paraId="74F2627D" w14:textId="77777777" w:rsidR="00BC622D" w:rsidRPr="00734D3B" w:rsidRDefault="00BC622D" w:rsidP="00BC622D">
      <w:pPr>
        <w:pStyle w:val="paragraph"/>
        <w:spacing w:before="0" w:beforeAutospacing="0" w:after="0" w:afterAutospacing="0" w:line="480" w:lineRule="auto"/>
        <w:ind w:firstLine="708"/>
        <w:jc w:val="both"/>
        <w:textAlignment w:val="baseline"/>
        <w:rPr>
          <w:rFonts w:ascii="Arial" w:hAnsi="Arial" w:cs="Arial"/>
          <w:sz w:val="22"/>
          <w:szCs w:val="22"/>
          <w:lang w:val="es-CR"/>
        </w:rPr>
      </w:pPr>
      <w:r w:rsidRPr="00734D3B">
        <w:rPr>
          <w:rStyle w:val="normaltextrun"/>
          <w:rFonts w:ascii="Arial" w:hAnsi="Arial" w:cs="Arial"/>
          <w:sz w:val="22"/>
          <w:szCs w:val="22"/>
          <w:lang w:val="es-419"/>
        </w:rPr>
        <w:t>Los RAEE contiene sustancias peligrosas que requieren manejo diferenciado (Ministerio de salud, 2025).</w:t>
      </w:r>
      <w:r w:rsidRPr="00734D3B">
        <w:rPr>
          <w:rStyle w:val="eop"/>
          <w:rFonts w:ascii="Arial" w:hAnsi="Arial" w:cs="Arial"/>
          <w:sz w:val="22"/>
          <w:szCs w:val="22"/>
          <w:lang w:val="es-CR"/>
        </w:rPr>
        <w:t>  </w:t>
      </w:r>
    </w:p>
    <w:p w14:paraId="11B940EF" w14:textId="1CA584EF" w:rsidR="00BC622D" w:rsidRPr="00734D3B" w:rsidRDefault="00821F76" w:rsidP="00821F76">
      <w:pPr>
        <w:pStyle w:val="paragraph"/>
        <w:spacing w:before="0" w:beforeAutospacing="0" w:after="0" w:afterAutospacing="0" w:line="480" w:lineRule="auto"/>
        <w:ind w:left="1440"/>
        <w:jc w:val="both"/>
        <w:textAlignment w:val="baseline"/>
        <w:rPr>
          <w:rStyle w:val="normaltextrun"/>
          <w:rFonts w:ascii="Arial" w:hAnsi="Arial" w:cs="Arial"/>
          <w:b/>
          <w:bCs/>
          <w:sz w:val="22"/>
          <w:szCs w:val="22"/>
          <w:lang w:val="es-419"/>
        </w:rPr>
      </w:pPr>
      <w:r w:rsidRPr="00734D3B">
        <w:rPr>
          <w:rStyle w:val="normaltextrun"/>
          <w:rFonts w:ascii="Arial" w:hAnsi="Arial" w:cs="Arial"/>
          <w:b/>
          <w:bCs/>
          <w:sz w:val="22"/>
          <w:szCs w:val="22"/>
          <w:lang w:val="es-419"/>
        </w:rPr>
        <w:t xml:space="preserve">4.3.4 </w:t>
      </w:r>
      <w:r w:rsidR="00BC622D" w:rsidRPr="00734D3B">
        <w:rPr>
          <w:rStyle w:val="normaltextrun"/>
          <w:rFonts w:ascii="Arial" w:hAnsi="Arial" w:cs="Arial"/>
          <w:b/>
          <w:bCs/>
          <w:sz w:val="22"/>
          <w:szCs w:val="22"/>
          <w:lang w:val="es-419"/>
        </w:rPr>
        <w:t>Procedimientos Operativos Estandarizados (POE) </w:t>
      </w:r>
    </w:p>
    <w:p w14:paraId="0AFCDD7B" w14:textId="72B3202A" w:rsidR="00BC622D" w:rsidRPr="00734D3B" w:rsidRDefault="00BC622D" w:rsidP="00BC622D">
      <w:pPr>
        <w:pStyle w:val="paragraph"/>
        <w:spacing w:before="0" w:beforeAutospacing="0" w:after="0" w:afterAutospacing="0" w:line="480" w:lineRule="auto"/>
        <w:ind w:left="720"/>
        <w:jc w:val="both"/>
        <w:textAlignment w:val="baseline"/>
        <w:rPr>
          <w:rFonts w:ascii="Arial" w:hAnsi="Arial" w:cs="Arial"/>
          <w:sz w:val="22"/>
          <w:szCs w:val="22"/>
          <w:lang w:val="es-CR"/>
        </w:rPr>
      </w:pPr>
      <w:r w:rsidRPr="00734D3B">
        <w:rPr>
          <w:rStyle w:val="normaltextrun"/>
          <w:rFonts w:ascii="Arial" w:hAnsi="Arial" w:cs="Arial"/>
          <w:sz w:val="22"/>
          <w:szCs w:val="22"/>
          <w:lang w:val="es-419"/>
        </w:rPr>
        <w:t>PO</w:t>
      </w:r>
      <w:r w:rsidR="00BA6553" w:rsidRPr="00734D3B">
        <w:rPr>
          <w:rStyle w:val="normaltextrun"/>
          <w:rFonts w:ascii="Arial" w:hAnsi="Arial" w:cs="Arial"/>
          <w:sz w:val="22"/>
          <w:szCs w:val="22"/>
          <w:lang w:val="es-419"/>
        </w:rPr>
        <w:t>E</w:t>
      </w:r>
      <w:r w:rsidRPr="00734D3B">
        <w:rPr>
          <w:rStyle w:val="normaltextrun"/>
          <w:rFonts w:ascii="Arial" w:hAnsi="Arial" w:cs="Arial"/>
          <w:sz w:val="22"/>
          <w:szCs w:val="22"/>
          <w:lang w:val="es-419"/>
        </w:rPr>
        <w:t>-01: Clasificación y segregación de residuos eléctricos </w:t>
      </w:r>
      <w:r w:rsidRPr="00734D3B">
        <w:rPr>
          <w:rStyle w:val="eop"/>
          <w:rFonts w:ascii="Arial" w:hAnsi="Arial" w:cs="Arial"/>
          <w:sz w:val="22"/>
          <w:szCs w:val="22"/>
          <w:lang w:val="es-CR"/>
        </w:rPr>
        <w:t> </w:t>
      </w:r>
    </w:p>
    <w:p w14:paraId="21C96431" w14:textId="77777777" w:rsidR="00BC622D" w:rsidRPr="00734D3B" w:rsidRDefault="00BC622D" w:rsidP="00BC622D">
      <w:pPr>
        <w:pStyle w:val="paragraph"/>
        <w:spacing w:before="0" w:beforeAutospacing="0" w:after="0" w:afterAutospacing="0" w:line="480" w:lineRule="auto"/>
        <w:ind w:left="720"/>
        <w:jc w:val="both"/>
        <w:textAlignment w:val="baseline"/>
        <w:rPr>
          <w:rFonts w:ascii="Arial" w:hAnsi="Arial" w:cs="Arial"/>
          <w:sz w:val="22"/>
          <w:szCs w:val="22"/>
          <w:lang w:val="es-CR"/>
        </w:rPr>
      </w:pPr>
      <w:r w:rsidRPr="00734D3B">
        <w:rPr>
          <w:rStyle w:val="normaltextrun"/>
          <w:rFonts w:ascii="Arial" w:hAnsi="Arial" w:cs="Arial"/>
          <w:sz w:val="22"/>
          <w:szCs w:val="22"/>
          <w:lang w:val="es-419"/>
        </w:rPr>
        <w:t>Objetivo:</w:t>
      </w:r>
      <w:r w:rsidRPr="00734D3B">
        <w:rPr>
          <w:rStyle w:val="eop"/>
          <w:rFonts w:ascii="Arial" w:hAnsi="Arial" w:cs="Arial"/>
          <w:sz w:val="22"/>
          <w:szCs w:val="22"/>
          <w:lang w:val="es-CR"/>
        </w:rPr>
        <w:t> </w:t>
      </w:r>
      <w:r w:rsidRPr="00734D3B">
        <w:rPr>
          <w:rStyle w:val="normaltextrun"/>
          <w:rFonts w:ascii="Arial" w:hAnsi="Arial" w:cs="Arial"/>
          <w:sz w:val="22"/>
          <w:szCs w:val="22"/>
          <w:lang w:val="es-419"/>
        </w:rPr>
        <w:t>Garantizar la correcta identificación y separación en la fuente.</w:t>
      </w:r>
      <w:r w:rsidRPr="00734D3B">
        <w:rPr>
          <w:rStyle w:val="eop"/>
          <w:rFonts w:ascii="Arial" w:hAnsi="Arial" w:cs="Arial"/>
          <w:sz w:val="22"/>
          <w:szCs w:val="22"/>
          <w:lang w:val="es-CR"/>
        </w:rPr>
        <w:t> </w:t>
      </w:r>
    </w:p>
    <w:p w14:paraId="63BB37E7" w14:textId="77777777" w:rsidR="00CD78E7" w:rsidRPr="00734D3B" w:rsidRDefault="00BC622D" w:rsidP="005C33CB">
      <w:pPr>
        <w:pStyle w:val="Caption"/>
        <w:rPr>
          <w:rStyle w:val="eop"/>
          <w:rFonts w:cs="Arial"/>
          <w:color w:val="auto"/>
          <w:szCs w:val="22"/>
        </w:rPr>
      </w:pPr>
      <w:r w:rsidRPr="00734D3B">
        <w:rPr>
          <w:rStyle w:val="eop"/>
          <w:rFonts w:cs="Arial"/>
          <w:color w:val="auto"/>
          <w:szCs w:val="22"/>
        </w:rPr>
        <w:t> </w:t>
      </w:r>
    </w:p>
    <w:p w14:paraId="3BDAA4C5" w14:textId="77777777" w:rsidR="00F928D4" w:rsidRDefault="005C33CB" w:rsidP="00CD78E7">
      <w:pPr>
        <w:pStyle w:val="Caption"/>
        <w:rPr>
          <w:color w:val="auto"/>
        </w:rPr>
      </w:pPr>
      <w:bookmarkStart w:id="353" w:name="_Toc228342091"/>
      <w:r w:rsidRPr="00734D3B">
        <w:rPr>
          <w:color w:val="auto"/>
        </w:rPr>
        <w:lastRenderedPageBreak/>
        <w:t xml:space="preserve">Tabla </w:t>
      </w:r>
      <w:r w:rsidRPr="00734D3B">
        <w:rPr>
          <w:color w:val="auto"/>
        </w:rPr>
        <w:fldChar w:fldCharType="begin"/>
      </w:r>
      <w:r w:rsidRPr="00734D3B">
        <w:rPr>
          <w:color w:val="auto"/>
        </w:rPr>
        <w:instrText xml:space="preserve"> SEQ Tabla \* ARABIC </w:instrText>
      </w:r>
      <w:r w:rsidRPr="00734D3B">
        <w:rPr>
          <w:color w:val="auto"/>
        </w:rPr>
        <w:fldChar w:fldCharType="separate"/>
      </w:r>
      <w:r w:rsidR="00CD78E7" w:rsidRPr="00734D3B">
        <w:rPr>
          <w:noProof/>
          <w:color w:val="auto"/>
        </w:rPr>
        <w:t>11</w:t>
      </w:r>
      <w:r w:rsidRPr="00734D3B">
        <w:rPr>
          <w:color w:val="auto"/>
        </w:rPr>
        <w:fldChar w:fldCharType="end"/>
      </w:r>
    </w:p>
    <w:p w14:paraId="46158198" w14:textId="585E7C7D" w:rsidR="00BC622D" w:rsidRPr="00BE0964" w:rsidRDefault="00BC622D" w:rsidP="00CD78E7">
      <w:pPr>
        <w:pStyle w:val="Caption"/>
        <w:rPr>
          <w:rStyle w:val="eop"/>
          <w:color w:val="auto"/>
        </w:rPr>
      </w:pPr>
      <w:r w:rsidRPr="00734D3B">
        <w:rPr>
          <w:rStyle w:val="normaltextrun"/>
          <w:rFonts w:cs="Arial"/>
          <w:b w:val="0"/>
          <w:bCs/>
          <w:i/>
          <w:iCs/>
          <w:color w:val="auto"/>
          <w:szCs w:val="22"/>
          <w:lang w:val="es-419"/>
        </w:rPr>
        <w:t>Clasificación adoptada</w:t>
      </w:r>
      <w:bookmarkEnd w:id="353"/>
      <w:r w:rsidRPr="00734D3B">
        <w:rPr>
          <w:rStyle w:val="eop"/>
          <w:rFonts w:cs="Arial"/>
          <w:b w:val="0"/>
          <w:bCs/>
          <w:i/>
          <w:iCs/>
          <w:color w:val="auto"/>
          <w:szCs w:val="22"/>
        </w:rPr>
        <w:t> </w:t>
      </w:r>
    </w:p>
    <w:tbl>
      <w:tblPr>
        <w:tblStyle w:val="TableGrid"/>
        <w:tblW w:w="0" w:type="auto"/>
        <w:tblLook w:val="04A0" w:firstRow="1" w:lastRow="0" w:firstColumn="1" w:lastColumn="0" w:noHBand="0" w:noVBand="1"/>
      </w:tblPr>
      <w:tblGrid>
        <w:gridCol w:w="4676"/>
        <w:gridCol w:w="4676"/>
      </w:tblGrid>
      <w:tr w:rsidR="00734D3B" w:rsidRPr="00734D3B" w14:paraId="29140CDB" w14:textId="77777777" w:rsidTr="00DF6822">
        <w:tc>
          <w:tcPr>
            <w:tcW w:w="4676" w:type="dxa"/>
          </w:tcPr>
          <w:p w14:paraId="42197D3C" w14:textId="77777777" w:rsidR="00BC622D" w:rsidRPr="00734D3B" w:rsidRDefault="00BC622D" w:rsidP="00DF6822">
            <w:pPr>
              <w:pStyle w:val="paragraph"/>
              <w:spacing w:before="0" w:beforeAutospacing="0" w:after="0" w:afterAutospacing="0" w:line="480" w:lineRule="auto"/>
              <w:jc w:val="center"/>
              <w:textAlignment w:val="baseline"/>
              <w:rPr>
                <w:rStyle w:val="tabchar"/>
                <w:rFonts w:ascii="Arial" w:hAnsi="Arial" w:cs="Arial"/>
                <w:b/>
                <w:bCs/>
                <w:sz w:val="22"/>
                <w:szCs w:val="22"/>
              </w:rPr>
            </w:pPr>
            <w:r w:rsidRPr="00734D3B">
              <w:rPr>
                <w:rStyle w:val="normaltextrun"/>
                <w:rFonts w:ascii="Arial" w:hAnsi="Arial" w:cs="Arial"/>
                <w:b/>
                <w:bCs/>
                <w:sz w:val="22"/>
                <w:szCs w:val="22"/>
                <w:lang w:val="es-CR"/>
              </w:rPr>
              <w:t>Tipo</w:t>
            </w:r>
          </w:p>
        </w:tc>
        <w:tc>
          <w:tcPr>
            <w:tcW w:w="4676" w:type="dxa"/>
          </w:tcPr>
          <w:p w14:paraId="66E6388B" w14:textId="77777777" w:rsidR="00BC622D" w:rsidRPr="00734D3B" w:rsidRDefault="00BC622D" w:rsidP="00DF6822">
            <w:pPr>
              <w:pStyle w:val="paragraph"/>
              <w:spacing w:before="0" w:beforeAutospacing="0" w:after="0" w:afterAutospacing="0" w:line="480" w:lineRule="auto"/>
              <w:jc w:val="center"/>
              <w:textAlignment w:val="baseline"/>
              <w:rPr>
                <w:rFonts w:ascii="Arial" w:hAnsi="Arial" w:cs="Arial"/>
                <w:b/>
                <w:bCs/>
                <w:sz w:val="22"/>
                <w:szCs w:val="22"/>
              </w:rPr>
            </w:pPr>
            <w:r w:rsidRPr="00734D3B">
              <w:rPr>
                <w:rStyle w:val="normaltextrun"/>
                <w:rFonts w:ascii="Arial" w:hAnsi="Arial" w:cs="Arial"/>
                <w:b/>
                <w:bCs/>
                <w:sz w:val="22"/>
                <w:szCs w:val="22"/>
                <w:lang w:val="es-CR"/>
              </w:rPr>
              <w:t>Ejemplos</w:t>
            </w:r>
          </w:p>
        </w:tc>
      </w:tr>
      <w:tr w:rsidR="00734D3B" w:rsidRPr="00734D3B" w14:paraId="2855CCEC" w14:textId="77777777" w:rsidTr="00DF6822">
        <w:tc>
          <w:tcPr>
            <w:tcW w:w="4676" w:type="dxa"/>
          </w:tcPr>
          <w:p w14:paraId="013DF7AB"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Equipos TI</w:t>
            </w:r>
          </w:p>
        </w:tc>
        <w:tc>
          <w:tcPr>
            <w:tcW w:w="4676" w:type="dxa"/>
          </w:tcPr>
          <w:p w14:paraId="415300E3"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servidores, </w:t>
            </w:r>
            <w:proofErr w:type="spellStart"/>
            <w:r w:rsidRPr="00734D3B">
              <w:rPr>
                <w:rStyle w:val="normaltextrun"/>
                <w:rFonts w:ascii="Arial" w:hAnsi="Arial" w:cs="Arial"/>
                <w:sz w:val="22"/>
                <w:szCs w:val="22"/>
                <w:lang w:val="es-CR"/>
              </w:rPr>
              <w:t>routers</w:t>
            </w:r>
            <w:proofErr w:type="spellEnd"/>
            <w:r w:rsidRPr="00734D3B">
              <w:rPr>
                <w:rStyle w:val="normaltextrun"/>
                <w:rFonts w:ascii="Arial" w:hAnsi="Arial" w:cs="Arial"/>
                <w:sz w:val="22"/>
                <w:szCs w:val="22"/>
                <w:lang w:val="es-CR"/>
              </w:rPr>
              <w:t>, switches</w:t>
            </w:r>
            <w:r w:rsidRPr="00734D3B">
              <w:rPr>
                <w:rStyle w:val="eop"/>
                <w:rFonts w:ascii="Arial" w:hAnsi="Arial" w:cs="Arial"/>
                <w:sz w:val="22"/>
                <w:szCs w:val="22"/>
              </w:rPr>
              <w:t> </w:t>
            </w:r>
          </w:p>
        </w:tc>
      </w:tr>
      <w:tr w:rsidR="00734D3B" w:rsidRPr="00734D3B" w14:paraId="02BE1D82" w14:textId="77777777" w:rsidTr="00DF6822">
        <w:tc>
          <w:tcPr>
            <w:tcW w:w="4676" w:type="dxa"/>
          </w:tcPr>
          <w:p w14:paraId="7EA35179"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Sistemas eléctricos</w:t>
            </w:r>
          </w:p>
        </w:tc>
        <w:tc>
          <w:tcPr>
            <w:tcW w:w="4676" w:type="dxa"/>
          </w:tcPr>
          <w:p w14:paraId="5A7983B2"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UPS, tableros, transformadores</w:t>
            </w:r>
            <w:r w:rsidRPr="00734D3B">
              <w:rPr>
                <w:rStyle w:val="eop"/>
                <w:rFonts w:ascii="Arial" w:hAnsi="Arial" w:cs="Arial"/>
                <w:sz w:val="22"/>
                <w:szCs w:val="22"/>
              </w:rPr>
              <w:t> </w:t>
            </w:r>
          </w:p>
        </w:tc>
      </w:tr>
      <w:tr w:rsidR="00734D3B" w:rsidRPr="00734D3B" w14:paraId="4843AE1F" w14:textId="77777777" w:rsidTr="00DF6822">
        <w:tc>
          <w:tcPr>
            <w:tcW w:w="4676" w:type="dxa"/>
          </w:tcPr>
          <w:p w14:paraId="527EAF89"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Cableado</w:t>
            </w:r>
          </w:p>
        </w:tc>
        <w:tc>
          <w:tcPr>
            <w:tcW w:w="4676" w:type="dxa"/>
          </w:tcPr>
          <w:p w14:paraId="6120F429"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cobre, fibra óptica</w:t>
            </w:r>
            <w:r w:rsidRPr="00734D3B">
              <w:rPr>
                <w:rStyle w:val="eop"/>
                <w:rFonts w:ascii="Arial" w:hAnsi="Arial" w:cs="Arial"/>
                <w:sz w:val="22"/>
                <w:szCs w:val="22"/>
              </w:rPr>
              <w:t> </w:t>
            </w:r>
          </w:p>
        </w:tc>
      </w:tr>
      <w:tr w:rsidR="00734D3B" w:rsidRPr="00734D3B" w14:paraId="7CE5E817" w14:textId="77777777" w:rsidTr="00DF6822">
        <w:tc>
          <w:tcPr>
            <w:tcW w:w="4676" w:type="dxa"/>
          </w:tcPr>
          <w:p w14:paraId="677BC44F"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Baterías</w:t>
            </w:r>
          </w:p>
        </w:tc>
        <w:tc>
          <w:tcPr>
            <w:tcW w:w="4676" w:type="dxa"/>
          </w:tcPr>
          <w:p w14:paraId="1226FDDE"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plomo-ácido, litio</w:t>
            </w:r>
            <w:r w:rsidRPr="00734D3B">
              <w:rPr>
                <w:rStyle w:val="eop"/>
                <w:rFonts w:ascii="Arial" w:hAnsi="Arial" w:cs="Arial"/>
                <w:sz w:val="22"/>
                <w:szCs w:val="22"/>
              </w:rPr>
              <w:t> </w:t>
            </w:r>
          </w:p>
        </w:tc>
      </w:tr>
      <w:tr w:rsidR="00734D3B" w:rsidRPr="00734D3B" w14:paraId="1EA7A3F5" w14:textId="77777777" w:rsidTr="00DF6822">
        <w:tc>
          <w:tcPr>
            <w:tcW w:w="4676" w:type="dxa"/>
          </w:tcPr>
          <w:p w14:paraId="1B05AE46"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Refrigeración</w:t>
            </w:r>
          </w:p>
        </w:tc>
        <w:tc>
          <w:tcPr>
            <w:tcW w:w="4676" w:type="dxa"/>
          </w:tcPr>
          <w:p w14:paraId="43FB66E8"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aire acondicionado de precisión</w:t>
            </w:r>
            <w:r w:rsidRPr="00734D3B">
              <w:rPr>
                <w:rStyle w:val="eop"/>
                <w:rFonts w:ascii="Arial" w:hAnsi="Arial" w:cs="Arial"/>
                <w:sz w:val="22"/>
                <w:szCs w:val="22"/>
              </w:rPr>
              <w:t> </w:t>
            </w:r>
          </w:p>
        </w:tc>
      </w:tr>
    </w:tbl>
    <w:p w14:paraId="2049A108" w14:textId="7E42C991" w:rsidR="00BC622D" w:rsidRPr="00734D3B" w:rsidRDefault="00DD1EDE" w:rsidP="00BC622D">
      <w:pPr>
        <w:pStyle w:val="paragraph"/>
        <w:spacing w:before="0" w:beforeAutospacing="0" w:after="0" w:afterAutospacing="0" w:line="480" w:lineRule="auto"/>
        <w:ind w:firstLine="705"/>
        <w:jc w:val="both"/>
        <w:textAlignment w:val="baseline"/>
        <w:rPr>
          <w:rStyle w:val="normaltextrun"/>
          <w:rFonts w:ascii="Arial" w:hAnsi="Arial" w:cs="Arial"/>
          <w:b/>
          <w:bCs/>
          <w:sz w:val="20"/>
          <w:szCs w:val="20"/>
          <w:lang w:val="es-CR"/>
        </w:rPr>
      </w:pPr>
      <w:r w:rsidRPr="00734D3B">
        <w:rPr>
          <w:rFonts w:ascii="Arial" w:hAnsi="Arial" w:cs="Arial"/>
          <w:i/>
          <w:iCs/>
          <w:sz w:val="22"/>
          <w:szCs w:val="20"/>
          <w:lang w:val="es-CR"/>
        </w:rPr>
        <w:t>Nota</w:t>
      </w:r>
      <w:r w:rsidRPr="00734D3B">
        <w:rPr>
          <w:rFonts w:ascii="Arial" w:hAnsi="Arial" w:cs="Arial"/>
          <w:sz w:val="22"/>
          <w:szCs w:val="20"/>
          <w:lang w:val="es-CR"/>
        </w:rPr>
        <w:t>. La Tabla 1</w:t>
      </w:r>
      <w:r w:rsidR="0020059C" w:rsidRPr="00734D3B">
        <w:rPr>
          <w:rFonts w:ascii="Arial" w:hAnsi="Arial" w:cs="Arial"/>
          <w:sz w:val="22"/>
          <w:szCs w:val="20"/>
          <w:lang w:val="es-CR"/>
        </w:rPr>
        <w:t>1</w:t>
      </w:r>
      <w:r w:rsidRPr="00734D3B">
        <w:rPr>
          <w:rFonts w:ascii="Arial" w:hAnsi="Arial" w:cs="Arial"/>
          <w:sz w:val="22"/>
          <w:szCs w:val="20"/>
          <w:lang w:val="es-CR"/>
        </w:rPr>
        <w:t xml:space="preserve"> sintetiza la </w:t>
      </w:r>
      <w:r w:rsidR="0020059C" w:rsidRPr="00734D3B">
        <w:rPr>
          <w:rFonts w:ascii="Arial" w:hAnsi="Arial" w:cs="Arial"/>
          <w:sz w:val="22"/>
          <w:szCs w:val="20"/>
          <w:lang w:val="es-CR"/>
        </w:rPr>
        <w:t>clasificación adoptada</w:t>
      </w:r>
    </w:p>
    <w:p w14:paraId="43B37E22" w14:textId="77777777" w:rsidR="00BC622D" w:rsidRPr="00734D3B" w:rsidRDefault="00BC622D" w:rsidP="00BC622D">
      <w:pPr>
        <w:pStyle w:val="paragraph"/>
        <w:spacing w:before="0" w:beforeAutospacing="0" w:after="0" w:afterAutospacing="0" w:line="480" w:lineRule="auto"/>
        <w:ind w:firstLine="705"/>
        <w:jc w:val="both"/>
        <w:textAlignment w:val="baseline"/>
        <w:rPr>
          <w:rFonts w:ascii="Arial" w:hAnsi="Arial" w:cs="Arial"/>
          <w:b/>
          <w:bCs/>
          <w:sz w:val="22"/>
          <w:szCs w:val="22"/>
          <w:lang w:val="es-CR"/>
        </w:rPr>
      </w:pPr>
      <w:r w:rsidRPr="00734D3B">
        <w:rPr>
          <w:rStyle w:val="normaltextrun"/>
          <w:rFonts w:ascii="Arial" w:hAnsi="Arial" w:cs="Arial"/>
          <w:b/>
          <w:bCs/>
          <w:sz w:val="22"/>
          <w:szCs w:val="22"/>
          <w:lang w:val="es-CR"/>
        </w:rPr>
        <w:t>Procedimiento</w:t>
      </w:r>
      <w:r w:rsidRPr="00734D3B">
        <w:rPr>
          <w:rStyle w:val="eop"/>
          <w:rFonts w:ascii="Arial" w:hAnsi="Arial" w:cs="Arial"/>
          <w:b/>
          <w:bCs/>
          <w:sz w:val="22"/>
          <w:szCs w:val="22"/>
          <w:lang w:val="es-CR"/>
        </w:rPr>
        <w:t> </w:t>
      </w:r>
    </w:p>
    <w:p w14:paraId="57FAAA1A" w14:textId="77777777" w:rsidR="00BC622D" w:rsidRPr="00734D3B" w:rsidRDefault="00BC622D" w:rsidP="00BC622D">
      <w:pPr>
        <w:pStyle w:val="paragraph"/>
        <w:spacing w:before="0" w:beforeAutospacing="0" w:after="0" w:afterAutospacing="0" w:line="480" w:lineRule="auto"/>
        <w:ind w:firstLine="705"/>
        <w:jc w:val="both"/>
        <w:textAlignment w:val="baseline"/>
        <w:rPr>
          <w:rFonts w:ascii="Arial" w:hAnsi="Arial" w:cs="Arial"/>
          <w:sz w:val="22"/>
          <w:szCs w:val="22"/>
          <w:lang w:val="es-CR"/>
        </w:rPr>
      </w:pPr>
      <w:r w:rsidRPr="00734D3B">
        <w:rPr>
          <w:rStyle w:val="normaltextrun"/>
          <w:rFonts w:ascii="Arial" w:hAnsi="Arial" w:cs="Arial"/>
          <w:sz w:val="22"/>
          <w:szCs w:val="22"/>
          <w:lang w:val="es-CR"/>
        </w:rPr>
        <w:t>Identificar residuo en el área de obra</w:t>
      </w:r>
      <w:r w:rsidRPr="00734D3B">
        <w:rPr>
          <w:rStyle w:val="eop"/>
          <w:rFonts w:ascii="Arial" w:hAnsi="Arial" w:cs="Arial"/>
          <w:sz w:val="22"/>
          <w:szCs w:val="22"/>
          <w:lang w:val="es-CR"/>
        </w:rPr>
        <w:t> </w:t>
      </w:r>
    </w:p>
    <w:p w14:paraId="465C99C9" w14:textId="77777777" w:rsidR="00BC622D" w:rsidRPr="00734D3B" w:rsidRDefault="00BC622D" w:rsidP="00BC622D">
      <w:pPr>
        <w:pStyle w:val="paragraph"/>
        <w:spacing w:before="0" w:beforeAutospacing="0" w:after="0" w:afterAutospacing="0" w:line="480" w:lineRule="auto"/>
        <w:ind w:firstLine="705"/>
        <w:jc w:val="both"/>
        <w:textAlignment w:val="baseline"/>
        <w:rPr>
          <w:rFonts w:ascii="Arial" w:hAnsi="Arial" w:cs="Arial"/>
          <w:sz w:val="22"/>
          <w:szCs w:val="22"/>
          <w:lang w:val="es-CR"/>
        </w:rPr>
      </w:pPr>
      <w:r w:rsidRPr="00734D3B">
        <w:rPr>
          <w:rStyle w:val="normaltextrun"/>
          <w:rFonts w:ascii="Arial" w:hAnsi="Arial" w:cs="Arial"/>
          <w:sz w:val="22"/>
          <w:szCs w:val="22"/>
          <w:lang w:val="es-CR"/>
        </w:rPr>
        <w:t>Etiquetar según categoría </w:t>
      </w:r>
      <w:r w:rsidRPr="00734D3B">
        <w:rPr>
          <w:rStyle w:val="eop"/>
          <w:rFonts w:ascii="Arial" w:hAnsi="Arial" w:cs="Arial"/>
          <w:sz w:val="22"/>
          <w:szCs w:val="22"/>
          <w:lang w:val="es-CR"/>
        </w:rPr>
        <w:t> </w:t>
      </w:r>
    </w:p>
    <w:p w14:paraId="698494E6" w14:textId="77777777" w:rsidR="00BC622D" w:rsidRPr="00734D3B" w:rsidRDefault="00BC622D" w:rsidP="00BC622D">
      <w:pPr>
        <w:pStyle w:val="paragraph"/>
        <w:spacing w:before="0" w:beforeAutospacing="0" w:after="0" w:afterAutospacing="0" w:line="480" w:lineRule="auto"/>
        <w:ind w:firstLine="705"/>
        <w:jc w:val="both"/>
        <w:textAlignment w:val="baseline"/>
        <w:rPr>
          <w:rFonts w:ascii="Arial" w:hAnsi="Arial" w:cs="Arial"/>
          <w:sz w:val="22"/>
          <w:szCs w:val="22"/>
          <w:lang w:val="es-CR"/>
        </w:rPr>
      </w:pPr>
      <w:r w:rsidRPr="00734D3B">
        <w:rPr>
          <w:rStyle w:val="normaltextrun"/>
          <w:rFonts w:ascii="Arial" w:hAnsi="Arial" w:cs="Arial"/>
          <w:sz w:val="22"/>
          <w:szCs w:val="22"/>
          <w:lang w:val="es-CR"/>
        </w:rPr>
        <w:t>Depositar en contenedor específico.</w:t>
      </w:r>
      <w:r w:rsidRPr="00734D3B">
        <w:rPr>
          <w:rStyle w:val="eop"/>
          <w:rFonts w:ascii="Arial" w:hAnsi="Arial" w:cs="Arial"/>
          <w:sz w:val="22"/>
          <w:szCs w:val="22"/>
          <w:lang w:val="es-CR"/>
        </w:rPr>
        <w:t> </w:t>
      </w:r>
    </w:p>
    <w:p w14:paraId="1E513671" w14:textId="77777777" w:rsidR="00BC622D" w:rsidRPr="00734D3B" w:rsidRDefault="00BC622D" w:rsidP="00BC622D">
      <w:pPr>
        <w:pStyle w:val="paragraph"/>
        <w:spacing w:before="0" w:beforeAutospacing="0" w:after="0" w:afterAutospacing="0" w:line="480" w:lineRule="auto"/>
        <w:ind w:firstLine="705"/>
        <w:jc w:val="both"/>
        <w:textAlignment w:val="baseline"/>
        <w:rPr>
          <w:rFonts w:ascii="Arial" w:hAnsi="Arial" w:cs="Arial"/>
          <w:sz w:val="22"/>
          <w:szCs w:val="22"/>
          <w:lang w:val="es-CR"/>
        </w:rPr>
      </w:pPr>
      <w:r w:rsidRPr="00734D3B">
        <w:rPr>
          <w:rStyle w:val="normaltextrun"/>
          <w:rFonts w:ascii="Arial" w:hAnsi="Arial" w:cs="Arial"/>
          <w:sz w:val="22"/>
          <w:szCs w:val="22"/>
          <w:lang w:val="es-CR"/>
        </w:rPr>
        <w:t>Registrar en bitácora ambiental.</w:t>
      </w:r>
      <w:r w:rsidRPr="00734D3B">
        <w:rPr>
          <w:rStyle w:val="eop"/>
          <w:rFonts w:ascii="Arial" w:hAnsi="Arial" w:cs="Arial"/>
          <w:sz w:val="22"/>
          <w:szCs w:val="22"/>
          <w:lang w:val="es-CR"/>
        </w:rPr>
        <w:t> </w:t>
      </w:r>
    </w:p>
    <w:p w14:paraId="2CA23C55"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normaltextrun"/>
          <w:rFonts w:ascii="Arial" w:hAnsi="Arial" w:cs="Arial"/>
          <w:sz w:val="22"/>
          <w:szCs w:val="22"/>
          <w:lang w:val="es-CR"/>
        </w:rPr>
        <w:t>La separación es fundamental para facilitar recuperación y reciclaje posterior (Ministerio de Salud, 2025).</w:t>
      </w:r>
      <w:r w:rsidRPr="00734D3B">
        <w:rPr>
          <w:rStyle w:val="eop"/>
          <w:rFonts w:ascii="Arial" w:hAnsi="Arial" w:cs="Arial"/>
          <w:sz w:val="22"/>
          <w:szCs w:val="22"/>
          <w:lang w:val="es-CR"/>
        </w:rPr>
        <w:t>  </w:t>
      </w:r>
    </w:p>
    <w:p w14:paraId="66F153F4"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La correcta gestión de residuos en proyectos eléctricos inicia con la identificación oportuna del residuo en el área de trabajo. Este proceso implica reconocer el tipo de material generado durante las actividades constructivas o de instalación, tales como sobrantes de cableado, empaques, tuberías, luminarias, componentes electrónicos, metales, cartón, plástico o residuos peligrosos.</w:t>
      </w:r>
    </w:p>
    <w:p w14:paraId="532EB7FE"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 xml:space="preserve">Una vez identificado el residuo, debe proceder a su clasificación según la categoría correspondiente de acuerdo con la normativa ambiental aplicable y los lineamientos internos de la empresa. Esta clasificación puede contemplar categorías como: </w:t>
      </w:r>
    </w:p>
    <w:p w14:paraId="42556AE2" w14:textId="77777777" w:rsidR="00BC622D" w:rsidRPr="00734D3B" w:rsidRDefault="00BC622D" w:rsidP="00BC622D">
      <w:pPr>
        <w:pStyle w:val="paragraph"/>
        <w:numPr>
          <w:ilvl w:val="0"/>
          <w:numId w:val="45"/>
        </w:numPr>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lastRenderedPageBreak/>
        <w:t>Residuos ordinarios</w:t>
      </w:r>
    </w:p>
    <w:p w14:paraId="61F2313F" w14:textId="77777777" w:rsidR="00BC622D" w:rsidRPr="00734D3B" w:rsidRDefault="00BC622D" w:rsidP="00BC622D">
      <w:pPr>
        <w:pStyle w:val="paragraph"/>
        <w:numPr>
          <w:ilvl w:val="0"/>
          <w:numId w:val="45"/>
        </w:numPr>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t>Residuos reciclables (papel, cartón, plástico, metales)</w:t>
      </w:r>
    </w:p>
    <w:p w14:paraId="2358333A" w14:textId="77777777" w:rsidR="00BC622D" w:rsidRPr="00734D3B" w:rsidRDefault="00BC622D" w:rsidP="00BC622D">
      <w:pPr>
        <w:pStyle w:val="paragraph"/>
        <w:numPr>
          <w:ilvl w:val="0"/>
          <w:numId w:val="45"/>
        </w:numPr>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t>Residuos peligros</w:t>
      </w:r>
    </w:p>
    <w:p w14:paraId="09B1FCC8" w14:textId="77777777" w:rsidR="00BC622D" w:rsidRPr="00734D3B" w:rsidRDefault="00BC622D" w:rsidP="00BC622D">
      <w:pPr>
        <w:pStyle w:val="paragraph"/>
        <w:numPr>
          <w:ilvl w:val="0"/>
          <w:numId w:val="45"/>
        </w:numPr>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t>Residuos de manejo especial</w:t>
      </w:r>
    </w:p>
    <w:p w14:paraId="0C3B4DCA" w14:textId="77777777" w:rsidR="00BC622D" w:rsidRPr="00734D3B" w:rsidRDefault="00BC622D" w:rsidP="00BC622D">
      <w:pPr>
        <w:pStyle w:val="paragraph"/>
        <w:numPr>
          <w:ilvl w:val="0"/>
          <w:numId w:val="45"/>
        </w:numPr>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t>RAEE (Residuos de Aparatos Eléctricos y Electrónicos)</w:t>
      </w:r>
    </w:p>
    <w:p w14:paraId="5A23FCA6"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Posteriormente, el residuo debe depositarse en el contenedor específicos y debidamente identificado, evitando la mezcla de materiales que puedan hacer más difícil su tratamiento posterior. La rotulación clara y visible es fundamental para reducir errores en la disposición.</w:t>
      </w:r>
    </w:p>
    <w:p w14:paraId="31A043F9"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Además, es indispensable registrar la generación y disposición del residuo en la bitácora ambiental del proyecto, indicando tipo de residuo, cantidad estimada, fecha y responsable. Este registro permite llevar control, generar indicadores de desempeño ambiental y facilitar auditorias o inspecciones.</w:t>
      </w:r>
    </w:p>
    <w:p w14:paraId="6C5C6EDC"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La separación en la fuente es un principio clave en la gestión integral de residuos, ya que facilita los procesos de recuperación, reutilización y reciclaje posterior, además de reducir riesgos sanitarios y ambientales, tal como lo señalan las directrices del Ministerio de Salud. Una adecuada segregación disminuye la contaminación cruzada y optimiza la valoración de materiales.</w:t>
      </w:r>
    </w:p>
    <w:p w14:paraId="3115F219" w14:textId="77777777" w:rsidR="00BC622D" w:rsidRPr="00734D3B" w:rsidRDefault="00BC622D" w:rsidP="00BC622D">
      <w:pPr>
        <w:pStyle w:val="paragraph"/>
        <w:spacing w:before="0" w:beforeAutospacing="0" w:after="0" w:afterAutospacing="0" w:line="480" w:lineRule="auto"/>
        <w:ind w:firstLine="705"/>
        <w:textAlignment w:val="baseline"/>
        <w:rPr>
          <w:rFonts w:ascii="Arial" w:hAnsi="Arial" w:cs="Arial"/>
          <w:b/>
          <w:bCs/>
          <w:sz w:val="22"/>
          <w:szCs w:val="22"/>
          <w:lang w:val="es-CR"/>
        </w:rPr>
      </w:pPr>
      <w:r w:rsidRPr="00734D3B">
        <w:rPr>
          <w:rStyle w:val="normaltextrun"/>
          <w:rFonts w:ascii="Arial" w:hAnsi="Arial" w:cs="Arial"/>
          <w:b/>
          <w:bCs/>
          <w:sz w:val="22"/>
          <w:szCs w:val="22"/>
          <w:lang w:val="es-CR"/>
        </w:rPr>
        <w:t>POE-02: Almacenamiento temporal</w:t>
      </w:r>
      <w:r w:rsidRPr="00734D3B">
        <w:rPr>
          <w:rStyle w:val="eop"/>
          <w:rFonts w:ascii="Arial" w:hAnsi="Arial" w:cs="Arial"/>
          <w:b/>
          <w:bCs/>
          <w:sz w:val="22"/>
          <w:szCs w:val="22"/>
          <w:lang w:val="es-CR"/>
        </w:rPr>
        <w:t> </w:t>
      </w:r>
    </w:p>
    <w:p w14:paraId="31F56C72"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normaltextrun"/>
          <w:rFonts w:ascii="Arial" w:hAnsi="Arial" w:cs="Arial"/>
          <w:sz w:val="22"/>
          <w:szCs w:val="22"/>
          <w:lang w:val="es-CR"/>
        </w:rPr>
        <w:t>Objetivo:</w:t>
      </w:r>
      <w:r w:rsidRPr="00734D3B">
        <w:rPr>
          <w:rStyle w:val="eop"/>
          <w:rFonts w:ascii="Arial" w:hAnsi="Arial" w:cs="Arial"/>
          <w:sz w:val="22"/>
          <w:szCs w:val="22"/>
          <w:lang w:val="es-CR"/>
        </w:rPr>
        <w:t> </w:t>
      </w:r>
      <w:r w:rsidRPr="00734D3B">
        <w:rPr>
          <w:rStyle w:val="normaltextrun"/>
          <w:rFonts w:ascii="Arial" w:hAnsi="Arial" w:cs="Arial"/>
          <w:sz w:val="22"/>
          <w:szCs w:val="22"/>
          <w:lang w:val="es-CR"/>
        </w:rPr>
        <w:t>Prevenir contaminación del suelo y riesgos ocupacionales </w:t>
      </w:r>
      <w:r w:rsidRPr="00734D3B">
        <w:rPr>
          <w:rStyle w:val="eop"/>
          <w:rFonts w:ascii="Arial" w:hAnsi="Arial" w:cs="Arial"/>
          <w:sz w:val="22"/>
          <w:szCs w:val="22"/>
          <w:lang w:val="es-CR"/>
        </w:rPr>
        <w:t> </w:t>
      </w:r>
    </w:p>
    <w:p w14:paraId="2F4E1035" w14:textId="77777777" w:rsidR="00BC622D" w:rsidRPr="00734D3B" w:rsidRDefault="00BC622D" w:rsidP="00BC622D">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El almacenamiento temporal constituye una etapa crítica dentro del manejo integral de residuos, especialmente en proyectos eléctricos donde pueden generarse materiales con componentes potencialmente peligrosos.</w:t>
      </w:r>
    </w:p>
    <w:p w14:paraId="2D6E4DDE" w14:textId="77777777" w:rsidR="009D3CD3" w:rsidRPr="00734D3B" w:rsidRDefault="009D3CD3" w:rsidP="00BC622D">
      <w:pPr>
        <w:pStyle w:val="paragraph"/>
        <w:spacing w:before="0" w:beforeAutospacing="0" w:after="0" w:afterAutospacing="0" w:line="480" w:lineRule="auto"/>
        <w:ind w:firstLine="705"/>
        <w:textAlignment w:val="baseline"/>
        <w:rPr>
          <w:rStyle w:val="normaltextrun"/>
          <w:rFonts w:ascii="Arial" w:hAnsi="Arial" w:cs="Arial"/>
          <w:sz w:val="22"/>
          <w:szCs w:val="22"/>
          <w:lang w:val="es-CR"/>
        </w:rPr>
      </w:pPr>
    </w:p>
    <w:p w14:paraId="5DFC2848" w14:textId="77777777" w:rsidR="009D3CD3" w:rsidRPr="00734D3B" w:rsidRDefault="009D3CD3" w:rsidP="00BC622D">
      <w:pPr>
        <w:pStyle w:val="paragraph"/>
        <w:spacing w:before="0" w:beforeAutospacing="0" w:after="0" w:afterAutospacing="0" w:line="480" w:lineRule="auto"/>
        <w:ind w:firstLine="705"/>
        <w:textAlignment w:val="baseline"/>
        <w:rPr>
          <w:rStyle w:val="normaltextrun"/>
          <w:rFonts w:ascii="Arial" w:hAnsi="Arial" w:cs="Arial"/>
          <w:sz w:val="22"/>
          <w:szCs w:val="22"/>
          <w:lang w:val="es-CR"/>
        </w:rPr>
      </w:pPr>
    </w:p>
    <w:p w14:paraId="60D07CF8" w14:textId="7BAE04D4" w:rsidR="00BC622D" w:rsidRPr="00734D3B" w:rsidRDefault="00BC622D" w:rsidP="00BC622D">
      <w:pPr>
        <w:pStyle w:val="paragraph"/>
        <w:spacing w:before="0" w:beforeAutospacing="0" w:after="0" w:afterAutospacing="0" w:line="480" w:lineRule="auto"/>
        <w:ind w:firstLine="705"/>
        <w:textAlignment w:val="baseline"/>
        <w:rPr>
          <w:rFonts w:ascii="Arial" w:hAnsi="Arial" w:cs="Arial"/>
          <w:b/>
          <w:bCs/>
          <w:sz w:val="22"/>
          <w:szCs w:val="22"/>
        </w:rPr>
      </w:pPr>
      <w:r w:rsidRPr="00734D3B">
        <w:rPr>
          <w:rStyle w:val="normaltextrun"/>
          <w:rFonts w:ascii="Arial" w:hAnsi="Arial" w:cs="Arial"/>
          <w:b/>
          <w:bCs/>
          <w:sz w:val="22"/>
          <w:szCs w:val="22"/>
          <w:lang w:val="es-CR"/>
        </w:rPr>
        <w:lastRenderedPageBreak/>
        <w:t>Requisitos</w:t>
      </w:r>
      <w:r w:rsidRPr="00734D3B">
        <w:rPr>
          <w:rStyle w:val="eop"/>
          <w:rFonts w:ascii="Arial" w:hAnsi="Arial" w:cs="Arial"/>
          <w:b/>
          <w:bCs/>
          <w:sz w:val="22"/>
          <w:szCs w:val="22"/>
        </w:rPr>
        <w:t> </w:t>
      </w:r>
    </w:p>
    <w:p w14:paraId="39572D61" w14:textId="77777777" w:rsidR="00BC622D" w:rsidRPr="00734D3B" w:rsidRDefault="00BC622D" w:rsidP="00BC622D">
      <w:pPr>
        <w:pStyle w:val="paragraph"/>
        <w:numPr>
          <w:ilvl w:val="0"/>
          <w:numId w:val="42"/>
        </w:numPr>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Área techada e impermeabilizada</w:t>
      </w:r>
      <w:r w:rsidRPr="00734D3B">
        <w:rPr>
          <w:rStyle w:val="eop"/>
          <w:rFonts w:ascii="Arial" w:hAnsi="Arial" w:cs="Arial"/>
          <w:sz w:val="22"/>
          <w:szCs w:val="22"/>
          <w:lang w:val="es-CR"/>
        </w:rPr>
        <w:t xml:space="preserve">: el espacio destinado al almacenamiento debe contar con cobertura que lo proteja de la lluvia y exposición directa al sol, </w:t>
      </w:r>
      <w:proofErr w:type="spellStart"/>
      <w:r w:rsidRPr="00734D3B">
        <w:rPr>
          <w:rStyle w:val="eop"/>
          <w:rFonts w:ascii="Arial" w:hAnsi="Arial" w:cs="Arial"/>
          <w:sz w:val="22"/>
          <w:szCs w:val="22"/>
          <w:lang w:val="es-CR"/>
        </w:rPr>
        <w:t>asi</w:t>
      </w:r>
      <w:proofErr w:type="spellEnd"/>
      <w:r w:rsidRPr="00734D3B">
        <w:rPr>
          <w:rStyle w:val="eop"/>
          <w:rFonts w:ascii="Arial" w:hAnsi="Arial" w:cs="Arial"/>
          <w:sz w:val="22"/>
          <w:szCs w:val="22"/>
          <w:lang w:val="es-CR"/>
        </w:rPr>
        <w:t xml:space="preserve"> como un piso impermeabilizado para evitar filtraciones al suelo y contaminación de aguas subterráneas. </w:t>
      </w:r>
    </w:p>
    <w:p w14:paraId="6074C2AB" w14:textId="77777777" w:rsidR="00BC622D" w:rsidRPr="00734D3B" w:rsidRDefault="00BC622D" w:rsidP="00BC622D">
      <w:pPr>
        <w:pStyle w:val="paragraph"/>
        <w:numPr>
          <w:ilvl w:val="0"/>
          <w:numId w:val="42"/>
        </w:numPr>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Señalización de peligro</w:t>
      </w:r>
      <w:r w:rsidRPr="00734D3B">
        <w:rPr>
          <w:rStyle w:val="eop"/>
          <w:rFonts w:ascii="Arial" w:hAnsi="Arial" w:cs="Arial"/>
          <w:sz w:val="22"/>
          <w:szCs w:val="22"/>
          <w:lang w:val="es-CR"/>
        </w:rPr>
        <w:t xml:space="preserve">: debe incluir visible que indique el tipo de residuos almacenado, advertencias de Riesgo (inflamable, toxico, eléctrico, entre otros) y normas de seguridad. Esto contribuye a la prevención de accidentes laborales. </w:t>
      </w:r>
    </w:p>
    <w:p w14:paraId="7A5D118E" w14:textId="77777777" w:rsidR="00BC622D" w:rsidRPr="00734D3B" w:rsidRDefault="00BC622D" w:rsidP="00BC622D">
      <w:pPr>
        <w:pStyle w:val="paragraph"/>
        <w:numPr>
          <w:ilvl w:val="0"/>
          <w:numId w:val="42"/>
        </w:numPr>
        <w:spacing w:before="0" w:beforeAutospacing="0" w:after="0" w:afterAutospacing="0" w:line="480" w:lineRule="auto"/>
        <w:textAlignment w:val="baseline"/>
        <w:rPr>
          <w:rStyle w:val="eop"/>
          <w:rFonts w:ascii="Arial" w:hAnsi="Arial" w:cs="Arial"/>
          <w:sz w:val="22"/>
          <w:szCs w:val="22"/>
          <w:lang w:val="es-CR"/>
        </w:rPr>
      </w:pPr>
      <w:r w:rsidRPr="00734D3B">
        <w:rPr>
          <w:rStyle w:val="normaltextrun"/>
          <w:rFonts w:ascii="Arial" w:hAnsi="Arial" w:cs="Arial"/>
          <w:sz w:val="22"/>
          <w:szCs w:val="22"/>
          <w:lang w:val="es-CR"/>
        </w:rPr>
        <w:t>Contenedores diferenciados</w:t>
      </w:r>
      <w:r w:rsidRPr="00734D3B">
        <w:rPr>
          <w:rStyle w:val="eop"/>
          <w:rFonts w:ascii="Arial" w:hAnsi="Arial" w:cs="Arial"/>
          <w:sz w:val="22"/>
          <w:szCs w:val="22"/>
          <w:lang w:val="es-CR"/>
        </w:rPr>
        <w:t xml:space="preserve">: Los residuos deben de mantenerse en recipientes separados según su categoría, resistentes y en buen estado. En el caso de residuos peligrosos o especiales, los contenedores deben cumplir con especificaciones técnicas que eviten derrames o liberación de sustancias. </w:t>
      </w:r>
    </w:p>
    <w:p w14:paraId="5F7762F4" w14:textId="77777777" w:rsidR="00BC622D" w:rsidRPr="00734D3B" w:rsidRDefault="00BC622D" w:rsidP="00BC622D">
      <w:pPr>
        <w:pStyle w:val="paragraph"/>
        <w:numPr>
          <w:ilvl w:val="0"/>
          <w:numId w:val="42"/>
        </w:numPr>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Control de acceso</w:t>
      </w:r>
      <w:r w:rsidRPr="00734D3B">
        <w:rPr>
          <w:rStyle w:val="eop"/>
          <w:rFonts w:ascii="Arial" w:hAnsi="Arial" w:cs="Arial"/>
          <w:sz w:val="22"/>
          <w:szCs w:val="22"/>
          <w:lang w:val="es-CR"/>
        </w:rPr>
        <w:t xml:space="preserve">: el área debe tener acceso restringido únicamente a personal autorizado y capacitado, con el fin de reducir riesgos, evitar la manipulación indebida y asegurar el cumplimiento de los procedimientos establecidos. </w:t>
      </w:r>
    </w:p>
    <w:p w14:paraId="021C19EA" w14:textId="77777777" w:rsidR="00BC622D" w:rsidRPr="00734D3B" w:rsidRDefault="00BC622D" w:rsidP="00BC622D">
      <w:pPr>
        <w:pStyle w:val="paragraph"/>
        <w:spacing w:before="0" w:beforeAutospacing="0" w:after="0" w:afterAutospacing="0" w:line="480" w:lineRule="auto"/>
        <w:textAlignment w:val="baseline"/>
        <w:rPr>
          <w:rStyle w:val="eop"/>
          <w:rFonts w:ascii="Arial" w:hAnsi="Arial" w:cs="Arial"/>
          <w:sz w:val="22"/>
          <w:szCs w:val="22"/>
          <w:lang w:val="es-CR"/>
        </w:rPr>
      </w:pPr>
      <w:r w:rsidRPr="00734D3B">
        <w:rPr>
          <w:rStyle w:val="eop"/>
          <w:rFonts w:ascii="Arial" w:hAnsi="Arial" w:cs="Arial"/>
          <w:sz w:val="22"/>
          <w:szCs w:val="22"/>
          <w:lang w:val="es-CR"/>
        </w:rPr>
        <w:t> </w:t>
      </w:r>
      <w:r w:rsidRPr="00734D3B">
        <w:rPr>
          <w:rStyle w:val="normaltextrun"/>
          <w:rFonts w:ascii="Arial" w:hAnsi="Arial" w:cs="Arial"/>
          <w:sz w:val="22"/>
          <w:szCs w:val="22"/>
          <w:lang w:val="es-CR"/>
        </w:rPr>
        <w:t>Los RAEE de residuos de manejo especial por sus componentes potencialmente peligrosos (Ministerio de Salud, 2021).</w:t>
      </w:r>
      <w:r w:rsidRPr="00734D3B">
        <w:rPr>
          <w:rStyle w:val="eop"/>
          <w:rFonts w:ascii="Arial" w:hAnsi="Arial" w:cs="Arial"/>
          <w:sz w:val="22"/>
          <w:szCs w:val="22"/>
          <w:lang w:val="es-CR"/>
        </w:rPr>
        <w:t xml:space="preserve"> Los residuos de Aparatos Eléctricos y Electrónicos (RAEE) se clasifican como residuos de manejo especial debido a que contienen componentes que pueden resultar potencialmente peligrosos para la salud y el ambiente, tales como metales pesados, plásticos tratados y circuitos electrónicos. De acuerdo con el Ministerio de Salud (2021), estos residuos requieren manejo diferenciado, almacenamiento adecuado y disposición mediante gestores autorizados. Su correcta gestión es fundamental en proyectos eléctricos, ya que una disposición inadecuada puede generar contaminación del suelo y del agua, además de riesgos para los trabajadores. </w:t>
      </w:r>
    </w:p>
    <w:p w14:paraId="45BD366C" w14:textId="77777777" w:rsidR="009D3CD3" w:rsidRPr="00734D3B" w:rsidRDefault="009D3CD3" w:rsidP="00BC622D">
      <w:pPr>
        <w:pStyle w:val="paragraph"/>
        <w:spacing w:before="0" w:beforeAutospacing="0" w:after="0" w:afterAutospacing="0" w:line="480" w:lineRule="auto"/>
        <w:textAlignment w:val="baseline"/>
        <w:rPr>
          <w:rFonts w:ascii="Arial" w:hAnsi="Arial" w:cs="Arial"/>
          <w:sz w:val="22"/>
          <w:szCs w:val="22"/>
          <w:lang w:val="es-CR"/>
        </w:rPr>
      </w:pPr>
    </w:p>
    <w:p w14:paraId="0B1ACF5F" w14:textId="77777777" w:rsidR="00BC622D" w:rsidRPr="00734D3B" w:rsidRDefault="00BC622D" w:rsidP="00BA6553">
      <w:pPr>
        <w:pStyle w:val="paragraph"/>
        <w:spacing w:before="0" w:beforeAutospacing="0" w:after="0" w:afterAutospacing="0" w:line="480" w:lineRule="auto"/>
        <w:ind w:firstLine="705"/>
        <w:textAlignment w:val="baseline"/>
        <w:rPr>
          <w:rStyle w:val="normaltextrun"/>
          <w:b/>
          <w:bCs/>
          <w:lang w:val="es-CR"/>
        </w:rPr>
      </w:pPr>
      <w:r w:rsidRPr="00734D3B">
        <w:rPr>
          <w:rStyle w:val="normaltextrun"/>
          <w:b/>
          <w:bCs/>
          <w:lang w:val="es-CR"/>
        </w:rPr>
        <w:lastRenderedPageBreak/>
        <w:t> </w:t>
      </w:r>
      <w:r w:rsidRPr="00734D3B">
        <w:rPr>
          <w:rStyle w:val="normaltextrun"/>
          <w:rFonts w:ascii="Arial" w:hAnsi="Arial" w:cs="Arial"/>
          <w:b/>
          <w:bCs/>
          <w:sz w:val="22"/>
          <w:szCs w:val="22"/>
          <w:lang w:val="es-CR"/>
        </w:rPr>
        <w:t>POE-03: Reutilización y valorización </w:t>
      </w:r>
      <w:r w:rsidRPr="00734D3B">
        <w:rPr>
          <w:rStyle w:val="normaltextrun"/>
          <w:b/>
          <w:bCs/>
          <w:lang w:val="es-CR"/>
        </w:rPr>
        <w:t> </w:t>
      </w:r>
    </w:p>
    <w:p w14:paraId="1E922D2F" w14:textId="77777777" w:rsidR="00BC622D" w:rsidRPr="00734D3B" w:rsidRDefault="00BC622D" w:rsidP="00BA6553">
      <w:pPr>
        <w:pStyle w:val="paragraph"/>
        <w:spacing w:before="0" w:beforeAutospacing="0" w:after="0" w:afterAutospacing="0" w:line="480" w:lineRule="auto"/>
        <w:ind w:firstLine="705"/>
        <w:textAlignment w:val="baseline"/>
        <w:rPr>
          <w:rStyle w:val="normaltextrun"/>
          <w:lang w:val="es-CR"/>
        </w:rPr>
      </w:pPr>
      <w:r w:rsidRPr="00734D3B">
        <w:rPr>
          <w:rStyle w:val="normaltextrun"/>
          <w:rFonts w:ascii="Arial" w:hAnsi="Arial" w:cs="Arial"/>
          <w:sz w:val="22"/>
          <w:szCs w:val="22"/>
          <w:lang w:val="es-CR"/>
        </w:rPr>
        <w:t>Procedimiento</w:t>
      </w:r>
      <w:r w:rsidRPr="00734D3B">
        <w:rPr>
          <w:rStyle w:val="normaltextrun"/>
          <w:lang w:val="es-CR"/>
        </w:rPr>
        <w:t> </w:t>
      </w:r>
    </w:p>
    <w:p w14:paraId="68DC1AFC" w14:textId="77777777" w:rsidR="00BC622D" w:rsidRPr="00734D3B" w:rsidRDefault="00BC622D" w:rsidP="00BC622D">
      <w:pPr>
        <w:pStyle w:val="paragraph"/>
        <w:numPr>
          <w:ilvl w:val="0"/>
          <w:numId w:val="43"/>
        </w:numPr>
        <w:spacing w:before="0" w:beforeAutospacing="0" w:after="0" w:afterAutospacing="0" w:line="480" w:lineRule="auto"/>
        <w:textAlignment w:val="baseline"/>
        <w:rPr>
          <w:rFonts w:ascii="Arial" w:hAnsi="Arial" w:cs="Arial"/>
          <w:sz w:val="22"/>
          <w:szCs w:val="22"/>
        </w:rPr>
      </w:pPr>
      <w:r w:rsidRPr="00734D3B">
        <w:rPr>
          <w:rStyle w:val="normaltextrun"/>
          <w:rFonts w:ascii="Arial" w:hAnsi="Arial" w:cs="Arial"/>
          <w:sz w:val="22"/>
          <w:szCs w:val="22"/>
          <w:lang w:val="es-CR"/>
        </w:rPr>
        <w:t>Evaluación técnica del equipo</w:t>
      </w:r>
      <w:r w:rsidRPr="00734D3B">
        <w:rPr>
          <w:rStyle w:val="eop"/>
          <w:rFonts w:ascii="Arial" w:hAnsi="Arial" w:cs="Arial"/>
          <w:sz w:val="22"/>
          <w:szCs w:val="22"/>
        </w:rPr>
        <w:t> </w:t>
      </w:r>
    </w:p>
    <w:p w14:paraId="5F042BF8" w14:textId="77777777" w:rsidR="00BC622D" w:rsidRPr="00734D3B" w:rsidRDefault="00BC622D" w:rsidP="00BC622D">
      <w:pPr>
        <w:pStyle w:val="paragraph"/>
        <w:numPr>
          <w:ilvl w:val="0"/>
          <w:numId w:val="43"/>
        </w:numPr>
        <w:spacing w:before="0" w:beforeAutospacing="0" w:after="0" w:afterAutospacing="0" w:line="480" w:lineRule="auto"/>
        <w:textAlignment w:val="baseline"/>
        <w:rPr>
          <w:rFonts w:ascii="Arial" w:hAnsi="Arial" w:cs="Arial"/>
          <w:sz w:val="22"/>
          <w:szCs w:val="22"/>
        </w:rPr>
      </w:pPr>
      <w:r w:rsidRPr="00734D3B">
        <w:rPr>
          <w:rStyle w:val="normaltextrun"/>
          <w:rFonts w:ascii="Arial" w:hAnsi="Arial" w:cs="Arial"/>
          <w:sz w:val="22"/>
          <w:szCs w:val="22"/>
          <w:lang w:val="es-CR"/>
        </w:rPr>
        <w:t>Reparación o reacondicionamiento </w:t>
      </w:r>
      <w:r w:rsidRPr="00734D3B">
        <w:rPr>
          <w:rStyle w:val="eop"/>
          <w:rFonts w:ascii="Arial" w:hAnsi="Arial" w:cs="Arial"/>
          <w:sz w:val="22"/>
          <w:szCs w:val="22"/>
        </w:rPr>
        <w:t> </w:t>
      </w:r>
    </w:p>
    <w:p w14:paraId="3E17B956" w14:textId="77777777" w:rsidR="00BC622D" w:rsidRPr="00734D3B" w:rsidRDefault="00BC622D" w:rsidP="00BC622D">
      <w:pPr>
        <w:pStyle w:val="paragraph"/>
        <w:numPr>
          <w:ilvl w:val="0"/>
          <w:numId w:val="43"/>
        </w:numPr>
        <w:spacing w:before="0" w:beforeAutospacing="0" w:after="0" w:afterAutospacing="0" w:line="480" w:lineRule="auto"/>
        <w:textAlignment w:val="baseline"/>
        <w:rPr>
          <w:rFonts w:ascii="Arial" w:hAnsi="Arial" w:cs="Arial"/>
          <w:sz w:val="22"/>
          <w:szCs w:val="22"/>
        </w:rPr>
      </w:pPr>
      <w:r w:rsidRPr="00734D3B">
        <w:rPr>
          <w:rStyle w:val="normaltextrun"/>
          <w:rFonts w:ascii="Arial" w:hAnsi="Arial" w:cs="Arial"/>
          <w:sz w:val="22"/>
          <w:szCs w:val="22"/>
          <w:lang w:val="es-CR"/>
        </w:rPr>
        <w:t>Donación o reutilización interna</w:t>
      </w:r>
      <w:r w:rsidRPr="00734D3B">
        <w:rPr>
          <w:rStyle w:val="eop"/>
          <w:rFonts w:ascii="Arial" w:hAnsi="Arial" w:cs="Arial"/>
          <w:sz w:val="22"/>
          <w:szCs w:val="22"/>
        </w:rPr>
        <w:t> </w:t>
      </w:r>
    </w:p>
    <w:p w14:paraId="2F2DF5D4" w14:textId="77777777" w:rsidR="00BC622D" w:rsidRPr="00734D3B" w:rsidRDefault="00BC622D" w:rsidP="00BC622D">
      <w:pPr>
        <w:pStyle w:val="paragraph"/>
        <w:numPr>
          <w:ilvl w:val="0"/>
          <w:numId w:val="43"/>
        </w:numPr>
        <w:spacing w:before="0" w:beforeAutospacing="0" w:after="0" w:afterAutospacing="0" w:line="480" w:lineRule="auto"/>
        <w:textAlignment w:val="baseline"/>
        <w:rPr>
          <w:rFonts w:ascii="Arial" w:hAnsi="Arial" w:cs="Arial"/>
          <w:sz w:val="22"/>
          <w:szCs w:val="22"/>
        </w:rPr>
      </w:pPr>
      <w:r w:rsidRPr="00734D3B">
        <w:rPr>
          <w:rStyle w:val="normaltextrun"/>
          <w:rFonts w:ascii="Arial" w:hAnsi="Arial" w:cs="Arial"/>
          <w:sz w:val="22"/>
          <w:szCs w:val="22"/>
          <w:lang w:val="es-CR"/>
        </w:rPr>
        <w:t>Recuperación de componentes</w:t>
      </w:r>
      <w:r w:rsidRPr="00734D3B">
        <w:rPr>
          <w:rStyle w:val="eop"/>
          <w:rFonts w:ascii="Arial" w:hAnsi="Arial" w:cs="Arial"/>
          <w:sz w:val="22"/>
          <w:szCs w:val="22"/>
        </w:rPr>
        <w:t> </w:t>
      </w:r>
    </w:p>
    <w:p w14:paraId="113C9AD6"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Fonts w:ascii="Arial" w:hAnsi="Arial" w:cs="Arial"/>
          <w:sz w:val="22"/>
          <w:szCs w:val="22"/>
          <w:lang w:val="es-CR"/>
        </w:rPr>
        <w:tab/>
      </w:r>
      <w:r w:rsidRPr="00734D3B">
        <w:rPr>
          <w:rStyle w:val="normaltextrun"/>
          <w:rFonts w:ascii="Arial" w:hAnsi="Arial" w:cs="Arial"/>
          <w:sz w:val="22"/>
          <w:szCs w:val="22"/>
          <w:lang w:val="es-CR"/>
        </w:rPr>
        <w:t>La extensión de la vida útil del hardware reduce significativamente la generación de residuos electrónicos (</w:t>
      </w:r>
      <w:proofErr w:type="spellStart"/>
      <w:r w:rsidRPr="00734D3B">
        <w:rPr>
          <w:rStyle w:val="normaltextrun"/>
          <w:rFonts w:ascii="Arial" w:hAnsi="Arial" w:cs="Arial"/>
          <w:sz w:val="22"/>
          <w:szCs w:val="22"/>
          <w:lang w:val="es-CR"/>
        </w:rPr>
        <w:t>Samaye</w:t>
      </w:r>
      <w:proofErr w:type="spellEnd"/>
      <w:r w:rsidRPr="00734D3B">
        <w:rPr>
          <w:rStyle w:val="normaltextrun"/>
          <w:rFonts w:ascii="Arial" w:hAnsi="Arial" w:cs="Arial"/>
          <w:sz w:val="22"/>
          <w:szCs w:val="22"/>
          <w:lang w:val="es-CR"/>
        </w:rPr>
        <w:t> et al., 2024).</w:t>
      </w:r>
      <w:r w:rsidRPr="00734D3B">
        <w:rPr>
          <w:rStyle w:val="eop"/>
          <w:rFonts w:ascii="Arial" w:hAnsi="Arial" w:cs="Arial"/>
          <w:sz w:val="22"/>
          <w:szCs w:val="22"/>
          <w:lang w:val="es-CR"/>
        </w:rPr>
        <w:t> </w:t>
      </w:r>
    </w:p>
    <w:p w14:paraId="5D0CCEE5" w14:textId="77777777" w:rsidR="00BC622D" w:rsidRPr="00734D3B" w:rsidRDefault="00BC622D" w:rsidP="00BA6553">
      <w:pPr>
        <w:pStyle w:val="paragraph"/>
        <w:spacing w:before="0" w:beforeAutospacing="0" w:after="0" w:afterAutospacing="0" w:line="480" w:lineRule="auto"/>
        <w:ind w:firstLine="705"/>
        <w:textAlignment w:val="baseline"/>
        <w:rPr>
          <w:rStyle w:val="normaltextrun"/>
          <w:lang w:val="es-CR"/>
        </w:rPr>
      </w:pPr>
      <w:r w:rsidRPr="00734D3B">
        <w:rPr>
          <w:rStyle w:val="normaltextrun"/>
          <w:rFonts w:ascii="Arial" w:hAnsi="Arial" w:cs="Arial"/>
          <w:sz w:val="22"/>
          <w:szCs w:val="22"/>
          <w:lang w:val="es-CR"/>
        </w:rPr>
        <w:t>POE-04: Transporte </w:t>
      </w:r>
      <w:r w:rsidRPr="00734D3B">
        <w:rPr>
          <w:rStyle w:val="normaltextrun"/>
          <w:lang w:val="es-CR"/>
        </w:rPr>
        <w:t> </w:t>
      </w:r>
    </w:p>
    <w:p w14:paraId="4F6A0826" w14:textId="77777777" w:rsidR="00BC622D" w:rsidRPr="00734D3B" w:rsidRDefault="00BC622D" w:rsidP="00BA6553">
      <w:pPr>
        <w:pStyle w:val="paragraph"/>
        <w:spacing w:before="0" w:beforeAutospacing="0" w:after="0" w:afterAutospacing="0" w:line="480" w:lineRule="auto"/>
        <w:ind w:firstLine="705"/>
        <w:textAlignment w:val="baseline"/>
        <w:rPr>
          <w:rStyle w:val="normaltextrun"/>
          <w:lang w:val="es-CR"/>
        </w:rPr>
      </w:pPr>
      <w:r w:rsidRPr="00734D3B">
        <w:rPr>
          <w:rStyle w:val="normaltextrun"/>
          <w:rFonts w:ascii="Arial" w:hAnsi="Arial" w:cs="Arial"/>
          <w:sz w:val="22"/>
          <w:szCs w:val="22"/>
          <w:lang w:val="es-CR"/>
        </w:rPr>
        <w:t>Procedimiento</w:t>
      </w:r>
      <w:r w:rsidRPr="00734D3B">
        <w:rPr>
          <w:rStyle w:val="normaltextrun"/>
          <w:lang w:val="es-CR"/>
        </w:rPr>
        <w:t> </w:t>
      </w:r>
    </w:p>
    <w:p w14:paraId="31C7754B"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Embalaje seguro</w:t>
      </w:r>
      <w:r w:rsidRPr="00734D3B">
        <w:rPr>
          <w:rStyle w:val="eop"/>
          <w:rFonts w:ascii="Arial" w:hAnsi="Arial" w:cs="Arial"/>
          <w:sz w:val="22"/>
          <w:szCs w:val="22"/>
          <w:lang w:val="es-CR"/>
        </w:rPr>
        <w:t> </w:t>
      </w:r>
    </w:p>
    <w:p w14:paraId="4BEB8FC5"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Manifiesto de residuos</w:t>
      </w:r>
      <w:r w:rsidRPr="00734D3B">
        <w:rPr>
          <w:rStyle w:val="eop"/>
          <w:rFonts w:ascii="Arial" w:hAnsi="Arial" w:cs="Arial"/>
          <w:sz w:val="22"/>
          <w:szCs w:val="22"/>
          <w:lang w:val="es-CR"/>
        </w:rPr>
        <w:t> </w:t>
      </w:r>
    </w:p>
    <w:p w14:paraId="26F74405"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Transporte por gestor autorizado </w:t>
      </w:r>
      <w:r w:rsidRPr="00734D3B">
        <w:rPr>
          <w:rStyle w:val="eop"/>
          <w:rFonts w:ascii="Arial" w:hAnsi="Arial" w:cs="Arial"/>
          <w:sz w:val="22"/>
          <w:szCs w:val="22"/>
          <w:lang w:val="es-CR"/>
        </w:rPr>
        <w:t> </w:t>
      </w:r>
    </w:p>
    <w:p w14:paraId="76F94A48"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El transporte debe formar parte de un sistema integral de logística inversa para garantizar trazabilidad (Moheb-Alizadeh et al., 2023).</w:t>
      </w:r>
      <w:r w:rsidRPr="00734D3B">
        <w:rPr>
          <w:rStyle w:val="eop"/>
          <w:rFonts w:ascii="Arial" w:hAnsi="Arial" w:cs="Arial"/>
          <w:sz w:val="22"/>
          <w:szCs w:val="22"/>
          <w:lang w:val="es-CR"/>
        </w:rPr>
        <w:t> </w:t>
      </w:r>
    </w:p>
    <w:p w14:paraId="54A39D86"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Style w:val="normaltextrun"/>
          <w:rFonts w:ascii="Arial" w:hAnsi="Arial" w:cs="Arial"/>
          <w:sz w:val="22"/>
          <w:szCs w:val="22"/>
          <w:lang w:val="es-CR"/>
        </w:rPr>
        <w:t>POE-05: Disposición final</w:t>
      </w:r>
      <w:r w:rsidRPr="00734D3B">
        <w:rPr>
          <w:rStyle w:val="eop"/>
          <w:rFonts w:ascii="Arial" w:hAnsi="Arial" w:cs="Arial"/>
          <w:sz w:val="22"/>
          <w:szCs w:val="22"/>
          <w:lang w:val="es-CR"/>
        </w:rPr>
        <w:t> </w:t>
      </w:r>
    </w:p>
    <w:p w14:paraId="23DEF0C7"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Opciones autorizadas </w:t>
      </w:r>
      <w:r w:rsidRPr="00734D3B">
        <w:rPr>
          <w:rStyle w:val="eop"/>
          <w:rFonts w:ascii="Arial" w:hAnsi="Arial" w:cs="Arial"/>
          <w:sz w:val="22"/>
          <w:szCs w:val="22"/>
          <w:lang w:val="es-CR"/>
        </w:rPr>
        <w:t> </w:t>
      </w:r>
    </w:p>
    <w:p w14:paraId="3AC7C6A1"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Reciclaje certificado </w:t>
      </w:r>
      <w:r w:rsidRPr="00734D3B">
        <w:rPr>
          <w:rStyle w:val="eop"/>
          <w:rFonts w:ascii="Arial" w:hAnsi="Arial" w:cs="Arial"/>
          <w:sz w:val="22"/>
          <w:szCs w:val="22"/>
          <w:lang w:val="es-CR"/>
        </w:rPr>
        <w:t> </w:t>
      </w:r>
    </w:p>
    <w:p w14:paraId="1D1BDB24"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Tratamiento especializado </w:t>
      </w:r>
      <w:r w:rsidRPr="00734D3B">
        <w:rPr>
          <w:rStyle w:val="eop"/>
          <w:rFonts w:ascii="Arial" w:hAnsi="Arial" w:cs="Arial"/>
          <w:sz w:val="22"/>
          <w:szCs w:val="22"/>
          <w:lang w:val="es-CR"/>
        </w:rPr>
        <w:t> </w:t>
      </w:r>
    </w:p>
    <w:p w14:paraId="50B2C6F3"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Co procesamiento</w:t>
      </w:r>
      <w:r w:rsidRPr="00734D3B">
        <w:rPr>
          <w:rStyle w:val="eop"/>
          <w:rFonts w:ascii="Arial" w:hAnsi="Arial" w:cs="Arial"/>
          <w:sz w:val="22"/>
          <w:szCs w:val="22"/>
          <w:lang w:val="es-CR"/>
        </w:rPr>
        <w:t> </w:t>
      </w:r>
    </w:p>
    <w:p w14:paraId="75872E11" w14:textId="77777777" w:rsidR="00BC622D" w:rsidRPr="00734D3B" w:rsidRDefault="00BC622D" w:rsidP="00BC622D">
      <w:pPr>
        <w:pStyle w:val="paragraph"/>
        <w:spacing w:before="0" w:beforeAutospacing="0" w:after="0" w:afterAutospacing="0" w:line="480" w:lineRule="auto"/>
        <w:textAlignment w:val="baseline"/>
        <w:rPr>
          <w:rFonts w:ascii="Arial" w:hAnsi="Arial" w:cs="Arial"/>
          <w:sz w:val="22"/>
          <w:szCs w:val="22"/>
          <w:lang w:val="es-CR"/>
        </w:rPr>
      </w:pPr>
      <w:r w:rsidRPr="00734D3B">
        <w:rPr>
          <w:rStyle w:val="normaltextrun"/>
          <w:rFonts w:ascii="Arial" w:hAnsi="Arial" w:cs="Arial"/>
          <w:sz w:val="22"/>
          <w:szCs w:val="22"/>
          <w:lang w:val="es-CR"/>
        </w:rPr>
        <w:t>La normativa establece que los residuos deben entregarse únicamente en sitios autorizados de recolección (Reglamento RAEE </w:t>
      </w:r>
      <w:proofErr w:type="spellStart"/>
      <w:r w:rsidRPr="00734D3B">
        <w:rPr>
          <w:rStyle w:val="normaltextrun"/>
          <w:rFonts w:ascii="Arial" w:hAnsi="Arial" w:cs="Arial"/>
          <w:sz w:val="22"/>
          <w:szCs w:val="22"/>
          <w:lang w:val="es-CR"/>
        </w:rPr>
        <w:t>Nº</w:t>
      </w:r>
      <w:proofErr w:type="spellEnd"/>
      <w:r w:rsidRPr="00734D3B">
        <w:rPr>
          <w:rStyle w:val="normaltextrun"/>
          <w:rFonts w:ascii="Arial" w:hAnsi="Arial" w:cs="Arial"/>
          <w:sz w:val="22"/>
          <w:szCs w:val="22"/>
          <w:lang w:val="es-CR"/>
        </w:rPr>
        <w:t>. 35933-S)</w:t>
      </w:r>
      <w:r w:rsidRPr="00734D3B">
        <w:rPr>
          <w:rStyle w:val="eop"/>
          <w:rFonts w:ascii="Arial" w:hAnsi="Arial" w:cs="Arial"/>
          <w:sz w:val="22"/>
          <w:szCs w:val="22"/>
          <w:lang w:val="es-CR"/>
        </w:rPr>
        <w:t> </w:t>
      </w:r>
    </w:p>
    <w:p w14:paraId="5DFF418D" w14:textId="64387BFC" w:rsidR="009D711D" w:rsidRPr="00734D3B" w:rsidRDefault="00BC622D" w:rsidP="00BC622D">
      <w:pPr>
        <w:pStyle w:val="paragraph"/>
        <w:spacing w:before="0" w:beforeAutospacing="0" w:after="0" w:afterAutospacing="0" w:line="480" w:lineRule="auto"/>
        <w:jc w:val="both"/>
        <w:textAlignment w:val="baseline"/>
        <w:rPr>
          <w:rStyle w:val="eop"/>
          <w:rFonts w:ascii="Arial" w:hAnsi="Arial" w:cs="Arial"/>
          <w:sz w:val="22"/>
          <w:szCs w:val="22"/>
          <w:lang w:val="es-CR"/>
        </w:rPr>
      </w:pPr>
      <w:r w:rsidRPr="00734D3B">
        <w:rPr>
          <w:rStyle w:val="eop"/>
          <w:rFonts w:ascii="Arial" w:hAnsi="Arial" w:cs="Arial"/>
          <w:sz w:val="22"/>
          <w:szCs w:val="22"/>
          <w:lang w:val="es-CR"/>
        </w:rPr>
        <w:t> </w:t>
      </w:r>
    </w:p>
    <w:p w14:paraId="65F95D51" w14:textId="77777777" w:rsidR="009D711D" w:rsidRPr="00734D3B" w:rsidRDefault="009D711D">
      <w:pPr>
        <w:spacing w:line="240" w:lineRule="auto"/>
        <w:ind w:firstLine="0"/>
        <w:rPr>
          <w:rStyle w:val="eop"/>
          <w:rFonts w:cs="Arial"/>
          <w:szCs w:val="22"/>
          <w:lang w:eastAsia="en-US"/>
        </w:rPr>
      </w:pPr>
      <w:r w:rsidRPr="00734D3B">
        <w:rPr>
          <w:rStyle w:val="eop"/>
          <w:rFonts w:cs="Arial"/>
          <w:szCs w:val="22"/>
        </w:rPr>
        <w:br w:type="page"/>
      </w:r>
    </w:p>
    <w:p w14:paraId="37236723" w14:textId="77777777" w:rsidR="00BC622D" w:rsidRPr="00734D3B" w:rsidRDefault="00BC622D" w:rsidP="00BC622D">
      <w:pPr>
        <w:pStyle w:val="paragraph"/>
        <w:spacing w:before="0" w:beforeAutospacing="0" w:after="0" w:afterAutospacing="0" w:line="480" w:lineRule="auto"/>
        <w:jc w:val="both"/>
        <w:textAlignment w:val="baseline"/>
        <w:rPr>
          <w:rFonts w:ascii="Arial" w:hAnsi="Arial" w:cs="Arial"/>
          <w:sz w:val="22"/>
          <w:szCs w:val="22"/>
          <w:lang w:val="es-CR"/>
        </w:rPr>
      </w:pPr>
    </w:p>
    <w:p w14:paraId="2482B656" w14:textId="0606F273" w:rsidR="00BC622D" w:rsidRPr="00734D3B" w:rsidRDefault="00391A33" w:rsidP="00391A33">
      <w:pPr>
        <w:rPr>
          <w:rFonts w:cs="Arial"/>
          <w:b/>
          <w:bCs/>
          <w:szCs w:val="22"/>
        </w:rPr>
      </w:pPr>
      <w:r w:rsidRPr="00734D3B">
        <w:rPr>
          <w:rStyle w:val="normaltextrun"/>
          <w:rFonts w:cs="Arial"/>
          <w:b/>
          <w:bCs/>
          <w:szCs w:val="22"/>
        </w:rPr>
        <w:t>4</w:t>
      </w:r>
      <w:r w:rsidR="006C4927" w:rsidRPr="00734D3B">
        <w:rPr>
          <w:rStyle w:val="normaltextrun"/>
          <w:rFonts w:cs="Arial"/>
          <w:b/>
          <w:bCs/>
          <w:szCs w:val="22"/>
        </w:rPr>
        <w:t>.3.</w:t>
      </w:r>
      <w:r w:rsidR="0072768F" w:rsidRPr="00734D3B">
        <w:rPr>
          <w:rStyle w:val="normaltextrun"/>
          <w:rFonts w:cs="Arial"/>
          <w:b/>
          <w:bCs/>
          <w:szCs w:val="22"/>
        </w:rPr>
        <w:t>5</w:t>
      </w:r>
      <w:r w:rsidR="006C4927" w:rsidRPr="00734D3B">
        <w:rPr>
          <w:rStyle w:val="normaltextrun"/>
          <w:rFonts w:cs="Arial"/>
          <w:b/>
          <w:bCs/>
          <w:szCs w:val="22"/>
        </w:rPr>
        <w:t xml:space="preserve"> </w:t>
      </w:r>
      <w:r w:rsidR="00BC622D" w:rsidRPr="00734D3B">
        <w:rPr>
          <w:rStyle w:val="normaltextrun"/>
          <w:rFonts w:cs="Arial"/>
          <w:b/>
          <w:bCs/>
          <w:szCs w:val="22"/>
        </w:rPr>
        <w:t>Sistema de control y seguimiento </w:t>
      </w:r>
      <w:r w:rsidR="00BC622D" w:rsidRPr="00734D3B">
        <w:rPr>
          <w:rStyle w:val="eop"/>
          <w:rFonts w:cs="Arial"/>
          <w:b/>
          <w:bCs/>
          <w:szCs w:val="22"/>
        </w:rPr>
        <w:t> </w:t>
      </w:r>
    </w:p>
    <w:p w14:paraId="382C3625" w14:textId="77777777" w:rsidR="00A418B0" w:rsidRPr="00734D3B" w:rsidRDefault="00BC622D" w:rsidP="00A418B0">
      <w:pPr>
        <w:pStyle w:val="paragraph"/>
        <w:spacing w:before="0" w:beforeAutospacing="0" w:after="0" w:afterAutospacing="0" w:line="480" w:lineRule="auto"/>
        <w:ind w:firstLine="706"/>
        <w:textAlignment w:val="baseline"/>
        <w:rPr>
          <w:rStyle w:val="normaltextrun"/>
          <w:rFonts w:ascii="Arial" w:hAnsi="Arial"/>
          <w:sz w:val="22"/>
          <w:lang w:val="es-CR"/>
        </w:rPr>
      </w:pPr>
      <w:r w:rsidRPr="00734D3B">
        <w:rPr>
          <w:rStyle w:val="normaltextrun"/>
          <w:lang w:val="es-CR"/>
        </w:rPr>
        <w:t> </w:t>
      </w:r>
      <w:r w:rsidR="00A418B0" w:rsidRPr="00734D3B">
        <w:rPr>
          <w:rStyle w:val="normaltextrun"/>
          <w:rFonts w:ascii="Arial" w:hAnsi="Arial"/>
          <w:sz w:val="22"/>
          <w:lang w:val="es-CR"/>
        </w:rPr>
        <w:t>El manual incorpora un sistema de control y seguimiento del desempeño ambiental basado en indicadores clave (KPI), los cuales permiten evaluar la eficacia de la gestión de residuos eléctricos y el cumplimiento de los objetivos ambientales del proyecto.</w:t>
      </w:r>
    </w:p>
    <w:p w14:paraId="70FDE09A" w14:textId="77777777" w:rsidR="00B53B0B" w:rsidRDefault="00D66C9D" w:rsidP="0086667F">
      <w:pPr>
        <w:pStyle w:val="Caption"/>
        <w:rPr>
          <w:color w:val="auto"/>
        </w:rPr>
      </w:pPr>
      <w:bookmarkStart w:id="354" w:name="_Toc228342092"/>
      <w:r w:rsidRPr="00734D3B">
        <w:rPr>
          <w:color w:val="auto"/>
        </w:rPr>
        <w:t xml:space="preserve">Tabla </w:t>
      </w:r>
      <w:r w:rsidRPr="00734D3B">
        <w:rPr>
          <w:color w:val="auto"/>
        </w:rPr>
        <w:fldChar w:fldCharType="begin"/>
      </w:r>
      <w:r w:rsidRPr="00734D3B">
        <w:rPr>
          <w:color w:val="auto"/>
        </w:rPr>
        <w:instrText xml:space="preserve"> SEQ Tabla \* ARABIC </w:instrText>
      </w:r>
      <w:r w:rsidRPr="00734D3B">
        <w:rPr>
          <w:color w:val="auto"/>
        </w:rPr>
        <w:fldChar w:fldCharType="separate"/>
      </w:r>
      <w:r w:rsidRPr="00734D3B">
        <w:rPr>
          <w:noProof/>
          <w:color w:val="auto"/>
        </w:rPr>
        <w:t>12</w:t>
      </w:r>
      <w:r w:rsidRPr="00734D3B">
        <w:rPr>
          <w:color w:val="auto"/>
        </w:rPr>
        <w:fldChar w:fldCharType="end"/>
      </w:r>
      <w:r w:rsidR="0086667F" w:rsidRPr="00734D3B">
        <w:rPr>
          <w:color w:val="auto"/>
        </w:rPr>
        <w:t xml:space="preserve"> </w:t>
      </w:r>
    </w:p>
    <w:p w14:paraId="54995953" w14:textId="676035D3" w:rsidR="00B92E63" w:rsidRPr="00BE0964" w:rsidRDefault="0086667F" w:rsidP="0086667F">
      <w:pPr>
        <w:pStyle w:val="Caption"/>
        <w:rPr>
          <w:rStyle w:val="normaltextrun"/>
          <w:color w:val="auto"/>
        </w:rPr>
      </w:pPr>
      <w:r w:rsidRPr="00734D3B">
        <w:rPr>
          <w:b w:val="0"/>
          <w:bCs/>
          <w:i/>
          <w:iCs/>
          <w:color w:val="auto"/>
        </w:rPr>
        <w:t>Indicadores clave</w:t>
      </w:r>
      <w:bookmarkEnd w:id="354"/>
    </w:p>
    <w:tbl>
      <w:tblPr>
        <w:tblStyle w:val="TableGrid"/>
        <w:tblW w:w="0" w:type="auto"/>
        <w:tblLook w:val="04A0" w:firstRow="1" w:lastRow="0" w:firstColumn="1" w:lastColumn="0" w:noHBand="0" w:noVBand="1"/>
      </w:tblPr>
      <w:tblGrid>
        <w:gridCol w:w="4676"/>
        <w:gridCol w:w="4676"/>
      </w:tblGrid>
      <w:tr w:rsidR="00734D3B" w:rsidRPr="00734D3B" w14:paraId="79F4C4D5" w14:textId="77777777" w:rsidTr="00DF6822">
        <w:tc>
          <w:tcPr>
            <w:tcW w:w="4676" w:type="dxa"/>
          </w:tcPr>
          <w:p w14:paraId="35B0DD44" w14:textId="77777777" w:rsidR="00BC622D" w:rsidRPr="00734D3B" w:rsidRDefault="00BC622D" w:rsidP="00DF6822">
            <w:pPr>
              <w:pStyle w:val="paragraph"/>
              <w:spacing w:before="0" w:beforeAutospacing="0" w:after="0" w:afterAutospacing="0" w:line="480" w:lineRule="auto"/>
              <w:jc w:val="center"/>
              <w:textAlignment w:val="baseline"/>
              <w:rPr>
                <w:rStyle w:val="tabchar"/>
                <w:rFonts w:ascii="Arial" w:hAnsi="Arial" w:cs="Arial"/>
                <w:b/>
                <w:bCs/>
                <w:sz w:val="22"/>
                <w:szCs w:val="22"/>
              </w:rPr>
            </w:pPr>
            <w:r w:rsidRPr="00734D3B">
              <w:rPr>
                <w:rStyle w:val="normaltextrun"/>
                <w:rFonts w:ascii="Arial" w:hAnsi="Arial" w:cs="Arial"/>
                <w:b/>
                <w:bCs/>
                <w:sz w:val="22"/>
                <w:szCs w:val="22"/>
                <w:lang w:val="es-CR"/>
              </w:rPr>
              <w:t>Indicador</w:t>
            </w:r>
          </w:p>
        </w:tc>
        <w:tc>
          <w:tcPr>
            <w:tcW w:w="4676" w:type="dxa"/>
          </w:tcPr>
          <w:p w14:paraId="5D2545D4" w14:textId="77777777" w:rsidR="00BC622D" w:rsidRPr="00734D3B" w:rsidRDefault="00BC622D" w:rsidP="00DF6822">
            <w:pPr>
              <w:pStyle w:val="paragraph"/>
              <w:spacing w:before="0" w:beforeAutospacing="0" w:after="0" w:afterAutospacing="0" w:line="480" w:lineRule="auto"/>
              <w:jc w:val="center"/>
              <w:textAlignment w:val="baseline"/>
              <w:rPr>
                <w:rFonts w:ascii="Arial" w:hAnsi="Arial" w:cs="Arial"/>
                <w:b/>
                <w:bCs/>
                <w:sz w:val="22"/>
                <w:szCs w:val="22"/>
              </w:rPr>
            </w:pPr>
            <w:r w:rsidRPr="00734D3B">
              <w:rPr>
                <w:rStyle w:val="normaltextrun"/>
                <w:rFonts w:ascii="Arial" w:hAnsi="Arial" w:cs="Arial"/>
                <w:b/>
                <w:bCs/>
                <w:sz w:val="22"/>
                <w:szCs w:val="22"/>
                <w:lang w:val="es-CR"/>
              </w:rPr>
              <w:t>Fórmula</w:t>
            </w:r>
          </w:p>
        </w:tc>
      </w:tr>
      <w:tr w:rsidR="00734D3B" w:rsidRPr="00734D3B" w14:paraId="32563B65" w14:textId="77777777" w:rsidTr="00DF6822">
        <w:tc>
          <w:tcPr>
            <w:tcW w:w="4676" w:type="dxa"/>
          </w:tcPr>
          <w:p w14:paraId="3E301205"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 segregación</w:t>
            </w:r>
          </w:p>
        </w:tc>
        <w:tc>
          <w:tcPr>
            <w:tcW w:w="4676" w:type="dxa"/>
          </w:tcPr>
          <w:p w14:paraId="5530205C"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residuos clasificados / residuos generados</w:t>
            </w:r>
            <w:r w:rsidRPr="00734D3B">
              <w:rPr>
                <w:rStyle w:val="eop"/>
                <w:rFonts w:ascii="Arial" w:hAnsi="Arial" w:cs="Arial"/>
                <w:sz w:val="22"/>
                <w:szCs w:val="22"/>
              </w:rPr>
              <w:t> </w:t>
            </w:r>
          </w:p>
        </w:tc>
      </w:tr>
      <w:tr w:rsidR="00734D3B" w:rsidRPr="00734D3B" w14:paraId="7054FE9E" w14:textId="77777777" w:rsidTr="00DF6822">
        <w:tc>
          <w:tcPr>
            <w:tcW w:w="4676" w:type="dxa"/>
          </w:tcPr>
          <w:p w14:paraId="31316098"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 valorización</w:t>
            </w:r>
          </w:p>
        </w:tc>
        <w:tc>
          <w:tcPr>
            <w:tcW w:w="4676" w:type="dxa"/>
          </w:tcPr>
          <w:p w14:paraId="4E5364F6"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residuos reciclados / residuos generados</w:t>
            </w:r>
            <w:r w:rsidRPr="00734D3B">
              <w:rPr>
                <w:rStyle w:val="eop"/>
                <w:rFonts w:ascii="Arial" w:hAnsi="Arial" w:cs="Arial"/>
                <w:sz w:val="22"/>
                <w:szCs w:val="22"/>
              </w:rPr>
              <w:t> </w:t>
            </w:r>
          </w:p>
        </w:tc>
      </w:tr>
      <w:tr w:rsidR="00734D3B" w:rsidRPr="00734D3B" w14:paraId="0737F951" w14:textId="77777777" w:rsidTr="00DF6822">
        <w:tc>
          <w:tcPr>
            <w:tcW w:w="4676" w:type="dxa"/>
          </w:tcPr>
          <w:p w14:paraId="07B8D7A8"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 reutilización</w:t>
            </w:r>
          </w:p>
        </w:tc>
        <w:tc>
          <w:tcPr>
            <w:tcW w:w="4676" w:type="dxa"/>
          </w:tcPr>
          <w:p w14:paraId="5935FD01"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equipos reutilizados / equipos retirados</w:t>
            </w:r>
            <w:r w:rsidRPr="00734D3B">
              <w:rPr>
                <w:rStyle w:val="eop"/>
                <w:rFonts w:ascii="Arial" w:hAnsi="Arial" w:cs="Arial"/>
                <w:sz w:val="22"/>
                <w:szCs w:val="22"/>
              </w:rPr>
              <w:t> </w:t>
            </w:r>
          </w:p>
        </w:tc>
      </w:tr>
      <w:tr w:rsidR="00734D3B" w:rsidRPr="00734D3B" w14:paraId="1368C537" w14:textId="77777777" w:rsidTr="00DF6822">
        <w:tc>
          <w:tcPr>
            <w:tcW w:w="4676" w:type="dxa"/>
          </w:tcPr>
          <w:p w14:paraId="096445C3" w14:textId="77777777" w:rsidR="00BC622D" w:rsidRPr="00734D3B" w:rsidRDefault="00BC622D" w:rsidP="00DF6822">
            <w:pPr>
              <w:pStyle w:val="paragraph"/>
              <w:spacing w:before="0" w:beforeAutospacing="0" w:after="0" w:afterAutospacing="0" w:line="480" w:lineRule="auto"/>
              <w:jc w:val="both"/>
              <w:textAlignment w:val="baseline"/>
              <w:rPr>
                <w:rStyle w:val="tabchar"/>
                <w:rFonts w:ascii="Arial" w:hAnsi="Arial" w:cs="Arial"/>
                <w:sz w:val="22"/>
                <w:szCs w:val="22"/>
              </w:rPr>
            </w:pPr>
            <w:r w:rsidRPr="00734D3B">
              <w:rPr>
                <w:rStyle w:val="normaltextrun"/>
                <w:rFonts w:ascii="Arial" w:hAnsi="Arial" w:cs="Arial"/>
                <w:sz w:val="22"/>
                <w:szCs w:val="22"/>
                <w:lang w:val="es-CR"/>
              </w:rPr>
              <w:t>cumplimiento legal</w:t>
            </w:r>
          </w:p>
        </w:tc>
        <w:tc>
          <w:tcPr>
            <w:tcW w:w="4676" w:type="dxa"/>
          </w:tcPr>
          <w:p w14:paraId="66D4F931" w14:textId="77777777" w:rsidR="00BC622D" w:rsidRPr="00734D3B" w:rsidRDefault="00BC622D" w:rsidP="00DF6822">
            <w:pPr>
              <w:pStyle w:val="paragraph"/>
              <w:spacing w:before="0" w:beforeAutospacing="0" w:after="0" w:afterAutospacing="0" w:line="480" w:lineRule="auto"/>
              <w:jc w:val="both"/>
              <w:textAlignment w:val="baseline"/>
              <w:rPr>
                <w:rFonts w:ascii="Arial" w:hAnsi="Arial" w:cs="Arial"/>
                <w:sz w:val="22"/>
                <w:szCs w:val="22"/>
              </w:rPr>
            </w:pPr>
            <w:r w:rsidRPr="00734D3B">
              <w:rPr>
                <w:rStyle w:val="normaltextrun"/>
                <w:rFonts w:ascii="Arial" w:hAnsi="Arial" w:cs="Arial"/>
                <w:sz w:val="22"/>
                <w:szCs w:val="22"/>
                <w:lang w:val="es-CR"/>
              </w:rPr>
              <w:t>registros completos / registros requeridos</w:t>
            </w:r>
            <w:r w:rsidRPr="00734D3B">
              <w:rPr>
                <w:rStyle w:val="eop"/>
                <w:rFonts w:ascii="Arial" w:hAnsi="Arial" w:cs="Arial"/>
                <w:sz w:val="22"/>
                <w:szCs w:val="22"/>
              </w:rPr>
              <w:t> </w:t>
            </w:r>
          </w:p>
        </w:tc>
      </w:tr>
    </w:tbl>
    <w:p w14:paraId="792718BF" w14:textId="62024104" w:rsidR="00EA337B" w:rsidRPr="00734D3B" w:rsidRDefault="00EA337B" w:rsidP="00EA337B">
      <w:pPr>
        <w:pStyle w:val="paragraph"/>
        <w:spacing w:before="0" w:beforeAutospacing="0" w:after="0" w:afterAutospacing="0" w:line="480" w:lineRule="auto"/>
        <w:ind w:firstLine="705"/>
        <w:jc w:val="both"/>
        <w:textAlignment w:val="baseline"/>
        <w:rPr>
          <w:rStyle w:val="normaltextrun"/>
          <w:rFonts w:ascii="Arial" w:hAnsi="Arial" w:cs="Arial"/>
          <w:b/>
          <w:bCs/>
          <w:sz w:val="20"/>
          <w:szCs w:val="20"/>
          <w:lang w:val="es-CR"/>
        </w:rPr>
      </w:pPr>
      <w:r w:rsidRPr="00734D3B">
        <w:rPr>
          <w:rFonts w:ascii="Arial" w:hAnsi="Arial" w:cs="Arial"/>
          <w:i/>
          <w:iCs/>
          <w:sz w:val="22"/>
          <w:szCs w:val="20"/>
          <w:lang w:val="es-CR"/>
        </w:rPr>
        <w:t>Nota</w:t>
      </w:r>
      <w:r w:rsidRPr="00734D3B">
        <w:rPr>
          <w:rFonts w:ascii="Arial" w:hAnsi="Arial" w:cs="Arial"/>
          <w:sz w:val="22"/>
          <w:szCs w:val="20"/>
          <w:lang w:val="es-CR"/>
        </w:rPr>
        <w:t xml:space="preserve">. La Tabla 12 sintetiza </w:t>
      </w:r>
      <w:r w:rsidR="006F365F" w:rsidRPr="00734D3B">
        <w:rPr>
          <w:rFonts w:ascii="Arial" w:hAnsi="Arial" w:cs="Arial"/>
          <w:sz w:val="22"/>
          <w:szCs w:val="20"/>
          <w:lang w:val="es-CR"/>
        </w:rPr>
        <w:t>los indicadores clave</w:t>
      </w:r>
    </w:p>
    <w:p w14:paraId="33B53E09" w14:textId="77777777" w:rsidR="00D66C9D" w:rsidRPr="00734D3B" w:rsidRDefault="00D66C9D" w:rsidP="003A5EFD">
      <w:pPr>
        <w:ind w:firstLine="706"/>
      </w:pPr>
    </w:p>
    <w:p w14:paraId="7EDE0453" w14:textId="055F4A62" w:rsidR="003A5EFD" w:rsidRPr="00734D3B" w:rsidRDefault="003A5EFD" w:rsidP="003A5EFD">
      <w:pPr>
        <w:ind w:firstLine="706"/>
      </w:pPr>
      <w:r w:rsidRPr="00734D3B">
        <w:t>En este apartado se define el sistema de control y seguimiento del desempeño ambiental, basado en indicadores clave (KPI) que permiten evaluar la eficacia de la gestión de residuos eléctricos y el cumplimiento de los objetivos ambientales del proyecto, mientras que el diseño detallado del sistema de indicadores se desarrolla en el apartado 4.4.</w:t>
      </w:r>
    </w:p>
    <w:p w14:paraId="511C74A8" w14:textId="13911669" w:rsidR="00135F3F" w:rsidRPr="00734D3B" w:rsidRDefault="00135F3F" w:rsidP="00124C91">
      <w:pPr>
        <w:rPr>
          <w:b/>
          <w:bCs/>
        </w:rPr>
      </w:pPr>
      <w:r w:rsidRPr="00734D3B">
        <w:rPr>
          <w:b/>
          <w:bCs/>
        </w:rPr>
        <w:t>4.</w:t>
      </w:r>
      <w:r w:rsidR="00DE69A2" w:rsidRPr="00734D3B">
        <w:rPr>
          <w:b/>
          <w:bCs/>
        </w:rPr>
        <w:t>3</w:t>
      </w:r>
      <w:r w:rsidRPr="00734D3B">
        <w:rPr>
          <w:b/>
          <w:bCs/>
        </w:rPr>
        <w:t>.</w:t>
      </w:r>
      <w:r w:rsidR="0051730D" w:rsidRPr="00734D3B">
        <w:rPr>
          <w:b/>
          <w:bCs/>
        </w:rPr>
        <w:t>6</w:t>
      </w:r>
      <w:r w:rsidRPr="00734D3B">
        <w:rPr>
          <w:b/>
          <w:bCs/>
        </w:rPr>
        <w:t xml:space="preserve"> Guía operativa para la identificación y evaluación de riesgos ambientales en actividades eléctricas</w:t>
      </w:r>
      <w:r w:rsidR="00124C91" w:rsidRPr="00734D3B">
        <w:rPr>
          <w:b/>
          <w:bCs/>
        </w:rPr>
        <w:t xml:space="preserve"> (</w:t>
      </w:r>
      <w:proofErr w:type="spellStart"/>
      <w:r w:rsidRPr="00734D3B">
        <w:rPr>
          <w:b/>
          <w:bCs/>
        </w:rPr>
        <w:t>Operational</w:t>
      </w:r>
      <w:proofErr w:type="spellEnd"/>
      <w:r w:rsidRPr="00734D3B">
        <w:rPr>
          <w:b/>
          <w:bCs/>
        </w:rPr>
        <w:t xml:space="preserve"> Guide </w:t>
      </w:r>
      <w:proofErr w:type="spellStart"/>
      <w:r w:rsidRPr="00734D3B">
        <w:rPr>
          <w:b/>
          <w:bCs/>
        </w:rPr>
        <w:t>for</w:t>
      </w:r>
      <w:proofErr w:type="spellEnd"/>
      <w:r w:rsidRPr="00734D3B">
        <w:rPr>
          <w:b/>
          <w:bCs/>
        </w:rPr>
        <w:t xml:space="preserve"> </w:t>
      </w:r>
      <w:proofErr w:type="spellStart"/>
      <w:r w:rsidRPr="00734D3B">
        <w:rPr>
          <w:b/>
          <w:bCs/>
        </w:rPr>
        <w:t>the</w:t>
      </w:r>
      <w:proofErr w:type="spellEnd"/>
      <w:r w:rsidRPr="00734D3B">
        <w:rPr>
          <w:b/>
          <w:bCs/>
        </w:rPr>
        <w:t xml:space="preserve"> </w:t>
      </w:r>
      <w:proofErr w:type="spellStart"/>
      <w:r w:rsidRPr="00734D3B">
        <w:rPr>
          <w:b/>
          <w:bCs/>
        </w:rPr>
        <w:t>Identification</w:t>
      </w:r>
      <w:proofErr w:type="spellEnd"/>
      <w:r w:rsidRPr="00734D3B">
        <w:rPr>
          <w:b/>
          <w:bCs/>
        </w:rPr>
        <w:t xml:space="preserve"> and </w:t>
      </w:r>
      <w:proofErr w:type="spellStart"/>
      <w:r w:rsidRPr="00734D3B">
        <w:rPr>
          <w:b/>
          <w:bCs/>
        </w:rPr>
        <w:t>Evaluation</w:t>
      </w:r>
      <w:proofErr w:type="spellEnd"/>
      <w:r w:rsidRPr="00734D3B">
        <w:rPr>
          <w:b/>
          <w:bCs/>
        </w:rPr>
        <w:t xml:space="preserve"> </w:t>
      </w:r>
      <w:proofErr w:type="spellStart"/>
      <w:r w:rsidRPr="00734D3B">
        <w:rPr>
          <w:b/>
          <w:bCs/>
        </w:rPr>
        <w:t>of</w:t>
      </w:r>
      <w:proofErr w:type="spellEnd"/>
      <w:r w:rsidRPr="00734D3B">
        <w:rPr>
          <w:b/>
          <w:bCs/>
        </w:rPr>
        <w:t xml:space="preserve"> </w:t>
      </w:r>
      <w:proofErr w:type="spellStart"/>
      <w:r w:rsidRPr="00734D3B">
        <w:rPr>
          <w:b/>
          <w:bCs/>
        </w:rPr>
        <w:t>Environmental</w:t>
      </w:r>
      <w:proofErr w:type="spellEnd"/>
      <w:r w:rsidRPr="00734D3B">
        <w:rPr>
          <w:b/>
          <w:bCs/>
        </w:rPr>
        <w:t xml:space="preserve"> </w:t>
      </w:r>
      <w:proofErr w:type="spellStart"/>
      <w:r w:rsidRPr="00734D3B">
        <w:rPr>
          <w:b/>
          <w:bCs/>
        </w:rPr>
        <w:t>Risks</w:t>
      </w:r>
      <w:proofErr w:type="spellEnd"/>
      <w:r w:rsidRPr="00734D3B">
        <w:rPr>
          <w:b/>
          <w:bCs/>
        </w:rPr>
        <w:t xml:space="preserve"> in </w:t>
      </w:r>
      <w:proofErr w:type="spellStart"/>
      <w:r w:rsidRPr="00734D3B">
        <w:rPr>
          <w:b/>
          <w:bCs/>
        </w:rPr>
        <w:t>Electrical</w:t>
      </w:r>
      <w:proofErr w:type="spellEnd"/>
      <w:r w:rsidRPr="00734D3B">
        <w:rPr>
          <w:b/>
          <w:bCs/>
        </w:rPr>
        <w:t xml:space="preserve"> </w:t>
      </w:r>
      <w:proofErr w:type="spellStart"/>
      <w:r w:rsidRPr="00734D3B">
        <w:rPr>
          <w:b/>
          <w:bCs/>
        </w:rPr>
        <w:t>Activities</w:t>
      </w:r>
      <w:proofErr w:type="spellEnd"/>
      <w:r w:rsidR="00124C91" w:rsidRPr="00734D3B">
        <w:rPr>
          <w:b/>
          <w:bCs/>
        </w:rPr>
        <w:t>)</w:t>
      </w:r>
    </w:p>
    <w:p w14:paraId="500E5CA1" w14:textId="77777777" w:rsidR="00A34C20" w:rsidRPr="00734D3B" w:rsidRDefault="00135F3F" w:rsidP="00A34C20">
      <w:pPr>
        <w:rPr>
          <w:b/>
          <w:bCs/>
        </w:rPr>
      </w:pPr>
      <w:r w:rsidRPr="00734D3B">
        <w:rPr>
          <w:b/>
          <w:bCs/>
        </w:rPr>
        <w:t>1. Objetivo</w:t>
      </w:r>
      <w:r w:rsidR="00A34C20" w:rsidRPr="00734D3B">
        <w:rPr>
          <w:b/>
          <w:bCs/>
        </w:rPr>
        <w:t xml:space="preserve"> / </w:t>
      </w:r>
      <w:proofErr w:type="spellStart"/>
      <w:r w:rsidR="00A34C20" w:rsidRPr="00734D3B">
        <w:rPr>
          <w:b/>
          <w:bCs/>
        </w:rPr>
        <w:t>Objective</w:t>
      </w:r>
      <w:proofErr w:type="spellEnd"/>
      <w:r w:rsidR="00A34C20" w:rsidRPr="00734D3B">
        <w:rPr>
          <w:b/>
          <w:bCs/>
        </w:rPr>
        <w:t xml:space="preserve"> </w:t>
      </w:r>
    </w:p>
    <w:p w14:paraId="5B02B17E" w14:textId="77777777" w:rsidR="00135F3F" w:rsidRPr="00734D3B" w:rsidRDefault="00135F3F" w:rsidP="00135F3F">
      <w:r w:rsidRPr="00734D3B">
        <w:t>Guiar la correcta identificación y priorización de riesgos ambientales asociados a actividades eléctricas y al manejo de residuos eléctricos.</w:t>
      </w:r>
    </w:p>
    <w:p w14:paraId="116009D1" w14:textId="77777777" w:rsidR="00135F3F" w:rsidRPr="00734D3B" w:rsidRDefault="00135F3F" w:rsidP="00135F3F">
      <w:pPr>
        <w:rPr>
          <w:lang w:val="en-US"/>
        </w:rPr>
      </w:pPr>
      <w:r w:rsidRPr="00734D3B">
        <w:rPr>
          <w:lang w:val="en-US"/>
        </w:rPr>
        <w:lastRenderedPageBreak/>
        <w:t>Guide the proper identification and prioritization of environmental risks associated with electrical activities and the management of electrical waste.</w:t>
      </w:r>
    </w:p>
    <w:p w14:paraId="2C653EA4" w14:textId="787ABBE5" w:rsidR="00135F3F" w:rsidRPr="00734D3B" w:rsidRDefault="00135F3F" w:rsidP="00135F3F">
      <w:pPr>
        <w:rPr>
          <w:b/>
          <w:bCs/>
        </w:rPr>
      </w:pPr>
      <w:r w:rsidRPr="00734D3B">
        <w:rPr>
          <w:b/>
          <w:bCs/>
        </w:rPr>
        <w:t>2. Alcance</w:t>
      </w:r>
      <w:r w:rsidR="00A34C20" w:rsidRPr="00734D3B">
        <w:rPr>
          <w:b/>
          <w:bCs/>
        </w:rPr>
        <w:t xml:space="preserve"> </w:t>
      </w:r>
      <w:r w:rsidR="00AE2C25" w:rsidRPr="00734D3B">
        <w:rPr>
          <w:b/>
          <w:bCs/>
        </w:rPr>
        <w:t>/ Scope</w:t>
      </w:r>
    </w:p>
    <w:p w14:paraId="4320D765" w14:textId="77777777" w:rsidR="00135F3F" w:rsidRPr="00734D3B" w:rsidRDefault="00135F3F" w:rsidP="00135F3F">
      <w:r w:rsidRPr="00734D3B">
        <w:t>Aplica durante la fase de diagnóstico y planificación del proyecto eléctrico en data centers.</w:t>
      </w:r>
    </w:p>
    <w:p w14:paraId="5DF411E9" w14:textId="77777777" w:rsidR="00135F3F" w:rsidRPr="00734D3B" w:rsidRDefault="00135F3F" w:rsidP="00135F3F">
      <w:pPr>
        <w:rPr>
          <w:lang w:val="en-US"/>
        </w:rPr>
      </w:pPr>
      <w:r w:rsidRPr="00734D3B">
        <w:rPr>
          <w:lang w:val="en-US"/>
        </w:rPr>
        <w:t>Applies during the diagnostic and planning phases of electrical projects in data centers.</w:t>
      </w:r>
    </w:p>
    <w:p w14:paraId="79B42022" w14:textId="77777777" w:rsidR="00DE45DF" w:rsidRPr="00734D3B" w:rsidRDefault="00135F3F" w:rsidP="00DE45DF">
      <w:pPr>
        <w:rPr>
          <w:b/>
          <w:bCs/>
        </w:rPr>
      </w:pPr>
      <w:r w:rsidRPr="00734D3B">
        <w:rPr>
          <w:b/>
          <w:bCs/>
        </w:rPr>
        <w:t>3. Lineamientos operativos</w:t>
      </w:r>
      <w:r w:rsidR="00DE45DF" w:rsidRPr="00734D3B">
        <w:rPr>
          <w:b/>
          <w:bCs/>
        </w:rPr>
        <w:t xml:space="preserve"> / </w:t>
      </w:r>
      <w:proofErr w:type="spellStart"/>
      <w:r w:rsidR="00DE45DF" w:rsidRPr="00734D3B">
        <w:rPr>
          <w:b/>
          <w:bCs/>
        </w:rPr>
        <w:t>Operational</w:t>
      </w:r>
      <w:proofErr w:type="spellEnd"/>
      <w:r w:rsidR="00DE45DF" w:rsidRPr="00734D3B">
        <w:rPr>
          <w:b/>
          <w:bCs/>
        </w:rPr>
        <w:t xml:space="preserve"> </w:t>
      </w:r>
      <w:proofErr w:type="spellStart"/>
      <w:r w:rsidR="00DE45DF" w:rsidRPr="00734D3B">
        <w:rPr>
          <w:b/>
          <w:bCs/>
        </w:rPr>
        <w:t>Guidelines</w:t>
      </w:r>
      <w:proofErr w:type="spellEnd"/>
    </w:p>
    <w:p w14:paraId="37B168DB" w14:textId="77777777" w:rsidR="00135F3F" w:rsidRPr="00734D3B" w:rsidRDefault="00135F3F" w:rsidP="005E549C">
      <w:pPr>
        <w:pStyle w:val="ListParagraph"/>
        <w:numPr>
          <w:ilvl w:val="0"/>
          <w:numId w:val="65"/>
        </w:numPr>
      </w:pPr>
      <w:r w:rsidRPr="00734D3B">
        <w:t>Revisar el alcance eléctrico del proyecto y las actividades previstas.</w:t>
      </w:r>
    </w:p>
    <w:p w14:paraId="2C107233" w14:textId="77777777" w:rsidR="00135F3F" w:rsidRPr="00734D3B" w:rsidRDefault="00135F3F" w:rsidP="005E549C">
      <w:pPr>
        <w:pStyle w:val="ListParagraph"/>
        <w:numPr>
          <w:ilvl w:val="0"/>
          <w:numId w:val="65"/>
        </w:numPr>
        <w:rPr>
          <w:lang w:val="en-US"/>
        </w:rPr>
      </w:pPr>
      <w:r w:rsidRPr="00734D3B">
        <w:rPr>
          <w:lang w:val="en-US"/>
        </w:rPr>
        <w:t>Review the electrical scope of the project and the planned activities.</w:t>
      </w:r>
    </w:p>
    <w:p w14:paraId="0DF9E3CD" w14:textId="77777777" w:rsidR="00135F3F" w:rsidRPr="00734D3B" w:rsidRDefault="00135F3F" w:rsidP="005E549C">
      <w:pPr>
        <w:pStyle w:val="ListParagraph"/>
        <w:numPr>
          <w:ilvl w:val="0"/>
          <w:numId w:val="65"/>
        </w:numPr>
      </w:pPr>
      <w:r w:rsidRPr="00734D3B">
        <w:t>Identificar puntos de generación de residuos eléctricos y RAEE.</w:t>
      </w:r>
    </w:p>
    <w:p w14:paraId="46A4D7B6" w14:textId="77777777" w:rsidR="00135F3F" w:rsidRPr="00734D3B" w:rsidRDefault="00135F3F" w:rsidP="005E549C">
      <w:pPr>
        <w:pStyle w:val="ListParagraph"/>
        <w:numPr>
          <w:ilvl w:val="0"/>
          <w:numId w:val="65"/>
        </w:numPr>
        <w:rPr>
          <w:lang w:val="en-US"/>
        </w:rPr>
      </w:pPr>
      <w:r w:rsidRPr="00734D3B">
        <w:rPr>
          <w:lang w:val="en-US"/>
        </w:rPr>
        <w:t>Identify points where electrical waste and WEEE/RAEE are generated.</w:t>
      </w:r>
    </w:p>
    <w:p w14:paraId="3CF42959" w14:textId="77777777" w:rsidR="00135F3F" w:rsidRPr="00734D3B" w:rsidRDefault="00135F3F" w:rsidP="005E549C">
      <w:pPr>
        <w:pStyle w:val="ListParagraph"/>
        <w:numPr>
          <w:ilvl w:val="0"/>
          <w:numId w:val="65"/>
        </w:numPr>
      </w:pPr>
      <w:r w:rsidRPr="00734D3B">
        <w:t>Evaluar cada riesgo considerando probabilidad, impacto ambiental y fase del proyecto.</w:t>
      </w:r>
    </w:p>
    <w:p w14:paraId="7DE31910" w14:textId="77777777" w:rsidR="00135F3F" w:rsidRPr="00734D3B" w:rsidRDefault="00135F3F" w:rsidP="002358D9">
      <w:pPr>
        <w:pStyle w:val="ListParagraph"/>
        <w:numPr>
          <w:ilvl w:val="0"/>
          <w:numId w:val="65"/>
        </w:numPr>
        <w:rPr>
          <w:lang w:val="en-US"/>
        </w:rPr>
      </w:pPr>
      <w:r w:rsidRPr="00734D3B">
        <w:rPr>
          <w:lang w:val="en-US"/>
        </w:rPr>
        <w:t>Evaluate each risk considering probability, environmental impact, and the project phase.</w:t>
      </w:r>
    </w:p>
    <w:p w14:paraId="0C4583EF" w14:textId="77777777" w:rsidR="00135F3F" w:rsidRPr="00734D3B" w:rsidRDefault="00135F3F" w:rsidP="002358D9">
      <w:pPr>
        <w:pStyle w:val="ListParagraph"/>
        <w:numPr>
          <w:ilvl w:val="0"/>
          <w:numId w:val="65"/>
        </w:numPr>
      </w:pPr>
      <w:r w:rsidRPr="00734D3B">
        <w:t>Registrar riesgos críticos en el Formulario de Diagnóstico Ambiental.</w:t>
      </w:r>
    </w:p>
    <w:p w14:paraId="61E32AE2" w14:textId="77777777" w:rsidR="00135F3F" w:rsidRPr="00734D3B" w:rsidRDefault="00135F3F" w:rsidP="002358D9">
      <w:pPr>
        <w:pStyle w:val="ListParagraph"/>
        <w:numPr>
          <w:ilvl w:val="0"/>
          <w:numId w:val="65"/>
        </w:numPr>
        <w:rPr>
          <w:lang w:val="en-US"/>
        </w:rPr>
      </w:pPr>
      <w:r w:rsidRPr="00734D3B">
        <w:rPr>
          <w:lang w:val="en-US"/>
        </w:rPr>
        <w:t>Record critical risks in the Environmental Diagnostic Form.</w:t>
      </w:r>
    </w:p>
    <w:p w14:paraId="62F10FBE" w14:textId="77777777" w:rsidR="00135F3F" w:rsidRPr="00734D3B" w:rsidRDefault="00135F3F" w:rsidP="002358D9">
      <w:pPr>
        <w:pStyle w:val="ListParagraph"/>
        <w:numPr>
          <w:ilvl w:val="0"/>
          <w:numId w:val="65"/>
        </w:numPr>
      </w:pPr>
      <w:r w:rsidRPr="00734D3B">
        <w:t>Definir controles preventivos iniciales que alimenten el POE y los KPI.</w:t>
      </w:r>
    </w:p>
    <w:p w14:paraId="54F5DE96" w14:textId="77777777" w:rsidR="00135F3F" w:rsidRPr="00734D3B" w:rsidRDefault="00135F3F" w:rsidP="002358D9">
      <w:pPr>
        <w:pStyle w:val="ListParagraph"/>
        <w:numPr>
          <w:ilvl w:val="0"/>
          <w:numId w:val="65"/>
        </w:numPr>
        <w:rPr>
          <w:lang w:val="en-US"/>
        </w:rPr>
      </w:pPr>
      <w:r w:rsidRPr="00734D3B">
        <w:rPr>
          <w:lang w:val="en-US"/>
        </w:rPr>
        <w:t>Define initial preventive controls that will serve as inputs for the SOP and KPIs.</w:t>
      </w:r>
    </w:p>
    <w:p w14:paraId="77691647" w14:textId="77777777" w:rsidR="00135F3F" w:rsidRPr="00734D3B" w:rsidRDefault="00135F3F" w:rsidP="00135F3F">
      <w:pPr>
        <w:rPr>
          <w:b/>
          <w:bCs/>
        </w:rPr>
      </w:pPr>
      <w:r w:rsidRPr="00734D3B">
        <w:rPr>
          <w:b/>
          <w:bCs/>
          <w:lang w:val="en-US"/>
        </w:rPr>
        <w:t xml:space="preserve">4. </w:t>
      </w:r>
      <w:r w:rsidRPr="00734D3B">
        <w:rPr>
          <w:b/>
          <w:bCs/>
        </w:rPr>
        <w:t>Resultados esperados / Outputs</w:t>
      </w:r>
    </w:p>
    <w:p w14:paraId="15889051" w14:textId="77777777" w:rsidR="00135F3F" w:rsidRPr="00734D3B" w:rsidRDefault="00135F3F" w:rsidP="005E549C">
      <w:pPr>
        <w:pStyle w:val="ListParagraph"/>
        <w:numPr>
          <w:ilvl w:val="0"/>
          <w:numId w:val="67"/>
        </w:numPr>
      </w:pPr>
      <w:r w:rsidRPr="00734D3B">
        <w:t>Diagnóstico ambiental inicial completo</w:t>
      </w:r>
    </w:p>
    <w:p w14:paraId="331523E8" w14:textId="77777777" w:rsidR="00135F3F" w:rsidRPr="00734D3B" w:rsidRDefault="00135F3F" w:rsidP="005E549C">
      <w:pPr>
        <w:pStyle w:val="ListParagraph"/>
        <w:numPr>
          <w:ilvl w:val="0"/>
          <w:numId w:val="67"/>
        </w:numPr>
      </w:pPr>
      <w:r w:rsidRPr="00734D3B">
        <w:t>Listado priorizado de riesgos ambientales</w:t>
      </w:r>
    </w:p>
    <w:p w14:paraId="4D0F42C3" w14:textId="77777777" w:rsidR="00135F3F" w:rsidRPr="00734D3B" w:rsidRDefault="00135F3F" w:rsidP="005E549C">
      <w:pPr>
        <w:pStyle w:val="ListParagraph"/>
        <w:numPr>
          <w:ilvl w:val="0"/>
          <w:numId w:val="67"/>
        </w:numPr>
      </w:pPr>
      <w:r w:rsidRPr="00734D3B">
        <w:t>Base técnica para KPI y auditorías</w:t>
      </w:r>
    </w:p>
    <w:p w14:paraId="3C73EE00" w14:textId="77777777" w:rsidR="00135F3F" w:rsidRPr="00734D3B" w:rsidRDefault="00135F3F" w:rsidP="005E549C">
      <w:pPr>
        <w:pStyle w:val="ListParagraph"/>
        <w:numPr>
          <w:ilvl w:val="0"/>
          <w:numId w:val="67"/>
        </w:numPr>
        <w:rPr>
          <w:lang w:val="en-US"/>
        </w:rPr>
      </w:pPr>
      <w:r w:rsidRPr="00734D3B">
        <w:rPr>
          <w:lang w:val="en-US"/>
        </w:rPr>
        <w:t xml:space="preserve">Complete initial environmental diagnosis </w:t>
      </w:r>
    </w:p>
    <w:p w14:paraId="467E5B87" w14:textId="77777777" w:rsidR="00135F3F" w:rsidRPr="00734D3B" w:rsidRDefault="00135F3F" w:rsidP="005E549C">
      <w:pPr>
        <w:pStyle w:val="ListParagraph"/>
        <w:numPr>
          <w:ilvl w:val="0"/>
          <w:numId w:val="67"/>
        </w:numPr>
        <w:rPr>
          <w:lang w:val="en-US"/>
        </w:rPr>
      </w:pPr>
      <w:r w:rsidRPr="00734D3B">
        <w:rPr>
          <w:lang w:val="en-US"/>
        </w:rPr>
        <w:lastRenderedPageBreak/>
        <w:t xml:space="preserve">Prioritized list of environmental risks </w:t>
      </w:r>
    </w:p>
    <w:p w14:paraId="788A2899" w14:textId="77777777" w:rsidR="00135F3F" w:rsidRPr="00734D3B" w:rsidRDefault="00135F3F" w:rsidP="005E549C">
      <w:pPr>
        <w:pStyle w:val="ListParagraph"/>
        <w:numPr>
          <w:ilvl w:val="0"/>
          <w:numId w:val="67"/>
        </w:numPr>
        <w:rPr>
          <w:lang w:val="en-US"/>
        </w:rPr>
      </w:pPr>
      <w:r w:rsidRPr="00734D3B">
        <w:rPr>
          <w:lang w:val="en-US"/>
        </w:rPr>
        <w:t>Technical basis for KPIs and environmental audits</w:t>
      </w:r>
    </w:p>
    <w:p w14:paraId="67447EA0" w14:textId="77777777" w:rsidR="00135F3F" w:rsidRPr="00734D3B" w:rsidRDefault="00135F3F" w:rsidP="00135F3F">
      <w:pPr>
        <w:rPr>
          <w:lang w:val="en-US"/>
        </w:rPr>
      </w:pPr>
    </w:p>
    <w:p w14:paraId="49BAA281" w14:textId="089F16FE" w:rsidR="00135F3F" w:rsidRPr="00734D3B" w:rsidRDefault="00135F3F" w:rsidP="00135F3F">
      <w:pPr>
        <w:rPr>
          <w:b/>
          <w:bCs/>
        </w:rPr>
      </w:pPr>
      <w:r w:rsidRPr="00734D3B">
        <w:rPr>
          <w:b/>
          <w:bCs/>
        </w:rPr>
        <w:t>4.</w:t>
      </w:r>
      <w:r w:rsidR="00DE69A2" w:rsidRPr="00734D3B">
        <w:rPr>
          <w:b/>
          <w:bCs/>
        </w:rPr>
        <w:t>3</w:t>
      </w:r>
      <w:r w:rsidRPr="00734D3B">
        <w:rPr>
          <w:b/>
          <w:bCs/>
        </w:rPr>
        <w:t>.</w:t>
      </w:r>
      <w:r w:rsidR="004E4845" w:rsidRPr="00734D3B">
        <w:rPr>
          <w:b/>
          <w:bCs/>
        </w:rPr>
        <w:t>7</w:t>
      </w:r>
      <w:r w:rsidRPr="00734D3B">
        <w:rPr>
          <w:b/>
          <w:bCs/>
        </w:rPr>
        <w:t xml:space="preserve"> Guía operativa para la ejecución de auditorías ambientales en proyectos eléctricos</w:t>
      </w:r>
    </w:p>
    <w:p w14:paraId="17F91BA9" w14:textId="77777777" w:rsidR="00135F3F" w:rsidRPr="00734D3B" w:rsidRDefault="00135F3F" w:rsidP="00135F3F">
      <w:pPr>
        <w:rPr>
          <w:b/>
          <w:bCs/>
          <w:lang w:val="en-US"/>
        </w:rPr>
      </w:pPr>
      <w:r w:rsidRPr="00734D3B">
        <w:rPr>
          <w:b/>
          <w:bCs/>
          <w:lang w:val="en-US"/>
        </w:rPr>
        <w:t>Operational Guide for the Execution of Environmental Audits in Electrical Projects</w:t>
      </w:r>
    </w:p>
    <w:p w14:paraId="4AA6F258" w14:textId="77777777" w:rsidR="00135F3F" w:rsidRPr="00734D3B" w:rsidRDefault="00135F3F" w:rsidP="00135F3F">
      <w:pPr>
        <w:rPr>
          <w:b/>
          <w:bCs/>
          <w:lang w:val="en-US"/>
        </w:rPr>
      </w:pPr>
    </w:p>
    <w:p w14:paraId="01ABEC8B" w14:textId="4AE73172" w:rsidR="00135F3F" w:rsidRPr="00734D3B" w:rsidRDefault="00135F3F" w:rsidP="00135F3F">
      <w:pPr>
        <w:rPr>
          <w:b/>
          <w:bCs/>
        </w:rPr>
      </w:pPr>
      <w:r w:rsidRPr="00734D3B">
        <w:rPr>
          <w:b/>
          <w:bCs/>
        </w:rPr>
        <w:t>1. Objetivo</w:t>
      </w:r>
      <w:r w:rsidR="00FF132B" w:rsidRPr="00734D3B">
        <w:rPr>
          <w:b/>
          <w:bCs/>
        </w:rPr>
        <w:t xml:space="preserve"> / </w:t>
      </w:r>
      <w:proofErr w:type="spellStart"/>
      <w:r w:rsidR="00FF132B" w:rsidRPr="00734D3B">
        <w:rPr>
          <w:b/>
          <w:bCs/>
        </w:rPr>
        <w:t>Objective</w:t>
      </w:r>
      <w:proofErr w:type="spellEnd"/>
    </w:p>
    <w:p w14:paraId="3B9E4A6B" w14:textId="77777777" w:rsidR="00135F3F" w:rsidRPr="00734D3B" w:rsidRDefault="00135F3F" w:rsidP="00135F3F">
      <w:r w:rsidRPr="00734D3B">
        <w:t>Guiar la ejecución ordenada y consistente de auditorías ambientales al alcance eléctrico del proyecto.</w:t>
      </w:r>
    </w:p>
    <w:p w14:paraId="4299AE02" w14:textId="77777777" w:rsidR="00135F3F" w:rsidRPr="00734D3B" w:rsidRDefault="00135F3F" w:rsidP="00135F3F">
      <w:pPr>
        <w:rPr>
          <w:lang w:val="en-US"/>
        </w:rPr>
      </w:pPr>
      <w:r w:rsidRPr="00734D3B">
        <w:rPr>
          <w:lang w:val="en-US"/>
        </w:rPr>
        <w:t>Guide the orderly and consistent execution of environmental audits within the electrical scope of the project.</w:t>
      </w:r>
    </w:p>
    <w:p w14:paraId="1CB569FB" w14:textId="6917F5DC" w:rsidR="00135F3F" w:rsidRPr="00734D3B" w:rsidRDefault="00135F3F" w:rsidP="00135F3F">
      <w:pPr>
        <w:rPr>
          <w:b/>
          <w:bCs/>
        </w:rPr>
      </w:pPr>
      <w:r w:rsidRPr="00734D3B">
        <w:rPr>
          <w:b/>
          <w:bCs/>
        </w:rPr>
        <w:t>2. Alcance</w:t>
      </w:r>
      <w:r w:rsidR="00FF132B" w:rsidRPr="00734D3B">
        <w:rPr>
          <w:b/>
          <w:bCs/>
        </w:rPr>
        <w:t xml:space="preserve"> / Scope</w:t>
      </w:r>
    </w:p>
    <w:p w14:paraId="76AF8132" w14:textId="77777777" w:rsidR="00135F3F" w:rsidRPr="00734D3B" w:rsidRDefault="00135F3F" w:rsidP="00135F3F">
      <w:r w:rsidRPr="00734D3B">
        <w:t xml:space="preserve">Aplica durante la fase de ejecución y </w:t>
      </w:r>
      <w:proofErr w:type="spellStart"/>
      <w:r w:rsidRPr="00734D3B">
        <w:t>comisionamiento</w:t>
      </w:r>
      <w:proofErr w:type="spellEnd"/>
      <w:r w:rsidRPr="00734D3B">
        <w:t xml:space="preserve"> del proyecto.</w:t>
      </w:r>
    </w:p>
    <w:p w14:paraId="45FC5226" w14:textId="77777777" w:rsidR="00135F3F" w:rsidRPr="00734D3B" w:rsidRDefault="00135F3F" w:rsidP="00135F3F">
      <w:pPr>
        <w:rPr>
          <w:lang w:val="en-US"/>
        </w:rPr>
      </w:pPr>
      <w:r w:rsidRPr="00734D3B">
        <w:rPr>
          <w:lang w:val="en-US"/>
        </w:rPr>
        <w:t>Applies during the execution and commissioning phases of the electrical project.</w:t>
      </w:r>
    </w:p>
    <w:p w14:paraId="7BE866B9" w14:textId="24635E54" w:rsidR="00135F3F" w:rsidRPr="00734D3B" w:rsidRDefault="00135F3F" w:rsidP="00135F3F">
      <w:pPr>
        <w:rPr>
          <w:b/>
          <w:bCs/>
          <w:lang w:val="en-US"/>
        </w:rPr>
      </w:pPr>
      <w:r w:rsidRPr="00734D3B">
        <w:rPr>
          <w:b/>
          <w:bCs/>
          <w:lang w:val="en-US"/>
        </w:rPr>
        <w:t xml:space="preserve">3. Lineamientos </w:t>
      </w:r>
      <w:proofErr w:type="spellStart"/>
      <w:r w:rsidRPr="00734D3B">
        <w:rPr>
          <w:b/>
          <w:bCs/>
          <w:lang w:val="en-US"/>
        </w:rPr>
        <w:t>operativos</w:t>
      </w:r>
      <w:proofErr w:type="spellEnd"/>
      <w:r w:rsidR="00FF132B" w:rsidRPr="00734D3B">
        <w:rPr>
          <w:b/>
          <w:bCs/>
          <w:lang w:val="en-US"/>
        </w:rPr>
        <w:t xml:space="preserve"> </w:t>
      </w:r>
      <w:r w:rsidR="00FF132B" w:rsidRPr="00734D3B">
        <w:rPr>
          <w:b/>
          <w:bCs/>
        </w:rPr>
        <w:t xml:space="preserve">/ </w:t>
      </w:r>
      <w:proofErr w:type="spellStart"/>
      <w:r w:rsidR="00FF132B" w:rsidRPr="00734D3B">
        <w:rPr>
          <w:b/>
          <w:bCs/>
        </w:rPr>
        <w:t>Operational</w:t>
      </w:r>
      <w:proofErr w:type="spellEnd"/>
      <w:r w:rsidR="00FF132B" w:rsidRPr="00734D3B">
        <w:rPr>
          <w:b/>
          <w:bCs/>
        </w:rPr>
        <w:t xml:space="preserve"> </w:t>
      </w:r>
      <w:proofErr w:type="spellStart"/>
      <w:r w:rsidR="00FF132B" w:rsidRPr="00734D3B">
        <w:rPr>
          <w:b/>
          <w:bCs/>
        </w:rPr>
        <w:t>Guidelines</w:t>
      </w:r>
      <w:proofErr w:type="spellEnd"/>
    </w:p>
    <w:p w14:paraId="1DB9CF21" w14:textId="77777777" w:rsidR="00135F3F" w:rsidRPr="00734D3B" w:rsidRDefault="00135F3F" w:rsidP="005E549C">
      <w:pPr>
        <w:pStyle w:val="ListParagraph"/>
        <w:numPr>
          <w:ilvl w:val="0"/>
          <w:numId w:val="68"/>
        </w:numPr>
      </w:pPr>
      <w:r w:rsidRPr="00734D3B">
        <w:t>Definir el alcance de la auditoría (residuos, registros, cumplimiento del POE).</w:t>
      </w:r>
    </w:p>
    <w:p w14:paraId="7C4BEBA4" w14:textId="77777777" w:rsidR="00135F3F" w:rsidRPr="00734D3B" w:rsidRDefault="00135F3F" w:rsidP="005E549C">
      <w:pPr>
        <w:pStyle w:val="ListParagraph"/>
        <w:numPr>
          <w:ilvl w:val="0"/>
          <w:numId w:val="68"/>
        </w:numPr>
      </w:pPr>
      <w:r w:rsidRPr="00734D3B">
        <w:t>Revisar evidencias documentales y condiciones en campo.</w:t>
      </w:r>
    </w:p>
    <w:p w14:paraId="079BFDCC" w14:textId="77777777" w:rsidR="00135F3F" w:rsidRPr="00734D3B" w:rsidRDefault="00135F3F" w:rsidP="005E549C">
      <w:pPr>
        <w:pStyle w:val="ListParagraph"/>
        <w:numPr>
          <w:ilvl w:val="0"/>
          <w:numId w:val="68"/>
        </w:numPr>
      </w:pPr>
      <w:r w:rsidRPr="00734D3B">
        <w:t xml:space="preserve">Registrar hallazgos en el </w:t>
      </w:r>
      <w:proofErr w:type="spellStart"/>
      <w:r w:rsidRPr="00734D3B">
        <w:t>Template</w:t>
      </w:r>
      <w:proofErr w:type="spellEnd"/>
      <w:r w:rsidRPr="00734D3B">
        <w:t xml:space="preserve"> de Auditoría Ambiental.</w:t>
      </w:r>
    </w:p>
    <w:p w14:paraId="06644179" w14:textId="77777777" w:rsidR="00135F3F" w:rsidRPr="00734D3B" w:rsidRDefault="00135F3F" w:rsidP="005E549C">
      <w:pPr>
        <w:pStyle w:val="ListParagraph"/>
        <w:numPr>
          <w:ilvl w:val="0"/>
          <w:numId w:val="68"/>
        </w:numPr>
      </w:pPr>
      <w:r w:rsidRPr="00734D3B">
        <w:t>Clasificar hallazgos en no conformidades, observaciones u oportunidades de mejora.</w:t>
      </w:r>
    </w:p>
    <w:p w14:paraId="4F306193" w14:textId="77777777" w:rsidR="00135F3F" w:rsidRPr="00734D3B" w:rsidRDefault="00135F3F" w:rsidP="005E549C">
      <w:pPr>
        <w:pStyle w:val="ListParagraph"/>
        <w:numPr>
          <w:ilvl w:val="0"/>
          <w:numId w:val="68"/>
        </w:numPr>
      </w:pPr>
      <w:r w:rsidRPr="00734D3B">
        <w:t>Comunicar resultados a responsables definidos en el RACI.</w:t>
      </w:r>
    </w:p>
    <w:p w14:paraId="674847A0" w14:textId="603F8465" w:rsidR="00135F3F" w:rsidRPr="00734D3B" w:rsidRDefault="00135F3F" w:rsidP="005E549C">
      <w:pPr>
        <w:pStyle w:val="ListParagraph"/>
        <w:numPr>
          <w:ilvl w:val="0"/>
          <w:numId w:val="68"/>
        </w:numPr>
        <w:rPr>
          <w:lang w:val="en-US"/>
        </w:rPr>
      </w:pPr>
      <w:r w:rsidRPr="00734D3B">
        <w:rPr>
          <w:lang w:val="en-US"/>
        </w:rPr>
        <w:t>Define the scope of the audit (waste management, records, and compliance</w:t>
      </w:r>
      <w:r w:rsidR="00815E0B" w:rsidRPr="00734D3B">
        <w:rPr>
          <w:lang w:val="en-US"/>
        </w:rPr>
        <w:t>)</w:t>
      </w:r>
      <w:r w:rsidRPr="00734D3B">
        <w:rPr>
          <w:lang w:val="en-US"/>
        </w:rPr>
        <w:t xml:space="preserve"> </w:t>
      </w:r>
    </w:p>
    <w:p w14:paraId="5AF0B225" w14:textId="0E06CFCD" w:rsidR="00135F3F" w:rsidRPr="00734D3B" w:rsidRDefault="00135F3F" w:rsidP="005E549C">
      <w:pPr>
        <w:pStyle w:val="ListParagraph"/>
        <w:numPr>
          <w:ilvl w:val="0"/>
          <w:numId w:val="68"/>
        </w:numPr>
        <w:rPr>
          <w:lang w:val="en-US"/>
        </w:rPr>
      </w:pPr>
      <w:r w:rsidRPr="00734D3B">
        <w:rPr>
          <w:lang w:val="en-US"/>
        </w:rPr>
        <w:t xml:space="preserve">Review documentary evidence and on-site field conditions. </w:t>
      </w:r>
    </w:p>
    <w:p w14:paraId="5EEF1A4B" w14:textId="5EE4D519" w:rsidR="00135F3F" w:rsidRPr="00734D3B" w:rsidRDefault="00135F3F" w:rsidP="005E549C">
      <w:pPr>
        <w:pStyle w:val="ListParagraph"/>
        <w:numPr>
          <w:ilvl w:val="0"/>
          <w:numId w:val="68"/>
        </w:numPr>
        <w:rPr>
          <w:lang w:val="en-US"/>
        </w:rPr>
      </w:pPr>
      <w:r w:rsidRPr="00734D3B">
        <w:rPr>
          <w:lang w:val="en-US"/>
        </w:rPr>
        <w:t xml:space="preserve">Record findings in the Environmental Audit Template. </w:t>
      </w:r>
    </w:p>
    <w:p w14:paraId="15D09BD2" w14:textId="4252E126" w:rsidR="00135F3F" w:rsidRPr="00734D3B" w:rsidRDefault="00135F3F" w:rsidP="005E549C">
      <w:pPr>
        <w:pStyle w:val="ListParagraph"/>
        <w:numPr>
          <w:ilvl w:val="0"/>
          <w:numId w:val="68"/>
        </w:numPr>
        <w:rPr>
          <w:lang w:val="en-US"/>
        </w:rPr>
      </w:pPr>
      <w:r w:rsidRPr="00734D3B">
        <w:rPr>
          <w:lang w:val="en-US"/>
        </w:rPr>
        <w:lastRenderedPageBreak/>
        <w:t xml:space="preserve">Classify findings as non-conformances, observations, or improvement opportunities. </w:t>
      </w:r>
    </w:p>
    <w:p w14:paraId="7EF68254" w14:textId="0AC0136F" w:rsidR="00135F3F" w:rsidRPr="00734D3B" w:rsidRDefault="00135F3F" w:rsidP="005E549C">
      <w:pPr>
        <w:pStyle w:val="ListParagraph"/>
        <w:numPr>
          <w:ilvl w:val="0"/>
          <w:numId w:val="68"/>
        </w:numPr>
        <w:rPr>
          <w:lang w:val="en-US"/>
        </w:rPr>
      </w:pPr>
      <w:r w:rsidRPr="00734D3B">
        <w:rPr>
          <w:lang w:val="en-US"/>
        </w:rPr>
        <w:t>Communicate audit results to the responsible parties defined in the RACI Matrix.</w:t>
      </w:r>
    </w:p>
    <w:p w14:paraId="51F2D5D0" w14:textId="77777777" w:rsidR="00135F3F" w:rsidRPr="00734D3B" w:rsidRDefault="00135F3F" w:rsidP="00135F3F">
      <w:pPr>
        <w:rPr>
          <w:b/>
          <w:bCs/>
          <w:lang w:val="en-US"/>
        </w:rPr>
      </w:pPr>
      <w:r w:rsidRPr="00734D3B">
        <w:rPr>
          <w:b/>
          <w:bCs/>
          <w:lang w:val="en-US"/>
        </w:rPr>
        <w:t xml:space="preserve">4. </w:t>
      </w:r>
      <w:proofErr w:type="spellStart"/>
      <w:r w:rsidRPr="00734D3B">
        <w:rPr>
          <w:b/>
          <w:bCs/>
          <w:lang w:val="en-US"/>
        </w:rPr>
        <w:t>Resultados</w:t>
      </w:r>
      <w:proofErr w:type="spellEnd"/>
      <w:r w:rsidRPr="00734D3B">
        <w:rPr>
          <w:b/>
          <w:bCs/>
          <w:lang w:val="en-US"/>
        </w:rPr>
        <w:t xml:space="preserve"> </w:t>
      </w:r>
      <w:proofErr w:type="spellStart"/>
      <w:r w:rsidRPr="00734D3B">
        <w:rPr>
          <w:b/>
          <w:bCs/>
          <w:lang w:val="en-US"/>
        </w:rPr>
        <w:t>esperados</w:t>
      </w:r>
      <w:proofErr w:type="spellEnd"/>
      <w:r w:rsidRPr="00734D3B">
        <w:rPr>
          <w:b/>
          <w:bCs/>
          <w:lang w:val="en-US"/>
        </w:rPr>
        <w:t xml:space="preserve"> / Outputs</w:t>
      </w:r>
    </w:p>
    <w:p w14:paraId="6C016BCB" w14:textId="77777777" w:rsidR="00135F3F" w:rsidRPr="00734D3B" w:rsidRDefault="00135F3F" w:rsidP="007C5BE8">
      <w:pPr>
        <w:pStyle w:val="ListParagraph"/>
        <w:numPr>
          <w:ilvl w:val="0"/>
          <w:numId w:val="69"/>
        </w:numPr>
        <w:rPr>
          <w:lang w:val="en-US"/>
        </w:rPr>
      </w:pPr>
      <w:proofErr w:type="spellStart"/>
      <w:r w:rsidRPr="00734D3B">
        <w:rPr>
          <w:lang w:val="en-US"/>
        </w:rPr>
        <w:t>Auditorías</w:t>
      </w:r>
      <w:proofErr w:type="spellEnd"/>
      <w:r w:rsidRPr="00734D3B">
        <w:rPr>
          <w:lang w:val="en-US"/>
        </w:rPr>
        <w:t xml:space="preserve"> </w:t>
      </w:r>
      <w:proofErr w:type="spellStart"/>
      <w:r w:rsidRPr="00734D3B">
        <w:rPr>
          <w:lang w:val="en-US"/>
        </w:rPr>
        <w:t>estructuradas</w:t>
      </w:r>
      <w:proofErr w:type="spellEnd"/>
      <w:r w:rsidRPr="00734D3B">
        <w:rPr>
          <w:lang w:val="en-US"/>
        </w:rPr>
        <w:t xml:space="preserve"> y </w:t>
      </w:r>
      <w:proofErr w:type="spellStart"/>
      <w:r w:rsidRPr="00734D3B">
        <w:rPr>
          <w:lang w:val="en-US"/>
        </w:rPr>
        <w:t>replicables</w:t>
      </w:r>
      <w:proofErr w:type="spellEnd"/>
    </w:p>
    <w:p w14:paraId="0D9145C8" w14:textId="77777777" w:rsidR="00135F3F" w:rsidRPr="00734D3B" w:rsidRDefault="00135F3F" w:rsidP="007C5BE8">
      <w:pPr>
        <w:pStyle w:val="ListParagraph"/>
        <w:numPr>
          <w:ilvl w:val="0"/>
          <w:numId w:val="69"/>
        </w:numPr>
        <w:rPr>
          <w:lang w:val="en-US"/>
        </w:rPr>
      </w:pPr>
      <w:proofErr w:type="spellStart"/>
      <w:r w:rsidRPr="00734D3B">
        <w:rPr>
          <w:lang w:val="en-US"/>
        </w:rPr>
        <w:t>Detección</w:t>
      </w:r>
      <w:proofErr w:type="spellEnd"/>
      <w:r w:rsidRPr="00734D3B">
        <w:rPr>
          <w:lang w:val="en-US"/>
        </w:rPr>
        <w:t xml:space="preserve"> </w:t>
      </w:r>
      <w:proofErr w:type="spellStart"/>
      <w:r w:rsidRPr="00734D3B">
        <w:rPr>
          <w:lang w:val="en-US"/>
        </w:rPr>
        <w:t>temprana</w:t>
      </w:r>
      <w:proofErr w:type="spellEnd"/>
      <w:r w:rsidRPr="00734D3B">
        <w:rPr>
          <w:lang w:val="en-US"/>
        </w:rPr>
        <w:t xml:space="preserve"> de </w:t>
      </w:r>
      <w:proofErr w:type="spellStart"/>
      <w:r w:rsidRPr="00734D3B">
        <w:rPr>
          <w:lang w:val="en-US"/>
        </w:rPr>
        <w:t>desviaciones</w:t>
      </w:r>
      <w:proofErr w:type="spellEnd"/>
    </w:p>
    <w:p w14:paraId="192EC706" w14:textId="77777777" w:rsidR="00135F3F" w:rsidRPr="00734D3B" w:rsidRDefault="00135F3F" w:rsidP="007C5BE8">
      <w:pPr>
        <w:pStyle w:val="ListParagraph"/>
        <w:numPr>
          <w:ilvl w:val="0"/>
          <w:numId w:val="69"/>
        </w:numPr>
        <w:rPr>
          <w:lang w:val="en-US"/>
        </w:rPr>
      </w:pPr>
      <w:proofErr w:type="spellStart"/>
      <w:r w:rsidRPr="00734D3B">
        <w:rPr>
          <w:lang w:val="en-US"/>
        </w:rPr>
        <w:t>Insumos</w:t>
      </w:r>
      <w:proofErr w:type="spellEnd"/>
      <w:r w:rsidRPr="00734D3B">
        <w:rPr>
          <w:lang w:val="en-US"/>
        </w:rPr>
        <w:t xml:space="preserve"> para </w:t>
      </w:r>
      <w:proofErr w:type="spellStart"/>
      <w:r w:rsidRPr="00734D3B">
        <w:rPr>
          <w:lang w:val="en-US"/>
        </w:rPr>
        <w:t>acciones</w:t>
      </w:r>
      <w:proofErr w:type="spellEnd"/>
      <w:r w:rsidRPr="00734D3B">
        <w:rPr>
          <w:lang w:val="en-US"/>
        </w:rPr>
        <w:t xml:space="preserve"> </w:t>
      </w:r>
      <w:proofErr w:type="spellStart"/>
      <w:r w:rsidRPr="00734D3B">
        <w:rPr>
          <w:lang w:val="en-US"/>
        </w:rPr>
        <w:t>correctivas</w:t>
      </w:r>
      <w:proofErr w:type="spellEnd"/>
    </w:p>
    <w:p w14:paraId="3FD5C023" w14:textId="77777777" w:rsidR="00135F3F" w:rsidRPr="00734D3B" w:rsidRDefault="00135F3F" w:rsidP="007C5BE8">
      <w:pPr>
        <w:pStyle w:val="ListParagraph"/>
        <w:numPr>
          <w:ilvl w:val="0"/>
          <w:numId w:val="69"/>
        </w:numPr>
        <w:rPr>
          <w:lang w:val="en-US"/>
        </w:rPr>
      </w:pPr>
      <w:r w:rsidRPr="00734D3B">
        <w:rPr>
          <w:lang w:val="en-US"/>
        </w:rPr>
        <w:t xml:space="preserve">Structured and replicable environmental audits </w:t>
      </w:r>
    </w:p>
    <w:p w14:paraId="0638D809" w14:textId="77777777" w:rsidR="00135F3F" w:rsidRPr="00734D3B" w:rsidRDefault="00135F3F" w:rsidP="007C5BE8">
      <w:pPr>
        <w:pStyle w:val="ListParagraph"/>
        <w:numPr>
          <w:ilvl w:val="0"/>
          <w:numId w:val="69"/>
        </w:numPr>
        <w:rPr>
          <w:lang w:val="en-US"/>
        </w:rPr>
      </w:pPr>
      <w:r w:rsidRPr="00734D3B">
        <w:rPr>
          <w:lang w:val="en-US"/>
        </w:rPr>
        <w:t xml:space="preserve">Early detection of deviations </w:t>
      </w:r>
    </w:p>
    <w:p w14:paraId="4DC4722A" w14:textId="77777777" w:rsidR="00135F3F" w:rsidRPr="00734D3B" w:rsidRDefault="00135F3F" w:rsidP="007C5BE8">
      <w:pPr>
        <w:pStyle w:val="ListParagraph"/>
        <w:numPr>
          <w:ilvl w:val="0"/>
          <w:numId w:val="69"/>
        </w:numPr>
        <w:rPr>
          <w:lang w:val="en-US"/>
        </w:rPr>
      </w:pPr>
      <w:r w:rsidRPr="00734D3B">
        <w:rPr>
          <w:lang w:val="en-US"/>
        </w:rPr>
        <w:t>Inputs for corrective actions</w:t>
      </w:r>
    </w:p>
    <w:p w14:paraId="64408EF5" w14:textId="7542955D" w:rsidR="00C2306E" w:rsidRPr="00734D3B" w:rsidRDefault="001D6DF6" w:rsidP="00485DAA">
      <w:pPr>
        <w:rPr>
          <w:b/>
          <w:bCs/>
        </w:rPr>
      </w:pPr>
      <w:r w:rsidRPr="00734D3B">
        <w:rPr>
          <w:b/>
          <w:bCs/>
        </w:rPr>
        <w:t>4.3.</w:t>
      </w:r>
      <w:r w:rsidR="00485DAA" w:rsidRPr="00734D3B">
        <w:rPr>
          <w:b/>
          <w:bCs/>
        </w:rPr>
        <w:t>8</w:t>
      </w:r>
      <w:r w:rsidRPr="00734D3B">
        <w:rPr>
          <w:b/>
          <w:bCs/>
        </w:rPr>
        <w:t xml:space="preserve"> </w:t>
      </w:r>
      <w:r w:rsidR="00C2306E" w:rsidRPr="00734D3B">
        <w:rPr>
          <w:b/>
          <w:bCs/>
        </w:rPr>
        <w:t>Guía para la clasificación, segregación y manejo de residuos eléctricos</w:t>
      </w:r>
    </w:p>
    <w:p w14:paraId="1BB941EF" w14:textId="77777777" w:rsidR="00C2306E" w:rsidRPr="00734D3B" w:rsidRDefault="00C2306E" w:rsidP="00B8411A">
      <w:pPr>
        <w:rPr>
          <w:rFonts w:cs="Arial"/>
          <w:b/>
          <w:bCs/>
          <w:szCs w:val="22"/>
          <w:lang w:val="en-US"/>
        </w:rPr>
      </w:pPr>
      <w:r w:rsidRPr="00734D3B">
        <w:rPr>
          <w:rFonts w:eastAsia="Calibri" w:cs="Arial"/>
          <w:b/>
          <w:bCs/>
          <w:szCs w:val="22"/>
          <w:lang w:val="en-US"/>
        </w:rPr>
        <w:t>Electrical Waste Management in Data Center Projects</w:t>
      </w:r>
    </w:p>
    <w:p w14:paraId="159321BC" w14:textId="77777777" w:rsidR="00B53B0B" w:rsidRDefault="00481062" w:rsidP="00481062">
      <w:pPr>
        <w:pStyle w:val="Caption"/>
        <w:rPr>
          <w:color w:val="auto"/>
        </w:rPr>
      </w:pPr>
      <w:bookmarkStart w:id="355" w:name="_Toc228342093"/>
      <w:r w:rsidRPr="00734D3B">
        <w:rPr>
          <w:color w:val="auto"/>
        </w:rPr>
        <w:t xml:space="preserve">Tabla </w:t>
      </w:r>
      <w:r w:rsidRPr="00734D3B">
        <w:rPr>
          <w:color w:val="auto"/>
        </w:rPr>
        <w:fldChar w:fldCharType="begin"/>
      </w:r>
      <w:r w:rsidRPr="00734D3B">
        <w:rPr>
          <w:color w:val="auto"/>
        </w:rPr>
        <w:instrText xml:space="preserve"> SEQ Tabla \* ARABIC </w:instrText>
      </w:r>
      <w:r w:rsidRPr="00734D3B">
        <w:rPr>
          <w:color w:val="auto"/>
        </w:rPr>
        <w:fldChar w:fldCharType="separate"/>
      </w:r>
      <w:r w:rsidRPr="00734D3B">
        <w:rPr>
          <w:noProof/>
          <w:color w:val="auto"/>
        </w:rPr>
        <w:t>13</w:t>
      </w:r>
      <w:r w:rsidRPr="00734D3B">
        <w:rPr>
          <w:color w:val="auto"/>
        </w:rPr>
        <w:fldChar w:fldCharType="end"/>
      </w:r>
    </w:p>
    <w:p w14:paraId="2D231F6E" w14:textId="569E64F0" w:rsidR="00C2306E" w:rsidRPr="00BE0964" w:rsidRDefault="00481062" w:rsidP="00481062">
      <w:pPr>
        <w:pStyle w:val="Caption"/>
        <w:rPr>
          <w:color w:val="auto"/>
        </w:rPr>
      </w:pPr>
      <w:r w:rsidRPr="00734D3B">
        <w:rPr>
          <w:rStyle w:val="normaltextrun"/>
          <w:rFonts w:cs="Arial"/>
          <w:b w:val="0"/>
          <w:bCs/>
          <w:i/>
          <w:iCs/>
          <w:color w:val="auto"/>
          <w:szCs w:val="22"/>
          <w:lang w:val="es-419"/>
        </w:rPr>
        <w:t>Guia para la clasificación en la fase de aplicación</w:t>
      </w:r>
      <w:bookmarkEnd w:id="355"/>
      <w:r w:rsidRPr="00734D3B">
        <w:rPr>
          <w:rStyle w:val="normaltextrun"/>
          <w:rFonts w:cs="Arial"/>
          <w:b w:val="0"/>
          <w:bCs/>
          <w:i/>
          <w:iCs/>
          <w:color w:val="auto"/>
          <w:szCs w:val="22"/>
          <w:lang w:val="es-419"/>
        </w:rPr>
        <w:t xml:space="preserve"> </w:t>
      </w:r>
    </w:p>
    <w:tbl>
      <w:tblPr>
        <w:tblStyle w:val="GridTable1Light"/>
        <w:tblW w:w="0" w:type="auto"/>
        <w:tblLook w:val="04A0" w:firstRow="1" w:lastRow="0" w:firstColumn="1" w:lastColumn="0" w:noHBand="0" w:noVBand="1"/>
      </w:tblPr>
      <w:tblGrid>
        <w:gridCol w:w="4634"/>
        <w:gridCol w:w="4634"/>
      </w:tblGrid>
      <w:tr w:rsidR="00734D3B" w:rsidRPr="00734D3B" w14:paraId="65E43508" w14:textId="77777777" w:rsidTr="00535EE2">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4634" w:type="dxa"/>
          </w:tcPr>
          <w:p w14:paraId="37797BE1" w14:textId="77777777" w:rsidR="00C2306E" w:rsidRPr="00734D3B" w:rsidRDefault="00C2306E" w:rsidP="0031177A">
            <w:pPr>
              <w:ind w:firstLine="0"/>
              <w:rPr>
                <w:rFonts w:cs="Arial"/>
                <w:szCs w:val="22"/>
              </w:rPr>
            </w:pPr>
            <w:r w:rsidRPr="00734D3B">
              <w:rPr>
                <w:rFonts w:eastAsia="Calibri" w:cs="Arial"/>
                <w:szCs w:val="22"/>
              </w:rPr>
              <w:t xml:space="preserve">Fase de aplicación / </w:t>
            </w:r>
            <w:proofErr w:type="spellStart"/>
            <w:r w:rsidRPr="00734D3B">
              <w:rPr>
                <w:rFonts w:eastAsia="Calibri" w:cs="Arial"/>
                <w:szCs w:val="22"/>
              </w:rPr>
              <w:t>Applicable</w:t>
            </w:r>
            <w:proofErr w:type="spellEnd"/>
            <w:r w:rsidRPr="00734D3B">
              <w:rPr>
                <w:rFonts w:eastAsia="Calibri" w:cs="Arial"/>
                <w:szCs w:val="22"/>
              </w:rPr>
              <w:t xml:space="preserve"> </w:t>
            </w:r>
            <w:proofErr w:type="spellStart"/>
            <w:r w:rsidRPr="00734D3B">
              <w:rPr>
                <w:rFonts w:eastAsia="Calibri" w:cs="Arial"/>
                <w:szCs w:val="22"/>
              </w:rPr>
              <w:t>phase</w:t>
            </w:r>
            <w:proofErr w:type="spellEnd"/>
          </w:p>
        </w:tc>
        <w:tc>
          <w:tcPr>
            <w:tcW w:w="4634" w:type="dxa"/>
          </w:tcPr>
          <w:p w14:paraId="4A923410" w14:textId="467AF219"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cs="Arial"/>
                <w:szCs w:val="22"/>
              </w:rPr>
              <w:t>Implementación /</w:t>
            </w:r>
            <w:proofErr w:type="spellStart"/>
            <w:r w:rsidR="0031177A" w:rsidRPr="00734D3B">
              <w:rPr>
                <w:rFonts w:cs="Arial"/>
                <w:szCs w:val="22"/>
              </w:rPr>
              <w:t>I</w:t>
            </w:r>
            <w:r w:rsidRPr="00734D3B">
              <w:rPr>
                <w:rFonts w:cs="Arial"/>
                <w:szCs w:val="22"/>
              </w:rPr>
              <w:t>mplementation</w:t>
            </w:r>
            <w:proofErr w:type="spellEnd"/>
          </w:p>
        </w:tc>
      </w:tr>
      <w:tr w:rsidR="00734D3B" w:rsidRPr="00734D3B" w14:paraId="434A14FB" w14:textId="77777777" w:rsidTr="00535EE2">
        <w:trPr>
          <w:trHeight w:val="543"/>
        </w:trPr>
        <w:tc>
          <w:tcPr>
            <w:cnfStyle w:val="001000000000" w:firstRow="0" w:lastRow="0" w:firstColumn="1" w:lastColumn="0" w:oddVBand="0" w:evenVBand="0" w:oddHBand="0" w:evenHBand="0" w:firstRowFirstColumn="0" w:firstRowLastColumn="0" w:lastRowFirstColumn="0" w:lastRowLastColumn="0"/>
            <w:tcW w:w="4634" w:type="dxa"/>
          </w:tcPr>
          <w:p w14:paraId="7ED37155" w14:textId="77777777" w:rsidR="00C2306E" w:rsidRPr="00734D3B" w:rsidRDefault="00C2306E" w:rsidP="00647BAE">
            <w:pPr>
              <w:rPr>
                <w:rFonts w:cs="Arial"/>
                <w:szCs w:val="22"/>
              </w:rPr>
            </w:pPr>
            <w:r w:rsidRPr="00734D3B">
              <w:rPr>
                <w:rFonts w:eastAsia="Calibri" w:cs="Arial"/>
                <w:szCs w:val="22"/>
              </w:rPr>
              <w:t>Código / Code</w:t>
            </w:r>
          </w:p>
        </w:tc>
        <w:tc>
          <w:tcPr>
            <w:tcW w:w="4634" w:type="dxa"/>
          </w:tcPr>
          <w:p w14:paraId="10AFCCA2"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POE-EE-DC-001</w:t>
            </w:r>
          </w:p>
        </w:tc>
      </w:tr>
      <w:tr w:rsidR="00734D3B" w:rsidRPr="00734D3B" w14:paraId="23EFA798" w14:textId="77777777" w:rsidTr="00535EE2">
        <w:trPr>
          <w:trHeight w:val="543"/>
        </w:trPr>
        <w:tc>
          <w:tcPr>
            <w:cnfStyle w:val="001000000000" w:firstRow="0" w:lastRow="0" w:firstColumn="1" w:lastColumn="0" w:oddVBand="0" w:evenVBand="0" w:oddHBand="0" w:evenHBand="0" w:firstRowFirstColumn="0" w:firstRowLastColumn="0" w:lastRowFirstColumn="0" w:lastRowLastColumn="0"/>
            <w:tcW w:w="4634" w:type="dxa"/>
          </w:tcPr>
          <w:p w14:paraId="0C13A885" w14:textId="77777777" w:rsidR="00C2306E" w:rsidRPr="00734D3B" w:rsidRDefault="00C2306E" w:rsidP="00647BAE">
            <w:pPr>
              <w:rPr>
                <w:rFonts w:cs="Arial"/>
                <w:szCs w:val="22"/>
              </w:rPr>
            </w:pPr>
            <w:r w:rsidRPr="00734D3B">
              <w:rPr>
                <w:rFonts w:eastAsia="Calibri" w:cs="Arial"/>
                <w:szCs w:val="22"/>
              </w:rPr>
              <w:t xml:space="preserve">Versión / </w:t>
            </w:r>
            <w:proofErr w:type="spellStart"/>
            <w:r w:rsidRPr="00734D3B">
              <w:rPr>
                <w:rFonts w:eastAsia="Calibri" w:cs="Arial"/>
                <w:szCs w:val="22"/>
              </w:rPr>
              <w:t>Version</w:t>
            </w:r>
            <w:proofErr w:type="spellEnd"/>
          </w:p>
        </w:tc>
        <w:tc>
          <w:tcPr>
            <w:tcW w:w="4634" w:type="dxa"/>
          </w:tcPr>
          <w:p w14:paraId="6934A6CB"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1.0</w:t>
            </w:r>
          </w:p>
        </w:tc>
      </w:tr>
    </w:tbl>
    <w:p w14:paraId="4F2DBFBB" w14:textId="0C76B433" w:rsidR="00E44087" w:rsidRPr="00734D3B" w:rsidRDefault="00E44087" w:rsidP="00E44087">
      <w:pPr>
        <w:pStyle w:val="paragraph"/>
        <w:spacing w:before="0" w:beforeAutospacing="0" w:after="0" w:afterAutospacing="0" w:line="480" w:lineRule="auto"/>
        <w:ind w:firstLine="705"/>
        <w:jc w:val="both"/>
        <w:textAlignment w:val="baseline"/>
        <w:rPr>
          <w:rStyle w:val="normaltextrun"/>
          <w:rFonts w:ascii="Arial" w:hAnsi="Arial" w:cs="Arial"/>
          <w:b/>
          <w:bCs/>
          <w:sz w:val="20"/>
          <w:szCs w:val="20"/>
          <w:lang w:val="es-CR"/>
        </w:rPr>
      </w:pPr>
      <w:r w:rsidRPr="00734D3B">
        <w:rPr>
          <w:rFonts w:ascii="Arial" w:hAnsi="Arial" w:cs="Arial"/>
          <w:i/>
          <w:iCs/>
          <w:sz w:val="22"/>
          <w:szCs w:val="20"/>
          <w:lang w:val="es-CR"/>
        </w:rPr>
        <w:t>Nota</w:t>
      </w:r>
      <w:r w:rsidRPr="00734D3B">
        <w:rPr>
          <w:rFonts w:ascii="Arial" w:hAnsi="Arial" w:cs="Arial"/>
          <w:sz w:val="22"/>
          <w:szCs w:val="20"/>
          <w:lang w:val="es-CR"/>
        </w:rPr>
        <w:t xml:space="preserve">. La Tabla 13 sintetiza la </w:t>
      </w:r>
      <w:r w:rsidR="0012295B" w:rsidRPr="00734D3B">
        <w:rPr>
          <w:rFonts w:ascii="Arial" w:hAnsi="Arial" w:cs="Arial"/>
          <w:sz w:val="22"/>
          <w:szCs w:val="20"/>
          <w:lang w:val="es-CR"/>
        </w:rPr>
        <w:t>guía para la clasificación en la fase de aplicación</w:t>
      </w:r>
    </w:p>
    <w:p w14:paraId="3BFD30A2" w14:textId="77777777" w:rsidR="00C2306E" w:rsidRPr="00734D3B" w:rsidRDefault="00C2306E" w:rsidP="00C2306E">
      <w:pPr>
        <w:rPr>
          <w:rFonts w:cs="Arial"/>
          <w:szCs w:val="22"/>
        </w:rPr>
      </w:pPr>
    </w:p>
    <w:p w14:paraId="7B3F9C73" w14:textId="77777777" w:rsidR="00C2306E" w:rsidRPr="00734D3B" w:rsidRDefault="00C2306E" w:rsidP="00C2306E">
      <w:pPr>
        <w:rPr>
          <w:rFonts w:cs="Arial"/>
          <w:b/>
          <w:bCs/>
          <w:szCs w:val="22"/>
        </w:rPr>
      </w:pPr>
      <w:r w:rsidRPr="00734D3B">
        <w:rPr>
          <w:rFonts w:cs="Arial"/>
          <w:b/>
          <w:bCs/>
          <w:szCs w:val="22"/>
        </w:rPr>
        <w:t xml:space="preserve">1. Objetivo / </w:t>
      </w:r>
      <w:proofErr w:type="spellStart"/>
      <w:r w:rsidRPr="00734D3B">
        <w:rPr>
          <w:rFonts w:cs="Arial"/>
          <w:b/>
          <w:bCs/>
          <w:szCs w:val="22"/>
        </w:rPr>
        <w:t>Objective</w:t>
      </w:r>
      <w:proofErr w:type="spellEnd"/>
    </w:p>
    <w:p w14:paraId="5261F3AB" w14:textId="77777777" w:rsidR="00C2306E" w:rsidRPr="00734D3B" w:rsidRDefault="00C2306E" w:rsidP="00C2306E">
      <w:pPr>
        <w:rPr>
          <w:rFonts w:cs="Arial"/>
          <w:szCs w:val="22"/>
        </w:rPr>
      </w:pPr>
      <w:r w:rsidRPr="00734D3B">
        <w:rPr>
          <w:rFonts w:cs="Arial"/>
          <w:szCs w:val="22"/>
        </w:rPr>
        <w:t>Estandarizar la gestión de residuos eléctricos para reducir impactos ambientales, asegurar cumplimiento normativo y promover economía circular.</w:t>
      </w:r>
    </w:p>
    <w:p w14:paraId="12CDC5C2" w14:textId="77777777" w:rsidR="00C2306E" w:rsidRPr="00734D3B" w:rsidRDefault="00C2306E" w:rsidP="00C2306E">
      <w:pPr>
        <w:rPr>
          <w:rFonts w:cs="Arial"/>
          <w:szCs w:val="22"/>
          <w:lang w:val="en-US"/>
        </w:rPr>
      </w:pPr>
      <w:r w:rsidRPr="00734D3B">
        <w:rPr>
          <w:rFonts w:cs="Arial"/>
          <w:szCs w:val="22"/>
          <w:lang w:val="en-US"/>
        </w:rPr>
        <w:lastRenderedPageBreak/>
        <w:t>Standardize electrical waste management to reduce environmental impacts, ensure regulatory compliance, and promote circular economy practices.</w:t>
      </w:r>
    </w:p>
    <w:p w14:paraId="7B2866C2" w14:textId="77777777" w:rsidR="00C2306E" w:rsidRPr="00734D3B" w:rsidRDefault="00C2306E" w:rsidP="00C2306E">
      <w:pPr>
        <w:rPr>
          <w:rFonts w:cs="Arial"/>
          <w:b/>
          <w:bCs/>
          <w:szCs w:val="22"/>
        </w:rPr>
      </w:pPr>
      <w:r w:rsidRPr="00734D3B">
        <w:rPr>
          <w:rFonts w:cs="Arial"/>
          <w:b/>
          <w:bCs/>
          <w:szCs w:val="22"/>
        </w:rPr>
        <w:t>2. Alcance / Scope</w:t>
      </w:r>
    </w:p>
    <w:p w14:paraId="57FB2506" w14:textId="77777777" w:rsidR="00C2306E" w:rsidRPr="00734D3B" w:rsidRDefault="00C2306E" w:rsidP="00C2306E">
      <w:pPr>
        <w:rPr>
          <w:rFonts w:cs="Arial"/>
          <w:szCs w:val="22"/>
        </w:rPr>
      </w:pPr>
      <w:r w:rsidRPr="00734D3B">
        <w:rPr>
          <w:rFonts w:cs="Arial"/>
          <w:szCs w:val="22"/>
        </w:rPr>
        <w:t xml:space="preserve">Aplica a todas las actividades eléctricas realizadas durante la construcción de proyectos de data centers (instalación, pruebas, </w:t>
      </w:r>
      <w:proofErr w:type="spellStart"/>
      <w:r w:rsidRPr="00734D3B">
        <w:rPr>
          <w:rFonts w:cs="Arial"/>
          <w:szCs w:val="22"/>
        </w:rPr>
        <w:t>comisionamiento</w:t>
      </w:r>
      <w:proofErr w:type="spellEnd"/>
      <w:r w:rsidRPr="00734D3B">
        <w:rPr>
          <w:rFonts w:cs="Arial"/>
          <w:szCs w:val="22"/>
        </w:rPr>
        <w:t xml:space="preserve"> y cierre).</w:t>
      </w:r>
    </w:p>
    <w:p w14:paraId="58C83D75" w14:textId="77777777" w:rsidR="00C2306E" w:rsidRPr="00734D3B" w:rsidRDefault="00C2306E" w:rsidP="00C2306E">
      <w:pPr>
        <w:rPr>
          <w:rFonts w:cs="Arial"/>
          <w:szCs w:val="22"/>
          <w:lang w:val="en-US"/>
        </w:rPr>
      </w:pPr>
      <w:r w:rsidRPr="00734D3B">
        <w:rPr>
          <w:rFonts w:cs="Arial"/>
          <w:szCs w:val="22"/>
          <w:lang w:val="en-US"/>
        </w:rPr>
        <w:t>Applies to all electrical activities performed during data center construction (installation, testing, commissioning, and closeout).</w:t>
      </w:r>
    </w:p>
    <w:p w14:paraId="14EA8906" w14:textId="77777777" w:rsidR="00C2306E" w:rsidRPr="00734D3B" w:rsidRDefault="00C2306E" w:rsidP="00C2306E">
      <w:pPr>
        <w:rPr>
          <w:rFonts w:cs="Arial"/>
          <w:b/>
          <w:bCs/>
          <w:szCs w:val="22"/>
        </w:rPr>
      </w:pPr>
      <w:r w:rsidRPr="00734D3B">
        <w:rPr>
          <w:rFonts w:cs="Arial"/>
          <w:b/>
          <w:bCs/>
          <w:szCs w:val="22"/>
        </w:rPr>
        <w:t xml:space="preserve">3. Definiciones / </w:t>
      </w:r>
      <w:proofErr w:type="spellStart"/>
      <w:r w:rsidRPr="00734D3B">
        <w:rPr>
          <w:rFonts w:cs="Arial"/>
          <w:b/>
          <w:bCs/>
          <w:szCs w:val="22"/>
        </w:rPr>
        <w:t>Definitions</w:t>
      </w:r>
      <w:proofErr w:type="spellEnd"/>
    </w:p>
    <w:p w14:paraId="049764A7" w14:textId="77777777" w:rsidR="00C2306E" w:rsidRPr="00734D3B" w:rsidRDefault="00C2306E" w:rsidP="00C2306E">
      <w:pPr>
        <w:rPr>
          <w:rFonts w:cs="Arial"/>
          <w:szCs w:val="22"/>
        </w:rPr>
      </w:pPr>
      <w:r w:rsidRPr="00734D3B">
        <w:rPr>
          <w:rFonts w:cs="Arial"/>
          <w:b/>
          <w:szCs w:val="22"/>
        </w:rPr>
        <w:t xml:space="preserve">Residuos eléctricos / </w:t>
      </w:r>
      <w:proofErr w:type="spellStart"/>
      <w:r w:rsidRPr="00734D3B">
        <w:rPr>
          <w:rFonts w:cs="Arial"/>
          <w:b/>
          <w:szCs w:val="22"/>
        </w:rPr>
        <w:t>Electrical</w:t>
      </w:r>
      <w:proofErr w:type="spellEnd"/>
      <w:r w:rsidRPr="00734D3B">
        <w:rPr>
          <w:rFonts w:cs="Arial"/>
          <w:b/>
          <w:szCs w:val="22"/>
        </w:rPr>
        <w:t xml:space="preserve"> </w:t>
      </w:r>
      <w:proofErr w:type="spellStart"/>
      <w:r w:rsidRPr="00734D3B">
        <w:rPr>
          <w:rFonts w:cs="Arial"/>
          <w:b/>
          <w:szCs w:val="22"/>
        </w:rPr>
        <w:t>waste</w:t>
      </w:r>
      <w:proofErr w:type="spellEnd"/>
      <w:r w:rsidRPr="00734D3B">
        <w:rPr>
          <w:rFonts w:cs="Arial"/>
          <w:b/>
          <w:szCs w:val="22"/>
        </w:rPr>
        <w:t xml:space="preserve">: </w:t>
      </w:r>
      <w:r w:rsidRPr="00734D3B">
        <w:rPr>
          <w:rFonts w:cs="Arial"/>
          <w:szCs w:val="22"/>
        </w:rPr>
        <w:t>Materiales sobrantes o descartados provenientes de instalaciones eléctricas (cables, bandejas, ductos, conectores).</w:t>
      </w:r>
    </w:p>
    <w:p w14:paraId="3EFD1A5B" w14:textId="77777777" w:rsidR="00C2306E" w:rsidRPr="00734D3B" w:rsidRDefault="00C2306E" w:rsidP="00C2306E">
      <w:pPr>
        <w:rPr>
          <w:rFonts w:cs="Arial"/>
          <w:szCs w:val="22"/>
          <w:lang w:val="en-US"/>
        </w:rPr>
      </w:pPr>
      <w:r w:rsidRPr="00734D3B">
        <w:rPr>
          <w:rFonts w:cs="Arial"/>
          <w:szCs w:val="22"/>
          <w:lang w:val="en-US"/>
        </w:rPr>
        <w:t>Leftover or discarded materials from electrical installations (cables, trays, conduits, connectors).</w:t>
      </w:r>
    </w:p>
    <w:p w14:paraId="0EE8FE09" w14:textId="77777777" w:rsidR="00C2306E" w:rsidRPr="00734D3B" w:rsidRDefault="00C2306E" w:rsidP="00C2306E">
      <w:pPr>
        <w:rPr>
          <w:rFonts w:cs="Arial"/>
          <w:szCs w:val="22"/>
        </w:rPr>
      </w:pPr>
      <w:r w:rsidRPr="00734D3B">
        <w:rPr>
          <w:rFonts w:cs="Arial"/>
          <w:b/>
          <w:szCs w:val="22"/>
        </w:rPr>
        <w:t>RAEE / WEEE / E-</w:t>
      </w:r>
      <w:proofErr w:type="spellStart"/>
      <w:r w:rsidRPr="00734D3B">
        <w:rPr>
          <w:rFonts w:cs="Arial"/>
          <w:b/>
          <w:szCs w:val="22"/>
        </w:rPr>
        <w:t>waste</w:t>
      </w:r>
      <w:proofErr w:type="spellEnd"/>
      <w:r w:rsidRPr="00734D3B">
        <w:rPr>
          <w:rFonts w:cs="Arial"/>
          <w:b/>
          <w:szCs w:val="22"/>
        </w:rPr>
        <w:t xml:space="preserve">: </w:t>
      </w:r>
      <w:r w:rsidRPr="00734D3B">
        <w:rPr>
          <w:rFonts w:cs="Arial"/>
          <w:szCs w:val="22"/>
        </w:rPr>
        <w:t>Residuos de aparatos eléctricos y electrónicos (equipos, componentes, UPS, tableros obsoletos).</w:t>
      </w:r>
    </w:p>
    <w:p w14:paraId="1B66651B" w14:textId="77777777" w:rsidR="00C2306E" w:rsidRPr="00734D3B" w:rsidRDefault="00C2306E" w:rsidP="00C2306E">
      <w:pPr>
        <w:rPr>
          <w:rFonts w:cs="Arial"/>
          <w:szCs w:val="22"/>
          <w:lang w:val="en-US"/>
        </w:rPr>
      </w:pPr>
      <w:r w:rsidRPr="00734D3B">
        <w:rPr>
          <w:rFonts w:cs="Arial"/>
          <w:szCs w:val="22"/>
          <w:lang w:val="en-US"/>
        </w:rPr>
        <w:t>Waste electrical and electronic equipment (devices, components, UPS, obsolete panels).</w:t>
      </w:r>
    </w:p>
    <w:p w14:paraId="42417B60" w14:textId="77777777" w:rsidR="00C2306E" w:rsidRPr="00734D3B" w:rsidRDefault="00C2306E" w:rsidP="00C2306E">
      <w:pPr>
        <w:rPr>
          <w:rFonts w:cs="Arial"/>
          <w:szCs w:val="22"/>
        </w:rPr>
      </w:pPr>
      <w:r w:rsidRPr="00734D3B">
        <w:rPr>
          <w:rFonts w:cs="Arial"/>
          <w:b/>
          <w:szCs w:val="22"/>
        </w:rPr>
        <w:t xml:space="preserve">Trazabilidad / </w:t>
      </w:r>
      <w:proofErr w:type="spellStart"/>
      <w:r w:rsidRPr="00734D3B">
        <w:rPr>
          <w:rFonts w:cs="Arial"/>
          <w:b/>
          <w:szCs w:val="22"/>
        </w:rPr>
        <w:t>Traceability</w:t>
      </w:r>
      <w:proofErr w:type="spellEnd"/>
      <w:r w:rsidRPr="00734D3B">
        <w:rPr>
          <w:rFonts w:cs="Arial"/>
          <w:b/>
          <w:szCs w:val="22"/>
        </w:rPr>
        <w:t xml:space="preserve">: </w:t>
      </w:r>
      <w:r w:rsidRPr="00734D3B">
        <w:rPr>
          <w:rFonts w:cs="Arial"/>
          <w:szCs w:val="22"/>
        </w:rPr>
        <w:t>Capacidad de registrar origen, manejo y destino final del residuo.</w:t>
      </w:r>
    </w:p>
    <w:p w14:paraId="6526DF0D" w14:textId="18AC25BB" w:rsidR="00C2306E" w:rsidRPr="00734D3B" w:rsidRDefault="00C2306E" w:rsidP="00C2306E">
      <w:pPr>
        <w:rPr>
          <w:rFonts w:cs="Arial"/>
          <w:szCs w:val="22"/>
          <w:lang w:val="en-US"/>
        </w:rPr>
      </w:pPr>
      <w:r w:rsidRPr="00734D3B">
        <w:rPr>
          <w:rFonts w:cs="Arial"/>
          <w:szCs w:val="22"/>
          <w:lang w:val="en-US"/>
        </w:rPr>
        <w:t xml:space="preserve">Ability to record origin, handling, and </w:t>
      </w:r>
      <w:r w:rsidR="00A56E48" w:rsidRPr="00734D3B">
        <w:rPr>
          <w:rFonts w:cs="Arial"/>
          <w:szCs w:val="22"/>
          <w:lang w:val="en-US"/>
        </w:rPr>
        <w:t>destination</w:t>
      </w:r>
      <w:r w:rsidRPr="00734D3B">
        <w:rPr>
          <w:rFonts w:cs="Arial"/>
          <w:szCs w:val="22"/>
          <w:lang w:val="en-US"/>
        </w:rPr>
        <w:t xml:space="preserve"> of waste.</w:t>
      </w:r>
    </w:p>
    <w:p w14:paraId="1F47D303" w14:textId="190CFABE" w:rsidR="00C2306E" w:rsidRPr="00734D3B" w:rsidRDefault="00C2306E" w:rsidP="00C2306E">
      <w:pPr>
        <w:rPr>
          <w:rFonts w:cs="Arial"/>
          <w:b/>
          <w:bCs/>
          <w:szCs w:val="22"/>
        </w:rPr>
      </w:pPr>
      <w:r w:rsidRPr="00734D3B">
        <w:rPr>
          <w:rFonts w:cs="Arial"/>
          <w:b/>
          <w:bCs/>
          <w:szCs w:val="22"/>
        </w:rPr>
        <w:t xml:space="preserve">Tipos de residuos / Waste </w:t>
      </w:r>
      <w:proofErr w:type="spellStart"/>
      <w:r w:rsidRPr="00734D3B">
        <w:rPr>
          <w:rFonts w:cs="Arial"/>
          <w:b/>
          <w:bCs/>
          <w:szCs w:val="22"/>
        </w:rPr>
        <w:t>Types</w:t>
      </w:r>
      <w:proofErr w:type="spellEnd"/>
    </w:p>
    <w:p w14:paraId="2176D30A" w14:textId="77777777" w:rsidR="00C2306E" w:rsidRPr="00734D3B" w:rsidRDefault="00C2306E" w:rsidP="00D114E0">
      <w:pPr>
        <w:pStyle w:val="ListParagraph"/>
        <w:numPr>
          <w:ilvl w:val="0"/>
          <w:numId w:val="70"/>
        </w:numPr>
        <w:spacing w:after="200" w:line="276" w:lineRule="auto"/>
        <w:contextualSpacing/>
        <w:rPr>
          <w:rFonts w:cs="Arial"/>
          <w:szCs w:val="22"/>
        </w:rPr>
      </w:pPr>
      <w:r w:rsidRPr="00734D3B">
        <w:rPr>
          <w:rFonts w:cs="Arial"/>
          <w:szCs w:val="22"/>
        </w:rPr>
        <w:t xml:space="preserve">Cables de cobre y aluminio / Copper and </w:t>
      </w:r>
      <w:proofErr w:type="spellStart"/>
      <w:r w:rsidRPr="00734D3B">
        <w:rPr>
          <w:rFonts w:cs="Arial"/>
          <w:szCs w:val="22"/>
        </w:rPr>
        <w:t>aluminum</w:t>
      </w:r>
      <w:proofErr w:type="spellEnd"/>
      <w:r w:rsidRPr="00734D3B">
        <w:rPr>
          <w:rFonts w:cs="Arial"/>
          <w:szCs w:val="22"/>
        </w:rPr>
        <w:t xml:space="preserve"> cables</w:t>
      </w:r>
    </w:p>
    <w:p w14:paraId="668ADBE8" w14:textId="77777777" w:rsidR="00C2306E" w:rsidRPr="00734D3B" w:rsidRDefault="00C2306E" w:rsidP="00D114E0">
      <w:pPr>
        <w:pStyle w:val="ListParagraph"/>
        <w:numPr>
          <w:ilvl w:val="0"/>
          <w:numId w:val="70"/>
        </w:numPr>
        <w:spacing w:after="200" w:line="276" w:lineRule="auto"/>
        <w:contextualSpacing/>
        <w:rPr>
          <w:rFonts w:cs="Arial"/>
          <w:szCs w:val="22"/>
        </w:rPr>
      </w:pPr>
      <w:r w:rsidRPr="00734D3B">
        <w:rPr>
          <w:rFonts w:cs="Arial"/>
          <w:szCs w:val="22"/>
        </w:rPr>
        <w:t xml:space="preserve">Bandejas, ductos y tubería metálica / Cable </w:t>
      </w:r>
      <w:proofErr w:type="spellStart"/>
      <w:r w:rsidRPr="00734D3B">
        <w:rPr>
          <w:rFonts w:cs="Arial"/>
          <w:szCs w:val="22"/>
        </w:rPr>
        <w:t>trays</w:t>
      </w:r>
      <w:proofErr w:type="spellEnd"/>
      <w:r w:rsidRPr="00734D3B">
        <w:rPr>
          <w:rFonts w:cs="Arial"/>
          <w:szCs w:val="22"/>
        </w:rPr>
        <w:t xml:space="preserve">, </w:t>
      </w:r>
      <w:proofErr w:type="spellStart"/>
      <w:r w:rsidRPr="00734D3B">
        <w:rPr>
          <w:rFonts w:cs="Arial"/>
          <w:szCs w:val="22"/>
        </w:rPr>
        <w:t>conduits</w:t>
      </w:r>
      <w:proofErr w:type="spellEnd"/>
      <w:r w:rsidRPr="00734D3B">
        <w:rPr>
          <w:rFonts w:cs="Arial"/>
          <w:szCs w:val="22"/>
        </w:rPr>
        <w:t xml:space="preserve"> and </w:t>
      </w:r>
      <w:proofErr w:type="spellStart"/>
      <w:r w:rsidRPr="00734D3B">
        <w:rPr>
          <w:rFonts w:cs="Arial"/>
          <w:szCs w:val="22"/>
        </w:rPr>
        <w:t>metallic</w:t>
      </w:r>
      <w:proofErr w:type="spellEnd"/>
      <w:r w:rsidRPr="00734D3B">
        <w:rPr>
          <w:rFonts w:cs="Arial"/>
          <w:szCs w:val="22"/>
        </w:rPr>
        <w:t xml:space="preserve"> </w:t>
      </w:r>
      <w:proofErr w:type="spellStart"/>
      <w:r w:rsidRPr="00734D3B">
        <w:rPr>
          <w:rFonts w:cs="Arial"/>
          <w:szCs w:val="22"/>
        </w:rPr>
        <w:t>raceways</w:t>
      </w:r>
      <w:proofErr w:type="spellEnd"/>
    </w:p>
    <w:p w14:paraId="782332BD" w14:textId="77777777" w:rsidR="00C2306E" w:rsidRPr="00734D3B" w:rsidRDefault="00C2306E" w:rsidP="00D114E0">
      <w:pPr>
        <w:pStyle w:val="ListParagraph"/>
        <w:numPr>
          <w:ilvl w:val="0"/>
          <w:numId w:val="70"/>
        </w:numPr>
        <w:spacing w:after="200" w:line="276" w:lineRule="auto"/>
        <w:contextualSpacing/>
        <w:rPr>
          <w:rFonts w:cs="Arial"/>
          <w:szCs w:val="22"/>
        </w:rPr>
      </w:pPr>
      <w:r w:rsidRPr="00734D3B">
        <w:rPr>
          <w:rFonts w:cs="Arial"/>
          <w:szCs w:val="22"/>
        </w:rPr>
        <w:t>RAEE (equipos eléctricos y electrónicos) / WEEE / E-</w:t>
      </w:r>
      <w:proofErr w:type="spellStart"/>
      <w:r w:rsidRPr="00734D3B">
        <w:rPr>
          <w:rFonts w:cs="Arial"/>
          <w:szCs w:val="22"/>
        </w:rPr>
        <w:t>waste</w:t>
      </w:r>
      <w:proofErr w:type="spellEnd"/>
    </w:p>
    <w:p w14:paraId="795E663B" w14:textId="77777777" w:rsidR="00C2306E" w:rsidRPr="00734D3B" w:rsidRDefault="00C2306E" w:rsidP="00D114E0">
      <w:pPr>
        <w:pStyle w:val="ListParagraph"/>
        <w:numPr>
          <w:ilvl w:val="0"/>
          <w:numId w:val="70"/>
        </w:numPr>
        <w:spacing w:after="200" w:line="276" w:lineRule="auto"/>
        <w:contextualSpacing/>
        <w:rPr>
          <w:rFonts w:cs="Arial"/>
          <w:szCs w:val="22"/>
        </w:rPr>
      </w:pPr>
      <w:r w:rsidRPr="00734D3B">
        <w:rPr>
          <w:rFonts w:cs="Arial"/>
          <w:szCs w:val="22"/>
        </w:rPr>
        <w:t xml:space="preserve">Empaques industriales (cartón, plástico, madera) / Industrial </w:t>
      </w:r>
      <w:proofErr w:type="spellStart"/>
      <w:r w:rsidRPr="00734D3B">
        <w:rPr>
          <w:rFonts w:cs="Arial"/>
          <w:szCs w:val="22"/>
        </w:rPr>
        <w:t>packaging</w:t>
      </w:r>
      <w:proofErr w:type="spellEnd"/>
      <w:r w:rsidRPr="00734D3B">
        <w:rPr>
          <w:rFonts w:cs="Arial"/>
          <w:szCs w:val="22"/>
        </w:rPr>
        <w:t xml:space="preserve"> (</w:t>
      </w:r>
      <w:proofErr w:type="spellStart"/>
      <w:r w:rsidRPr="00734D3B">
        <w:rPr>
          <w:rFonts w:cs="Arial"/>
          <w:szCs w:val="22"/>
        </w:rPr>
        <w:t>cardboard</w:t>
      </w:r>
      <w:proofErr w:type="spellEnd"/>
      <w:r w:rsidRPr="00734D3B">
        <w:rPr>
          <w:rFonts w:cs="Arial"/>
          <w:szCs w:val="22"/>
        </w:rPr>
        <w:t xml:space="preserve">, </w:t>
      </w:r>
      <w:proofErr w:type="spellStart"/>
      <w:r w:rsidRPr="00734D3B">
        <w:rPr>
          <w:rFonts w:cs="Arial"/>
          <w:szCs w:val="22"/>
        </w:rPr>
        <w:t>plastics</w:t>
      </w:r>
      <w:proofErr w:type="spellEnd"/>
      <w:r w:rsidRPr="00734D3B">
        <w:rPr>
          <w:rFonts w:cs="Arial"/>
          <w:szCs w:val="22"/>
        </w:rPr>
        <w:t xml:space="preserve">, </w:t>
      </w:r>
      <w:proofErr w:type="spellStart"/>
      <w:r w:rsidRPr="00734D3B">
        <w:rPr>
          <w:rFonts w:cs="Arial"/>
          <w:szCs w:val="22"/>
        </w:rPr>
        <w:t>wood</w:t>
      </w:r>
      <w:proofErr w:type="spellEnd"/>
      <w:r w:rsidRPr="00734D3B">
        <w:rPr>
          <w:rFonts w:cs="Arial"/>
          <w:szCs w:val="22"/>
        </w:rPr>
        <w:t>)</w:t>
      </w:r>
    </w:p>
    <w:p w14:paraId="78FC10B2" w14:textId="77777777" w:rsidR="00481062" w:rsidRPr="00734D3B" w:rsidRDefault="00481062" w:rsidP="00C2306E">
      <w:pPr>
        <w:rPr>
          <w:rFonts w:cs="Arial"/>
          <w:b/>
          <w:bCs/>
          <w:szCs w:val="22"/>
        </w:rPr>
      </w:pPr>
    </w:p>
    <w:p w14:paraId="6298B9CE" w14:textId="77777777" w:rsidR="00481062" w:rsidRPr="00734D3B" w:rsidRDefault="00481062" w:rsidP="00C2306E"/>
    <w:p w14:paraId="29BCCD2D" w14:textId="77777777" w:rsidR="00481062" w:rsidRPr="00734D3B" w:rsidRDefault="00481062" w:rsidP="00C2306E"/>
    <w:p w14:paraId="3584E317" w14:textId="181CF3AC" w:rsidR="00C2306E" w:rsidRPr="00734D3B" w:rsidRDefault="00C2306E" w:rsidP="00C2306E">
      <w:pPr>
        <w:rPr>
          <w:rFonts w:cs="Arial"/>
          <w:b/>
          <w:bCs/>
          <w:szCs w:val="22"/>
        </w:rPr>
      </w:pPr>
      <w:r w:rsidRPr="00734D3B">
        <w:rPr>
          <w:rFonts w:cs="Arial"/>
          <w:b/>
          <w:bCs/>
          <w:szCs w:val="22"/>
        </w:rPr>
        <w:lastRenderedPageBreak/>
        <w:t xml:space="preserve">Roles y responsabilidades / Roles &amp; </w:t>
      </w:r>
      <w:proofErr w:type="spellStart"/>
      <w:r w:rsidRPr="00734D3B">
        <w:rPr>
          <w:rFonts w:cs="Arial"/>
          <w:b/>
          <w:bCs/>
          <w:szCs w:val="22"/>
        </w:rPr>
        <w:t>Responsibilities</w:t>
      </w:r>
      <w:proofErr w:type="spellEnd"/>
    </w:p>
    <w:p w14:paraId="1A193ECE" w14:textId="64D0E8B7" w:rsidR="00A56E48" w:rsidRPr="00734D3B" w:rsidRDefault="00A56E48" w:rsidP="00C2306E">
      <w:pPr>
        <w:rPr>
          <w:rFonts w:cs="Arial"/>
          <w:szCs w:val="22"/>
        </w:rPr>
      </w:pPr>
      <w:r w:rsidRPr="00734D3B">
        <w:rPr>
          <w:rFonts w:cs="Arial"/>
          <w:szCs w:val="22"/>
        </w:rPr>
        <w:t xml:space="preserve">A </w:t>
      </w:r>
      <w:proofErr w:type="gramStart"/>
      <w:r w:rsidRPr="00734D3B">
        <w:rPr>
          <w:rFonts w:cs="Arial"/>
          <w:szCs w:val="22"/>
        </w:rPr>
        <w:t>continuación</w:t>
      </w:r>
      <w:proofErr w:type="gramEnd"/>
      <w:r w:rsidRPr="00734D3B">
        <w:rPr>
          <w:rFonts w:cs="Arial"/>
          <w:szCs w:val="22"/>
        </w:rPr>
        <w:t xml:space="preserve"> se presenta la tabla con los roles y responsabilidades de acuerdo </w:t>
      </w:r>
      <w:r w:rsidR="00AB596B" w:rsidRPr="00734D3B">
        <w:rPr>
          <w:rFonts w:cs="Arial"/>
          <w:szCs w:val="22"/>
        </w:rPr>
        <w:t>con los tipos de residuo.</w:t>
      </w:r>
    </w:p>
    <w:p w14:paraId="37D1972E" w14:textId="77777777" w:rsidR="00B53B0B" w:rsidRDefault="00954AB4" w:rsidP="00954AB4">
      <w:pPr>
        <w:pStyle w:val="Caption"/>
        <w:rPr>
          <w:color w:val="auto"/>
        </w:rPr>
      </w:pPr>
      <w:bookmarkStart w:id="356" w:name="_Toc228342094"/>
      <w:r w:rsidRPr="00734D3B">
        <w:rPr>
          <w:color w:val="auto"/>
        </w:rPr>
        <w:t xml:space="preserve">Tabla </w:t>
      </w:r>
      <w:r w:rsidRPr="00734D3B">
        <w:rPr>
          <w:color w:val="auto"/>
        </w:rPr>
        <w:fldChar w:fldCharType="begin"/>
      </w:r>
      <w:r w:rsidRPr="00734D3B">
        <w:rPr>
          <w:color w:val="auto"/>
        </w:rPr>
        <w:instrText xml:space="preserve"> SEQ Tabla \* ARABIC </w:instrText>
      </w:r>
      <w:r w:rsidRPr="00734D3B">
        <w:rPr>
          <w:color w:val="auto"/>
        </w:rPr>
        <w:fldChar w:fldCharType="separate"/>
      </w:r>
      <w:r w:rsidRPr="00734D3B">
        <w:rPr>
          <w:noProof/>
          <w:color w:val="auto"/>
        </w:rPr>
        <w:t>14</w:t>
      </w:r>
      <w:r w:rsidRPr="00734D3B">
        <w:rPr>
          <w:color w:val="auto"/>
        </w:rPr>
        <w:fldChar w:fldCharType="end"/>
      </w:r>
    </w:p>
    <w:p w14:paraId="6F4447C2" w14:textId="4881D4E8" w:rsidR="00AB596B" w:rsidRPr="00BE0964" w:rsidRDefault="00954AB4" w:rsidP="00954AB4">
      <w:pPr>
        <w:pStyle w:val="Caption"/>
        <w:rPr>
          <w:color w:val="auto"/>
        </w:rPr>
      </w:pPr>
      <w:r w:rsidRPr="00734D3B">
        <w:rPr>
          <w:rStyle w:val="normaltextrun"/>
          <w:rFonts w:cs="Arial"/>
          <w:b w:val="0"/>
          <w:bCs/>
          <w:i/>
          <w:iCs/>
          <w:color w:val="auto"/>
          <w:szCs w:val="22"/>
          <w:lang w:val="es-419"/>
        </w:rPr>
        <w:t>Roles y responsabilidades</w:t>
      </w:r>
      <w:bookmarkEnd w:id="356"/>
    </w:p>
    <w:tbl>
      <w:tblPr>
        <w:tblStyle w:val="PlainTable2"/>
        <w:tblW w:w="0" w:type="auto"/>
        <w:tblLook w:val="04A0" w:firstRow="1" w:lastRow="0" w:firstColumn="1" w:lastColumn="0" w:noHBand="0" w:noVBand="1"/>
      </w:tblPr>
      <w:tblGrid>
        <w:gridCol w:w="2880"/>
        <w:gridCol w:w="2931"/>
        <w:gridCol w:w="2880"/>
      </w:tblGrid>
      <w:tr w:rsidR="00734D3B" w:rsidRPr="00734D3B" w14:paraId="3A08136E" w14:textId="77777777" w:rsidTr="00984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608B45C" w14:textId="77777777" w:rsidR="00C2306E" w:rsidRPr="00734D3B" w:rsidRDefault="00C2306E" w:rsidP="00234BD7">
            <w:pPr>
              <w:rPr>
                <w:rFonts w:cs="Arial"/>
                <w:szCs w:val="22"/>
              </w:rPr>
            </w:pPr>
            <w:r w:rsidRPr="00734D3B">
              <w:rPr>
                <w:rFonts w:eastAsia="Calibri" w:cs="Arial"/>
                <w:szCs w:val="22"/>
              </w:rPr>
              <w:t>Rol / Role</w:t>
            </w:r>
          </w:p>
        </w:tc>
        <w:tc>
          <w:tcPr>
            <w:tcW w:w="2931" w:type="dxa"/>
          </w:tcPr>
          <w:p w14:paraId="56FC0071" w14:textId="17B169D6" w:rsidR="00C2306E" w:rsidRPr="00734D3B" w:rsidRDefault="00C2306E" w:rsidP="00234BD7">
            <w:pPr>
              <w:ind w:firstLine="0"/>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eastAsia="Calibri" w:cs="Arial"/>
                <w:szCs w:val="22"/>
              </w:rPr>
              <w:t>Responsabilidades</w:t>
            </w:r>
          </w:p>
        </w:tc>
        <w:tc>
          <w:tcPr>
            <w:tcW w:w="2880" w:type="dxa"/>
          </w:tcPr>
          <w:p w14:paraId="1CA9D2C8" w14:textId="30C52F39" w:rsidR="00C2306E" w:rsidRPr="00734D3B" w:rsidRDefault="00C2306E" w:rsidP="00234BD7">
            <w:pPr>
              <w:ind w:firstLine="0"/>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eastAsia="Calibri" w:cs="Arial"/>
                <w:szCs w:val="22"/>
              </w:rPr>
              <w:t xml:space="preserve">Key </w:t>
            </w:r>
            <w:proofErr w:type="spellStart"/>
            <w:r w:rsidRPr="00734D3B">
              <w:rPr>
                <w:rFonts w:eastAsia="Calibri" w:cs="Arial"/>
                <w:szCs w:val="22"/>
              </w:rPr>
              <w:t>responsibilities</w:t>
            </w:r>
            <w:proofErr w:type="spellEnd"/>
          </w:p>
        </w:tc>
      </w:tr>
      <w:tr w:rsidR="00734D3B" w:rsidRPr="0026787D" w14:paraId="59C4DFBC" w14:textId="77777777" w:rsidTr="00984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2DE3575" w14:textId="77777777" w:rsidR="00C2306E" w:rsidRPr="00734D3B" w:rsidRDefault="00C2306E" w:rsidP="00535EE2">
            <w:pPr>
              <w:ind w:firstLine="0"/>
              <w:rPr>
                <w:rFonts w:cs="Arial"/>
                <w:szCs w:val="22"/>
              </w:rPr>
            </w:pPr>
            <w:r w:rsidRPr="00734D3B">
              <w:rPr>
                <w:rFonts w:cs="Arial"/>
                <w:szCs w:val="22"/>
              </w:rPr>
              <w:t>Project Manager</w:t>
            </w:r>
          </w:p>
        </w:tc>
        <w:tc>
          <w:tcPr>
            <w:tcW w:w="2931" w:type="dxa"/>
          </w:tcPr>
          <w:p w14:paraId="01B5A2D3"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Asegura recursos, aprueba reportes y cumplimiento; coordina con GC/Owner.</w:t>
            </w:r>
          </w:p>
        </w:tc>
        <w:tc>
          <w:tcPr>
            <w:tcW w:w="2880" w:type="dxa"/>
          </w:tcPr>
          <w:p w14:paraId="3034198C"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lang w:val="en-US"/>
              </w:rPr>
            </w:pPr>
            <w:r w:rsidRPr="00734D3B">
              <w:rPr>
                <w:rFonts w:cs="Arial"/>
                <w:szCs w:val="22"/>
                <w:lang w:val="en-US"/>
              </w:rPr>
              <w:t>Ensures resources, approves reporting and compliance; coordinates with GC/Owner.</w:t>
            </w:r>
          </w:p>
        </w:tc>
      </w:tr>
      <w:tr w:rsidR="00734D3B" w:rsidRPr="0026787D" w14:paraId="22F9B17D" w14:textId="77777777" w:rsidTr="00984662">
        <w:tc>
          <w:tcPr>
            <w:cnfStyle w:val="001000000000" w:firstRow="0" w:lastRow="0" w:firstColumn="1" w:lastColumn="0" w:oddVBand="0" w:evenVBand="0" w:oddHBand="0" w:evenHBand="0" w:firstRowFirstColumn="0" w:firstRowLastColumn="0" w:lastRowFirstColumn="0" w:lastRowLastColumn="0"/>
            <w:tcW w:w="2880" w:type="dxa"/>
          </w:tcPr>
          <w:p w14:paraId="70C811E6" w14:textId="7C126E7A" w:rsidR="00C2306E" w:rsidRPr="00734D3B" w:rsidRDefault="00C2306E" w:rsidP="00535EE2">
            <w:pPr>
              <w:ind w:firstLine="0"/>
              <w:rPr>
                <w:rFonts w:cs="Arial"/>
                <w:szCs w:val="22"/>
              </w:rPr>
            </w:pPr>
            <w:r w:rsidRPr="00734D3B">
              <w:rPr>
                <w:rFonts w:cs="Arial"/>
                <w:szCs w:val="22"/>
              </w:rPr>
              <w:t>Responsable Ambiental</w:t>
            </w:r>
            <w:r w:rsidR="00535EE2" w:rsidRPr="00734D3B">
              <w:rPr>
                <w:rFonts w:cs="Arial"/>
                <w:szCs w:val="22"/>
              </w:rPr>
              <w:t xml:space="preserve"> </w:t>
            </w:r>
            <w:r w:rsidR="00E03D43" w:rsidRPr="00734D3B">
              <w:rPr>
                <w:rFonts w:cs="Arial"/>
                <w:szCs w:val="22"/>
              </w:rPr>
              <w:t>/ HSE</w:t>
            </w:r>
          </w:p>
          <w:p w14:paraId="4663A641" w14:textId="77777777" w:rsidR="00C2306E" w:rsidRPr="00734D3B" w:rsidRDefault="00C2306E" w:rsidP="00647BAE">
            <w:pPr>
              <w:rPr>
                <w:rFonts w:cs="Arial"/>
                <w:szCs w:val="22"/>
              </w:rPr>
            </w:pPr>
          </w:p>
        </w:tc>
        <w:tc>
          <w:tcPr>
            <w:tcW w:w="2931" w:type="dxa"/>
          </w:tcPr>
          <w:p w14:paraId="77EDF5A2"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Define clasificación, valida disposición, mantiene registros y evidencia.</w:t>
            </w:r>
          </w:p>
        </w:tc>
        <w:tc>
          <w:tcPr>
            <w:tcW w:w="2880" w:type="dxa"/>
          </w:tcPr>
          <w:p w14:paraId="7EF548E0"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lang w:val="en-US"/>
              </w:rPr>
            </w:pPr>
            <w:r w:rsidRPr="00734D3B">
              <w:rPr>
                <w:rFonts w:cs="Arial"/>
                <w:szCs w:val="22"/>
                <w:lang w:val="en-US"/>
              </w:rPr>
              <w:t>Defines classification, validates disposition, maintains records and evidence.</w:t>
            </w:r>
          </w:p>
        </w:tc>
      </w:tr>
      <w:tr w:rsidR="00734D3B" w:rsidRPr="0026787D" w14:paraId="3BD0D0F4" w14:textId="77777777" w:rsidTr="00984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01AC27A" w14:textId="77777777" w:rsidR="00C2306E" w:rsidRPr="00734D3B" w:rsidRDefault="00C2306E" w:rsidP="00535EE2">
            <w:pPr>
              <w:ind w:firstLine="0"/>
              <w:rPr>
                <w:rFonts w:cs="Arial"/>
                <w:szCs w:val="22"/>
              </w:rPr>
            </w:pPr>
            <w:proofErr w:type="spellStart"/>
            <w:r w:rsidRPr="00734D3B">
              <w:rPr>
                <w:rFonts w:cs="Arial"/>
                <w:szCs w:val="22"/>
              </w:rPr>
              <w:t>Superintendent</w:t>
            </w:r>
            <w:proofErr w:type="spellEnd"/>
          </w:p>
        </w:tc>
        <w:tc>
          <w:tcPr>
            <w:tcW w:w="2931" w:type="dxa"/>
          </w:tcPr>
          <w:p w14:paraId="7DA3B9C1"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Implementa controles en obra; verifica áreas de almacenamiento y disciplina operativa.</w:t>
            </w:r>
          </w:p>
        </w:tc>
        <w:tc>
          <w:tcPr>
            <w:tcW w:w="2880" w:type="dxa"/>
          </w:tcPr>
          <w:p w14:paraId="0D1A0F7C"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lang w:val="en-US"/>
              </w:rPr>
            </w:pPr>
            <w:r w:rsidRPr="00734D3B">
              <w:rPr>
                <w:rFonts w:cs="Arial"/>
                <w:szCs w:val="22"/>
                <w:lang w:val="en-US"/>
              </w:rPr>
              <w:t>Implement field controls; verify storage areas and operational discipline.</w:t>
            </w:r>
          </w:p>
        </w:tc>
      </w:tr>
      <w:tr w:rsidR="00734D3B" w:rsidRPr="0026787D" w14:paraId="1CA0ECA2" w14:textId="77777777" w:rsidTr="00984662">
        <w:tc>
          <w:tcPr>
            <w:cnfStyle w:val="001000000000" w:firstRow="0" w:lastRow="0" w:firstColumn="1" w:lastColumn="0" w:oddVBand="0" w:evenVBand="0" w:oddHBand="0" w:evenHBand="0" w:firstRowFirstColumn="0" w:firstRowLastColumn="0" w:lastRowFirstColumn="0" w:lastRowLastColumn="0"/>
            <w:tcW w:w="2880" w:type="dxa"/>
          </w:tcPr>
          <w:p w14:paraId="54ECF05D" w14:textId="77777777" w:rsidR="00C2306E" w:rsidRPr="00734D3B" w:rsidRDefault="00C2306E" w:rsidP="00535EE2">
            <w:pPr>
              <w:ind w:firstLine="0"/>
              <w:rPr>
                <w:rFonts w:cs="Arial"/>
                <w:szCs w:val="22"/>
              </w:rPr>
            </w:pPr>
            <w:r w:rsidRPr="00734D3B">
              <w:rPr>
                <w:rFonts w:cs="Arial"/>
                <w:szCs w:val="22"/>
              </w:rPr>
              <w:t xml:space="preserve">Foreman Eléctrico / </w:t>
            </w:r>
            <w:proofErr w:type="spellStart"/>
            <w:r w:rsidRPr="00734D3B">
              <w:rPr>
                <w:rFonts w:cs="Arial"/>
                <w:szCs w:val="22"/>
              </w:rPr>
              <w:t>Electrical</w:t>
            </w:r>
            <w:proofErr w:type="spellEnd"/>
            <w:r w:rsidRPr="00734D3B">
              <w:rPr>
                <w:rFonts w:cs="Arial"/>
                <w:szCs w:val="22"/>
              </w:rPr>
              <w:t xml:space="preserve"> Foreman</w:t>
            </w:r>
          </w:p>
        </w:tc>
        <w:tc>
          <w:tcPr>
            <w:tcW w:w="2931" w:type="dxa"/>
          </w:tcPr>
          <w:p w14:paraId="20CE03D1"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Asegura segregación en el punto de generación; etiqueta y comunica desviaciones.</w:t>
            </w:r>
          </w:p>
        </w:tc>
        <w:tc>
          <w:tcPr>
            <w:tcW w:w="2880" w:type="dxa"/>
          </w:tcPr>
          <w:p w14:paraId="1A752F36"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lang w:val="en-US"/>
              </w:rPr>
            </w:pPr>
            <w:r w:rsidRPr="00734D3B">
              <w:rPr>
                <w:rFonts w:cs="Arial"/>
                <w:szCs w:val="22"/>
                <w:lang w:val="en-US"/>
              </w:rPr>
              <w:t>Ensures segregation at point of generation; labels and reports deviations.</w:t>
            </w:r>
          </w:p>
        </w:tc>
      </w:tr>
    </w:tbl>
    <w:p w14:paraId="50BBE0C1" w14:textId="1C01F989" w:rsidR="00984662" w:rsidRPr="00734D3B" w:rsidRDefault="00984662" w:rsidP="00984662">
      <w:pPr>
        <w:ind w:firstLine="705"/>
        <w:jc w:val="both"/>
        <w:textAlignment w:val="baseline"/>
        <w:rPr>
          <w:rFonts w:cs="Arial"/>
          <w:b/>
          <w:bCs/>
          <w:sz w:val="20"/>
          <w:szCs w:val="20"/>
          <w:lang w:eastAsia="en-US"/>
          <w14:ligatures w14:val="standardContextual"/>
        </w:rPr>
      </w:pPr>
      <w:r w:rsidRPr="00734D3B">
        <w:rPr>
          <w:rFonts w:cs="Arial"/>
          <w:i/>
          <w:iCs/>
          <w:szCs w:val="20"/>
          <w:lang w:eastAsia="en-US"/>
          <w14:ligatures w14:val="standardContextual"/>
        </w:rPr>
        <w:t>Nota</w:t>
      </w:r>
      <w:r w:rsidRPr="00734D3B">
        <w:rPr>
          <w:rFonts w:cs="Arial"/>
          <w:szCs w:val="20"/>
          <w:lang w:eastAsia="en-US"/>
          <w14:ligatures w14:val="standardContextual"/>
        </w:rPr>
        <w:t>. La Tabla 14 sintetiza los roles y responsabilidades</w:t>
      </w:r>
    </w:p>
    <w:p w14:paraId="3475D057" w14:textId="77777777" w:rsidR="00BE0964" w:rsidRDefault="00BE0964">
      <w:pPr>
        <w:spacing w:line="240" w:lineRule="auto"/>
        <w:ind w:firstLine="0"/>
        <w:rPr>
          <w:rFonts w:cs="Arial"/>
          <w:b/>
          <w:bCs/>
          <w:szCs w:val="22"/>
        </w:rPr>
      </w:pPr>
      <w:r>
        <w:rPr>
          <w:rFonts w:cs="Arial"/>
          <w:b/>
          <w:bCs/>
          <w:szCs w:val="22"/>
        </w:rPr>
        <w:br w:type="page"/>
      </w:r>
    </w:p>
    <w:p w14:paraId="515EE481" w14:textId="4A2CD1B4" w:rsidR="00C2306E" w:rsidRPr="00734D3B" w:rsidRDefault="00C2306E" w:rsidP="00C2306E">
      <w:pPr>
        <w:rPr>
          <w:rFonts w:cs="Arial"/>
          <w:b/>
          <w:bCs/>
          <w:szCs w:val="22"/>
        </w:rPr>
      </w:pPr>
      <w:r w:rsidRPr="00734D3B">
        <w:rPr>
          <w:rFonts w:cs="Arial"/>
          <w:b/>
          <w:bCs/>
          <w:szCs w:val="22"/>
        </w:rPr>
        <w:lastRenderedPageBreak/>
        <w:t xml:space="preserve">Procedimiento / </w:t>
      </w:r>
      <w:proofErr w:type="spellStart"/>
      <w:r w:rsidRPr="00734D3B">
        <w:rPr>
          <w:rFonts w:cs="Arial"/>
          <w:b/>
          <w:bCs/>
          <w:szCs w:val="22"/>
        </w:rPr>
        <w:t>Procedure</w:t>
      </w:r>
      <w:proofErr w:type="spellEnd"/>
    </w:p>
    <w:p w14:paraId="68A15E70" w14:textId="77777777" w:rsidR="00B53B0B" w:rsidRDefault="00EA1610" w:rsidP="002B3F0D">
      <w:pPr>
        <w:spacing w:after="200"/>
        <w:ind w:firstLine="0"/>
        <w:rPr>
          <w:b/>
          <w:szCs w:val="18"/>
        </w:rPr>
      </w:pPr>
      <w:bookmarkStart w:id="357" w:name="_Toc228342095"/>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Pr="00734D3B">
        <w:rPr>
          <w:b/>
          <w:noProof/>
          <w:szCs w:val="18"/>
        </w:rPr>
        <w:t>15</w:t>
      </w:r>
      <w:r w:rsidRPr="00734D3B">
        <w:rPr>
          <w:b/>
          <w:szCs w:val="18"/>
        </w:rPr>
        <w:fldChar w:fldCharType="end"/>
      </w:r>
    </w:p>
    <w:p w14:paraId="332A3CE3" w14:textId="4C2954A7" w:rsidR="00234BD7" w:rsidRPr="00BE0964" w:rsidRDefault="002B3F0D" w:rsidP="002B3F0D">
      <w:pPr>
        <w:spacing w:after="200"/>
        <w:ind w:firstLine="0"/>
        <w:rPr>
          <w:b/>
          <w:szCs w:val="18"/>
        </w:rPr>
      </w:pPr>
      <w:r w:rsidRPr="00734D3B">
        <w:rPr>
          <w:rFonts w:cs="Arial"/>
          <w:bCs/>
          <w:i/>
          <w:iCs/>
          <w:szCs w:val="22"/>
          <w:lang w:val="es-419"/>
        </w:rPr>
        <w:t>Procedimiento</w:t>
      </w:r>
      <w:bookmarkEnd w:id="357"/>
    </w:p>
    <w:tbl>
      <w:tblPr>
        <w:tblStyle w:val="PlainTable2"/>
        <w:tblW w:w="0" w:type="auto"/>
        <w:tblLook w:val="04A0" w:firstRow="1" w:lastRow="0" w:firstColumn="1" w:lastColumn="0" w:noHBand="0" w:noVBand="1"/>
      </w:tblPr>
      <w:tblGrid>
        <w:gridCol w:w="2880"/>
        <w:gridCol w:w="2880"/>
        <w:gridCol w:w="2880"/>
      </w:tblGrid>
      <w:tr w:rsidR="00734D3B" w:rsidRPr="00734D3B" w14:paraId="742DD68D" w14:textId="77777777" w:rsidTr="00E03D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0711968" w14:textId="77777777" w:rsidR="00C2306E" w:rsidRPr="00734D3B" w:rsidRDefault="00C2306E" w:rsidP="00647BAE">
            <w:pPr>
              <w:rPr>
                <w:rFonts w:cs="Arial"/>
                <w:szCs w:val="22"/>
              </w:rPr>
            </w:pPr>
            <w:r w:rsidRPr="00734D3B">
              <w:rPr>
                <w:rFonts w:eastAsia="Calibri" w:cs="Arial"/>
                <w:szCs w:val="22"/>
              </w:rPr>
              <w:t>Paso / Step</w:t>
            </w:r>
          </w:p>
        </w:tc>
        <w:tc>
          <w:tcPr>
            <w:tcW w:w="2880" w:type="dxa"/>
          </w:tcPr>
          <w:p w14:paraId="4DE87DE0" w14:textId="06D460E0"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eastAsia="Calibri" w:cs="Arial"/>
                <w:szCs w:val="22"/>
              </w:rPr>
              <w:t xml:space="preserve">Descripción </w:t>
            </w:r>
          </w:p>
        </w:tc>
        <w:tc>
          <w:tcPr>
            <w:tcW w:w="2880" w:type="dxa"/>
          </w:tcPr>
          <w:p w14:paraId="6B31E512" w14:textId="191A7486"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proofErr w:type="spellStart"/>
            <w:r w:rsidRPr="00734D3B">
              <w:rPr>
                <w:rFonts w:eastAsia="Calibri" w:cs="Arial"/>
                <w:szCs w:val="22"/>
              </w:rPr>
              <w:t>Description</w:t>
            </w:r>
            <w:proofErr w:type="spellEnd"/>
            <w:r w:rsidRPr="00734D3B">
              <w:rPr>
                <w:rFonts w:eastAsia="Calibri" w:cs="Arial"/>
                <w:szCs w:val="22"/>
              </w:rPr>
              <w:t xml:space="preserve"> </w:t>
            </w:r>
          </w:p>
        </w:tc>
      </w:tr>
      <w:tr w:rsidR="00734D3B" w:rsidRPr="0026787D" w14:paraId="7A2B57F6" w14:textId="77777777" w:rsidTr="00E03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D8CD889" w14:textId="3F514294" w:rsidR="00C2306E" w:rsidRPr="00734D3B" w:rsidRDefault="00C2306E" w:rsidP="00D36858">
            <w:pPr>
              <w:ind w:firstLine="0"/>
              <w:rPr>
                <w:rFonts w:cs="Arial"/>
                <w:szCs w:val="22"/>
              </w:rPr>
            </w:pPr>
            <w:r w:rsidRPr="00734D3B">
              <w:rPr>
                <w:rFonts w:cs="Arial"/>
                <w:szCs w:val="22"/>
              </w:rPr>
              <w:t>Generación e identificación del residuo</w:t>
            </w:r>
            <w:r w:rsidRPr="00734D3B">
              <w:rPr>
                <w:rFonts w:cs="Arial"/>
                <w:szCs w:val="22"/>
              </w:rPr>
              <w:br/>
              <w:t xml:space="preserve">Waste </w:t>
            </w:r>
            <w:proofErr w:type="spellStart"/>
            <w:r w:rsidRPr="00734D3B">
              <w:rPr>
                <w:rFonts w:cs="Arial"/>
                <w:szCs w:val="22"/>
              </w:rPr>
              <w:t>generation</w:t>
            </w:r>
            <w:proofErr w:type="spellEnd"/>
            <w:r w:rsidRPr="00734D3B">
              <w:rPr>
                <w:rFonts w:cs="Arial"/>
                <w:szCs w:val="22"/>
              </w:rPr>
              <w:t xml:space="preserve"> &amp; </w:t>
            </w:r>
            <w:proofErr w:type="spellStart"/>
            <w:r w:rsidRPr="00734D3B">
              <w:rPr>
                <w:rFonts w:cs="Arial"/>
                <w:szCs w:val="22"/>
              </w:rPr>
              <w:t>identification</w:t>
            </w:r>
            <w:proofErr w:type="spellEnd"/>
          </w:p>
        </w:tc>
        <w:tc>
          <w:tcPr>
            <w:tcW w:w="2880" w:type="dxa"/>
          </w:tcPr>
          <w:p w14:paraId="3F5BB63E"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Al finalizar la actividad eléctrica, el personal identifica el residuo generado y confirma su tipo.</w:t>
            </w:r>
          </w:p>
        </w:tc>
        <w:tc>
          <w:tcPr>
            <w:tcW w:w="2880" w:type="dxa"/>
          </w:tcPr>
          <w:p w14:paraId="3C6B4463"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lang w:val="en-US"/>
              </w:rPr>
            </w:pPr>
            <w:r w:rsidRPr="00734D3B">
              <w:rPr>
                <w:rFonts w:cs="Arial"/>
                <w:szCs w:val="22"/>
                <w:lang w:val="en-US"/>
              </w:rPr>
              <w:t>Upon completion of electrical work, personnel identify generated waste and confirm type.</w:t>
            </w:r>
          </w:p>
        </w:tc>
      </w:tr>
      <w:tr w:rsidR="00734D3B" w:rsidRPr="0026787D" w14:paraId="6C669F72" w14:textId="77777777" w:rsidTr="00E03D43">
        <w:tc>
          <w:tcPr>
            <w:cnfStyle w:val="001000000000" w:firstRow="0" w:lastRow="0" w:firstColumn="1" w:lastColumn="0" w:oddVBand="0" w:evenVBand="0" w:oddHBand="0" w:evenHBand="0" w:firstRowFirstColumn="0" w:firstRowLastColumn="0" w:lastRowFirstColumn="0" w:lastRowLastColumn="0"/>
            <w:tcW w:w="2880" w:type="dxa"/>
          </w:tcPr>
          <w:p w14:paraId="6BDA7BF0" w14:textId="27FDF735" w:rsidR="00C2306E" w:rsidRPr="00734D3B" w:rsidRDefault="00C2306E" w:rsidP="00D36858">
            <w:pPr>
              <w:ind w:firstLine="0"/>
              <w:rPr>
                <w:rFonts w:cs="Arial"/>
                <w:szCs w:val="22"/>
              </w:rPr>
            </w:pPr>
            <w:r w:rsidRPr="00734D3B">
              <w:rPr>
                <w:rFonts w:cs="Arial"/>
                <w:szCs w:val="22"/>
              </w:rPr>
              <w:t>Clasificación y segregación en sitio</w:t>
            </w:r>
            <w:r w:rsidRPr="00734D3B">
              <w:rPr>
                <w:rFonts w:cs="Arial"/>
                <w:szCs w:val="22"/>
              </w:rPr>
              <w:br/>
            </w:r>
            <w:proofErr w:type="spellStart"/>
            <w:r w:rsidRPr="00734D3B">
              <w:rPr>
                <w:rFonts w:cs="Arial"/>
                <w:szCs w:val="22"/>
              </w:rPr>
              <w:t>On</w:t>
            </w:r>
            <w:proofErr w:type="spellEnd"/>
            <w:r w:rsidRPr="00734D3B">
              <w:rPr>
                <w:rFonts w:cs="Arial"/>
                <w:szCs w:val="22"/>
              </w:rPr>
              <w:t xml:space="preserve">-site </w:t>
            </w:r>
            <w:proofErr w:type="spellStart"/>
            <w:r w:rsidRPr="00734D3B">
              <w:rPr>
                <w:rFonts w:cs="Arial"/>
                <w:szCs w:val="22"/>
              </w:rPr>
              <w:t>classification</w:t>
            </w:r>
            <w:proofErr w:type="spellEnd"/>
            <w:r w:rsidRPr="00734D3B">
              <w:rPr>
                <w:rFonts w:cs="Arial"/>
                <w:szCs w:val="22"/>
              </w:rPr>
              <w:t xml:space="preserve"> &amp; </w:t>
            </w:r>
            <w:proofErr w:type="spellStart"/>
            <w:r w:rsidRPr="00734D3B">
              <w:rPr>
                <w:rFonts w:cs="Arial"/>
                <w:szCs w:val="22"/>
              </w:rPr>
              <w:t>segregation</w:t>
            </w:r>
            <w:proofErr w:type="spellEnd"/>
          </w:p>
        </w:tc>
        <w:tc>
          <w:tcPr>
            <w:tcW w:w="2880" w:type="dxa"/>
          </w:tcPr>
          <w:p w14:paraId="37D1A4E4"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Separar por categoría: reutilizable, reciclable o disposición final; evitar mezcla de materiales.</w:t>
            </w:r>
          </w:p>
        </w:tc>
        <w:tc>
          <w:tcPr>
            <w:tcW w:w="2880" w:type="dxa"/>
          </w:tcPr>
          <w:p w14:paraId="00AF9EAA"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lang w:val="en-US"/>
              </w:rPr>
            </w:pPr>
            <w:r w:rsidRPr="00734D3B">
              <w:rPr>
                <w:rFonts w:cs="Arial"/>
                <w:szCs w:val="22"/>
                <w:lang w:val="en-US"/>
              </w:rPr>
              <w:t>Segregate by category: reusable, recyclable, or disposal; avoid material mixing.</w:t>
            </w:r>
          </w:p>
        </w:tc>
      </w:tr>
      <w:tr w:rsidR="00734D3B" w:rsidRPr="0026787D" w14:paraId="07DAE4E3" w14:textId="77777777" w:rsidTr="00E03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7FFC164" w14:textId="37C701AA" w:rsidR="00C2306E" w:rsidRPr="00734D3B" w:rsidRDefault="00C2306E" w:rsidP="00D36858">
            <w:pPr>
              <w:ind w:firstLine="0"/>
              <w:rPr>
                <w:rFonts w:cs="Arial"/>
                <w:szCs w:val="22"/>
              </w:rPr>
            </w:pPr>
            <w:r w:rsidRPr="00734D3B">
              <w:rPr>
                <w:rFonts w:cs="Arial"/>
                <w:szCs w:val="22"/>
              </w:rPr>
              <w:t>Etiquetado y contenedores</w:t>
            </w:r>
            <w:r w:rsidRPr="00734D3B">
              <w:rPr>
                <w:rFonts w:cs="Arial"/>
                <w:szCs w:val="22"/>
              </w:rPr>
              <w:br/>
            </w:r>
            <w:proofErr w:type="spellStart"/>
            <w:r w:rsidRPr="00734D3B">
              <w:rPr>
                <w:rFonts w:cs="Arial"/>
                <w:szCs w:val="22"/>
              </w:rPr>
              <w:t>Labeling</w:t>
            </w:r>
            <w:proofErr w:type="spellEnd"/>
            <w:r w:rsidRPr="00734D3B">
              <w:rPr>
                <w:rFonts w:cs="Arial"/>
                <w:szCs w:val="22"/>
              </w:rPr>
              <w:t xml:space="preserve"> &amp; </w:t>
            </w:r>
            <w:proofErr w:type="spellStart"/>
            <w:r w:rsidRPr="00734D3B">
              <w:rPr>
                <w:rFonts w:cs="Arial"/>
                <w:szCs w:val="22"/>
              </w:rPr>
              <w:t>containers</w:t>
            </w:r>
            <w:proofErr w:type="spellEnd"/>
          </w:p>
        </w:tc>
        <w:tc>
          <w:tcPr>
            <w:tcW w:w="2880" w:type="dxa"/>
          </w:tcPr>
          <w:p w14:paraId="69AAEAC6"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Colocar etiqueta con: fecha, zona, actividad, tipo de residuo y responsable.</w:t>
            </w:r>
          </w:p>
        </w:tc>
        <w:tc>
          <w:tcPr>
            <w:tcW w:w="2880" w:type="dxa"/>
          </w:tcPr>
          <w:p w14:paraId="5CFD98C7"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lang w:val="en-US"/>
              </w:rPr>
            </w:pPr>
            <w:r w:rsidRPr="00734D3B">
              <w:rPr>
                <w:rFonts w:cs="Arial"/>
                <w:szCs w:val="22"/>
                <w:lang w:val="en-US"/>
              </w:rPr>
              <w:t>Label with date, area, activity, waste type, and responsible person.</w:t>
            </w:r>
          </w:p>
        </w:tc>
      </w:tr>
      <w:tr w:rsidR="00734D3B" w:rsidRPr="0026787D" w14:paraId="235D8605" w14:textId="77777777" w:rsidTr="00E03D43">
        <w:tc>
          <w:tcPr>
            <w:cnfStyle w:val="001000000000" w:firstRow="0" w:lastRow="0" w:firstColumn="1" w:lastColumn="0" w:oddVBand="0" w:evenVBand="0" w:oddHBand="0" w:evenHBand="0" w:firstRowFirstColumn="0" w:firstRowLastColumn="0" w:lastRowFirstColumn="0" w:lastRowLastColumn="0"/>
            <w:tcW w:w="2880" w:type="dxa"/>
          </w:tcPr>
          <w:p w14:paraId="738B7CBA" w14:textId="58BF12E6" w:rsidR="00C2306E" w:rsidRPr="00734D3B" w:rsidRDefault="00C2306E" w:rsidP="00D36858">
            <w:pPr>
              <w:ind w:firstLine="0"/>
              <w:rPr>
                <w:rFonts w:cs="Arial"/>
                <w:szCs w:val="22"/>
              </w:rPr>
            </w:pPr>
            <w:r w:rsidRPr="00734D3B">
              <w:rPr>
                <w:rFonts w:cs="Arial"/>
                <w:szCs w:val="22"/>
              </w:rPr>
              <w:t>Almacenamiento temporal</w:t>
            </w:r>
            <w:r w:rsidRPr="00734D3B">
              <w:rPr>
                <w:rFonts w:cs="Arial"/>
                <w:szCs w:val="22"/>
              </w:rPr>
              <w:br/>
            </w:r>
            <w:proofErr w:type="spellStart"/>
            <w:r w:rsidRPr="00734D3B">
              <w:rPr>
                <w:rFonts w:cs="Arial"/>
                <w:szCs w:val="22"/>
              </w:rPr>
              <w:t>Temporary</w:t>
            </w:r>
            <w:proofErr w:type="spellEnd"/>
            <w:r w:rsidRPr="00734D3B">
              <w:rPr>
                <w:rFonts w:cs="Arial"/>
                <w:szCs w:val="22"/>
              </w:rPr>
              <w:t xml:space="preserve"> </w:t>
            </w:r>
            <w:proofErr w:type="spellStart"/>
            <w:r w:rsidRPr="00734D3B">
              <w:rPr>
                <w:rFonts w:cs="Arial"/>
                <w:szCs w:val="22"/>
              </w:rPr>
              <w:t>storage</w:t>
            </w:r>
            <w:proofErr w:type="spellEnd"/>
          </w:p>
        </w:tc>
        <w:tc>
          <w:tcPr>
            <w:tcW w:w="2880" w:type="dxa"/>
          </w:tcPr>
          <w:p w14:paraId="493CE87A"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Trasladar a un área designada, señalizada y protegida; mantener orden y acceso controlado.</w:t>
            </w:r>
          </w:p>
        </w:tc>
        <w:tc>
          <w:tcPr>
            <w:tcW w:w="2880" w:type="dxa"/>
          </w:tcPr>
          <w:p w14:paraId="40AF625E"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lang w:val="en-US"/>
              </w:rPr>
            </w:pPr>
            <w:r w:rsidRPr="00734D3B">
              <w:rPr>
                <w:rFonts w:cs="Arial"/>
                <w:szCs w:val="22"/>
                <w:lang w:val="en-US"/>
              </w:rPr>
              <w:t>Move to a designated, marked and protected area; maintain order and controlled access.</w:t>
            </w:r>
          </w:p>
        </w:tc>
      </w:tr>
      <w:tr w:rsidR="00734D3B" w:rsidRPr="0026787D" w14:paraId="390A2AB1" w14:textId="77777777" w:rsidTr="00E03D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5EB276F" w14:textId="7099FE7D" w:rsidR="00C2306E" w:rsidRPr="00734D3B" w:rsidRDefault="00C2306E" w:rsidP="00D36858">
            <w:pPr>
              <w:ind w:firstLine="0"/>
              <w:rPr>
                <w:rFonts w:cs="Arial"/>
                <w:szCs w:val="22"/>
              </w:rPr>
            </w:pPr>
            <w:r w:rsidRPr="00734D3B">
              <w:rPr>
                <w:rFonts w:cs="Arial"/>
                <w:szCs w:val="22"/>
              </w:rPr>
              <w:lastRenderedPageBreak/>
              <w:t>Transporte y cadena de custodia</w:t>
            </w:r>
            <w:r w:rsidRPr="00734D3B">
              <w:rPr>
                <w:rFonts w:cs="Arial"/>
                <w:szCs w:val="22"/>
              </w:rPr>
              <w:br/>
            </w:r>
            <w:proofErr w:type="spellStart"/>
            <w:r w:rsidRPr="00734D3B">
              <w:rPr>
                <w:rFonts w:cs="Arial"/>
                <w:szCs w:val="22"/>
              </w:rPr>
              <w:t>Transport</w:t>
            </w:r>
            <w:proofErr w:type="spellEnd"/>
            <w:r w:rsidRPr="00734D3B">
              <w:rPr>
                <w:rFonts w:cs="Arial"/>
                <w:szCs w:val="22"/>
              </w:rPr>
              <w:t xml:space="preserve"> &amp; </w:t>
            </w:r>
            <w:proofErr w:type="spellStart"/>
            <w:r w:rsidRPr="00734D3B">
              <w:rPr>
                <w:rFonts w:cs="Arial"/>
                <w:szCs w:val="22"/>
              </w:rPr>
              <w:t>chain</w:t>
            </w:r>
            <w:proofErr w:type="spellEnd"/>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w:t>
            </w:r>
            <w:proofErr w:type="spellStart"/>
            <w:r w:rsidRPr="00734D3B">
              <w:rPr>
                <w:rFonts w:cs="Arial"/>
                <w:szCs w:val="22"/>
              </w:rPr>
              <w:t>custody</w:t>
            </w:r>
            <w:proofErr w:type="spellEnd"/>
          </w:p>
        </w:tc>
        <w:tc>
          <w:tcPr>
            <w:tcW w:w="2880" w:type="dxa"/>
          </w:tcPr>
          <w:p w14:paraId="3954C150"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Coordinar retiro con proveedor autorizado; registrar manifiesto/boleta y destino.</w:t>
            </w:r>
          </w:p>
        </w:tc>
        <w:tc>
          <w:tcPr>
            <w:tcW w:w="2880" w:type="dxa"/>
          </w:tcPr>
          <w:p w14:paraId="0388FACD" w14:textId="77777777"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lang w:val="en-US"/>
              </w:rPr>
            </w:pPr>
            <w:r w:rsidRPr="00734D3B">
              <w:rPr>
                <w:rFonts w:cs="Arial"/>
                <w:szCs w:val="22"/>
                <w:lang w:val="en-US"/>
              </w:rPr>
              <w:t>Coordinate pickup with authorized vendor; record manifest/ticket and destination.</w:t>
            </w:r>
          </w:p>
        </w:tc>
      </w:tr>
      <w:tr w:rsidR="00734D3B" w:rsidRPr="0026787D" w14:paraId="29057154" w14:textId="77777777" w:rsidTr="00E03D43">
        <w:tc>
          <w:tcPr>
            <w:cnfStyle w:val="001000000000" w:firstRow="0" w:lastRow="0" w:firstColumn="1" w:lastColumn="0" w:oddVBand="0" w:evenVBand="0" w:oddHBand="0" w:evenHBand="0" w:firstRowFirstColumn="0" w:firstRowLastColumn="0" w:lastRowFirstColumn="0" w:lastRowLastColumn="0"/>
            <w:tcW w:w="2880" w:type="dxa"/>
          </w:tcPr>
          <w:p w14:paraId="5614A62F" w14:textId="3ACDA684" w:rsidR="00C2306E" w:rsidRPr="00734D3B" w:rsidRDefault="00C2306E" w:rsidP="00D36858">
            <w:pPr>
              <w:ind w:firstLine="0"/>
              <w:rPr>
                <w:rFonts w:cs="Arial"/>
                <w:szCs w:val="22"/>
              </w:rPr>
            </w:pPr>
            <w:r w:rsidRPr="00734D3B">
              <w:rPr>
                <w:rFonts w:cs="Arial"/>
                <w:szCs w:val="22"/>
              </w:rPr>
              <w:t>Disposición final y verificación</w:t>
            </w:r>
            <w:r w:rsidRPr="00734D3B">
              <w:rPr>
                <w:rFonts w:cs="Arial"/>
                <w:szCs w:val="22"/>
              </w:rPr>
              <w:br/>
              <w:t xml:space="preserve">Final </w:t>
            </w:r>
            <w:proofErr w:type="spellStart"/>
            <w:r w:rsidRPr="00734D3B">
              <w:rPr>
                <w:rFonts w:cs="Arial"/>
                <w:szCs w:val="22"/>
              </w:rPr>
              <w:t>disposition</w:t>
            </w:r>
            <w:proofErr w:type="spellEnd"/>
            <w:r w:rsidRPr="00734D3B">
              <w:rPr>
                <w:rFonts w:cs="Arial"/>
                <w:szCs w:val="22"/>
              </w:rPr>
              <w:t xml:space="preserve"> &amp; </w:t>
            </w:r>
            <w:proofErr w:type="spellStart"/>
            <w:r w:rsidRPr="00734D3B">
              <w:rPr>
                <w:rFonts w:cs="Arial"/>
                <w:szCs w:val="22"/>
              </w:rPr>
              <w:t>verification</w:t>
            </w:r>
            <w:proofErr w:type="spellEnd"/>
          </w:p>
        </w:tc>
        <w:tc>
          <w:tcPr>
            <w:tcW w:w="2880" w:type="dxa"/>
          </w:tcPr>
          <w:p w14:paraId="713849C4"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 xml:space="preserve">Confirmar reciclaje certificado o disposición autorizada; archivar evidencia (certificados, </w:t>
            </w:r>
            <w:proofErr w:type="gramStart"/>
            <w:r w:rsidRPr="00734D3B">
              <w:rPr>
                <w:rFonts w:cs="Arial"/>
                <w:szCs w:val="22"/>
              </w:rPr>
              <w:t>tickets</w:t>
            </w:r>
            <w:proofErr w:type="gramEnd"/>
            <w:r w:rsidRPr="00734D3B">
              <w:rPr>
                <w:rFonts w:cs="Arial"/>
                <w:szCs w:val="22"/>
              </w:rPr>
              <w:t>).</w:t>
            </w:r>
          </w:p>
        </w:tc>
        <w:tc>
          <w:tcPr>
            <w:tcW w:w="2880" w:type="dxa"/>
          </w:tcPr>
          <w:p w14:paraId="1772C53D" w14:textId="77777777"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lang w:val="en-US"/>
              </w:rPr>
            </w:pPr>
            <w:r w:rsidRPr="00734D3B">
              <w:rPr>
                <w:rFonts w:cs="Arial"/>
                <w:szCs w:val="22"/>
                <w:lang w:val="en-US"/>
              </w:rPr>
              <w:t>Confirm certified recycling or authorized disposal; archive evidence (certificates, tickets).</w:t>
            </w:r>
          </w:p>
        </w:tc>
      </w:tr>
    </w:tbl>
    <w:p w14:paraId="04F72964" w14:textId="5BB5A4AD" w:rsidR="00234BD7" w:rsidRPr="00734D3B" w:rsidRDefault="00234BD7" w:rsidP="00234BD7">
      <w:pPr>
        <w:pStyle w:val="paragraph"/>
        <w:spacing w:before="0" w:beforeAutospacing="0" w:after="0" w:afterAutospacing="0" w:line="480" w:lineRule="auto"/>
        <w:ind w:firstLine="705"/>
        <w:jc w:val="both"/>
        <w:textAlignment w:val="baseline"/>
        <w:rPr>
          <w:rStyle w:val="normaltextrun"/>
          <w:rFonts w:ascii="Arial" w:hAnsi="Arial" w:cs="Arial"/>
          <w:b/>
          <w:bCs/>
          <w:sz w:val="20"/>
          <w:szCs w:val="20"/>
          <w:lang w:val="es-CR"/>
        </w:rPr>
      </w:pPr>
      <w:r w:rsidRPr="00734D3B">
        <w:rPr>
          <w:rFonts w:ascii="Arial" w:hAnsi="Arial" w:cs="Arial"/>
          <w:i/>
          <w:iCs/>
          <w:sz w:val="22"/>
          <w:szCs w:val="20"/>
          <w:lang w:val="es-CR"/>
        </w:rPr>
        <w:t>Nota</w:t>
      </w:r>
      <w:r w:rsidRPr="00734D3B">
        <w:rPr>
          <w:rFonts w:ascii="Arial" w:hAnsi="Arial" w:cs="Arial"/>
          <w:sz w:val="22"/>
          <w:szCs w:val="20"/>
          <w:lang w:val="es-CR"/>
        </w:rPr>
        <w:t>. La Tabla 1</w:t>
      </w:r>
      <w:r w:rsidR="00EA1610" w:rsidRPr="00734D3B">
        <w:rPr>
          <w:rFonts w:ascii="Arial" w:hAnsi="Arial" w:cs="Arial"/>
          <w:sz w:val="22"/>
          <w:szCs w:val="20"/>
          <w:lang w:val="es-CR"/>
        </w:rPr>
        <w:t>5</w:t>
      </w:r>
      <w:r w:rsidRPr="00734D3B">
        <w:rPr>
          <w:rFonts w:ascii="Arial" w:hAnsi="Arial" w:cs="Arial"/>
          <w:sz w:val="22"/>
          <w:szCs w:val="20"/>
          <w:lang w:val="es-CR"/>
        </w:rPr>
        <w:t xml:space="preserve"> sintetiza </w:t>
      </w:r>
      <w:r w:rsidR="008E6DAE" w:rsidRPr="00734D3B">
        <w:rPr>
          <w:rFonts w:ascii="Arial" w:hAnsi="Arial" w:cs="Arial"/>
          <w:sz w:val="22"/>
          <w:szCs w:val="20"/>
          <w:lang w:val="es-CR"/>
        </w:rPr>
        <w:t>los procedimientos</w:t>
      </w:r>
    </w:p>
    <w:p w14:paraId="50D977E2" w14:textId="77777777" w:rsidR="00C2306E" w:rsidRPr="00734D3B" w:rsidRDefault="00C2306E" w:rsidP="00C2306E">
      <w:pPr>
        <w:rPr>
          <w:rFonts w:eastAsia="Calibri" w:cs="Arial"/>
          <w:b/>
          <w:szCs w:val="22"/>
        </w:rPr>
      </w:pPr>
    </w:p>
    <w:p w14:paraId="41D9072C" w14:textId="4318A6E7" w:rsidR="00C2306E" w:rsidRPr="00734D3B" w:rsidRDefault="00C2306E" w:rsidP="00C2306E">
      <w:pPr>
        <w:rPr>
          <w:rFonts w:cs="Arial"/>
          <w:b/>
          <w:bCs/>
          <w:szCs w:val="22"/>
        </w:rPr>
      </w:pPr>
      <w:r w:rsidRPr="00734D3B">
        <w:rPr>
          <w:rFonts w:cs="Arial"/>
          <w:b/>
          <w:bCs/>
          <w:szCs w:val="22"/>
        </w:rPr>
        <w:t xml:space="preserve">Registros y evidencia / Records &amp; </w:t>
      </w:r>
      <w:proofErr w:type="spellStart"/>
      <w:r w:rsidRPr="00734D3B">
        <w:rPr>
          <w:rFonts w:cs="Arial"/>
          <w:b/>
          <w:bCs/>
          <w:szCs w:val="22"/>
        </w:rPr>
        <w:t>Evidence</w:t>
      </w:r>
      <w:proofErr w:type="spellEnd"/>
    </w:p>
    <w:p w14:paraId="3DF4F64E" w14:textId="77777777" w:rsidR="00C2306E" w:rsidRPr="00734D3B" w:rsidRDefault="00C2306E" w:rsidP="00F3255D">
      <w:pPr>
        <w:pStyle w:val="ListParagraph"/>
        <w:numPr>
          <w:ilvl w:val="0"/>
          <w:numId w:val="72"/>
        </w:numPr>
        <w:spacing w:after="200" w:line="276" w:lineRule="auto"/>
        <w:contextualSpacing/>
        <w:rPr>
          <w:rFonts w:cs="Arial"/>
          <w:szCs w:val="22"/>
        </w:rPr>
      </w:pPr>
      <w:r w:rsidRPr="00734D3B">
        <w:rPr>
          <w:rFonts w:cs="Arial"/>
          <w:szCs w:val="22"/>
        </w:rPr>
        <w:t xml:space="preserve">Registro de residuos eléctricos (por área y fecha) / </w:t>
      </w:r>
      <w:proofErr w:type="spellStart"/>
      <w:r w:rsidRPr="00734D3B">
        <w:rPr>
          <w:rFonts w:cs="Arial"/>
          <w:szCs w:val="22"/>
        </w:rPr>
        <w:t>Electrical</w:t>
      </w:r>
      <w:proofErr w:type="spellEnd"/>
      <w:r w:rsidRPr="00734D3B">
        <w:rPr>
          <w:rFonts w:cs="Arial"/>
          <w:szCs w:val="22"/>
        </w:rPr>
        <w:t xml:space="preserve"> </w:t>
      </w:r>
      <w:proofErr w:type="spellStart"/>
      <w:r w:rsidRPr="00734D3B">
        <w:rPr>
          <w:rFonts w:cs="Arial"/>
          <w:szCs w:val="22"/>
        </w:rPr>
        <w:t>waste</w:t>
      </w:r>
      <w:proofErr w:type="spellEnd"/>
      <w:r w:rsidRPr="00734D3B">
        <w:rPr>
          <w:rFonts w:cs="Arial"/>
          <w:szCs w:val="22"/>
        </w:rPr>
        <w:t xml:space="preserve"> log (</w:t>
      </w:r>
      <w:proofErr w:type="spellStart"/>
      <w:r w:rsidRPr="00734D3B">
        <w:rPr>
          <w:rFonts w:cs="Arial"/>
          <w:szCs w:val="22"/>
        </w:rPr>
        <w:t>by</w:t>
      </w:r>
      <w:proofErr w:type="spellEnd"/>
      <w:r w:rsidRPr="00734D3B">
        <w:rPr>
          <w:rFonts w:cs="Arial"/>
          <w:szCs w:val="22"/>
        </w:rPr>
        <w:t xml:space="preserve"> </w:t>
      </w:r>
      <w:proofErr w:type="spellStart"/>
      <w:r w:rsidRPr="00734D3B">
        <w:rPr>
          <w:rFonts w:cs="Arial"/>
          <w:szCs w:val="22"/>
        </w:rPr>
        <w:t>area</w:t>
      </w:r>
      <w:proofErr w:type="spellEnd"/>
      <w:r w:rsidRPr="00734D3B">
        <w:rPr>
          <w:rFonts w:cs="Arial"/>
          <w:szCs w:val="22"/>
        </w:rPr>
        <w:t xml:space="preserve"> and date)</w:t>
      </w:r>
    </w:p>
    <w:p w14:paraId="7999E793" w14:textId="77777777" w:rsidR="00C2306E" w:rsidRPr="00734D3B" w:rsidRDefault="00C2306E" w:rsidP="00F3255D">
      <w:pPr>
        <w:pStyle w:val="ListParagraph"/>
        <w:numPr>
          <w:ilvl w:val="0"/>
          <w:numId w:val="72"/>
        </w:numPr>
        <w:spacing w:after="200" w:line="276" w:lineRule="auto"/>
        <w:contextualSpacing/>
        <w:rPr>
          <w:rFonts w:cs="Arial"/>
          <w:szCs w:val="22"/>
        </w:rPr>
      </w:pPr>
      <w:r w:rsidRPr="00734D3B">
        <w:rPr>
          <w:rFonts w:cs="Arial"/>
          <w:szCs w:val="22"/>
        </w:rPr>
        <w:t xml:space="preserve">Certificados de reciclaje / </w:t>
      </w:r>
      <w:proofErr w:type="spellStart"/>
      <w:r w:rsidRPr="00734D3B">
        <w:rPr>
          <w:rFonts w:cs="Arial"/>
          <w:szCs w:val="22"/>
        </w:rPr>
        <w:t>Recycling</w:t>
      </w:r>
      <w:proofErr w:type="spellEnd"/>
      <w:r w:rsidRPr="00734D3B">
        <w:rPr>
          <w:rFonts w:cs="Arial"/>
          <w:szCs w:val="22"/>
        </w:rPr>
        <w:t xml:space="preserve"> </w:t>
      </w:r>
      <w:proofErr w:type="spellStart"/>
      <w:r w:rsidRPr="00734D3B">
        <w:rPr>
          <w:rFonts w:cs="Arial"/>
          <w:szCs w:val="22"/>
        </w:rPr>
        <w:t>certificates</w:t>
      </w:r>
      <w:proofErr w:type="spellEnd"/>
      <w:r w:rsidRPr="00734D3B">
        <w:rPr>
          <w:rFonts w:cs="Arial"/>
          <w:szCs w:val="22"/>
        </w:rPr>
        <w:t xml:space="preserve"> / </w:t>
      </w:r>
      <w:proofErr w:type="spellStart"/>
      <w:r w:rsidRPr="00734D3B">
        <w:rPr>
          <w:rFonts w:cs="Arial"/>
          <w:szCs w:val="22"/>
        </w:rPr>
        <w:t>Recycling</w:t>
      </w:r>
      <w:proofErr w:type="spellEnd"/>
      <w:r w:rsidRPr="00734D3B">
        <w:rPr>
          <w:rFonts w:cs="Arial"/>
          <w:szCs w:val="22"/>
        </w:rPr>
        <w:t xml:space="preserve"> </w:t>
      </w:r>
      <w:proofErr w:type="spellStart"/>
      <w:r w:rsidRPr="00734D3B">
        <w:rPr>
          <w:rFonts w:cs="Arial"/>
          <w:szCs w:val="22"/>
        </w:rPr>
        <w:t>certificates</w:t>
      </w:r>
      <w:proofErr w:type="spellEnd"/>
    </w:p>
    <w:p w14:paraId="2055D90E" w14:textId="77777777" w:rsidR="00C2306E" w:rsidRPr="00734D3B" w:rsidRDefault="00C2306E" w:rsidP="00F3255D">
      <w:pPr>
        <w:pStyle w:val="ListParagraph"/>
        <w:numPr>
          <w:ilvl w:val="0"/>
          <w:numId w:val="72"/>
        </w:numPr>
        <w:spacing w:after="200" w:line="276" w:lineRule="auto"/>
        <w:contextualSpacing/>
        <w:rPr>
          <w:rFonts w:cs="Arial"/>
          <w:szCs w:val="22"/>
        </w:rPr>
      </w:pPr>
      <w:r w:rsidRPr="00734D3B">
        <w:rPr>
          <w:rFonts w:cs="Arial"/>
          <w:szCs w:val="22"/>
        </w:rPr>
        <w:t xml:space="preserve">Boletas/manifiestos de transporte / </w:t>
      </w:r>
      <w:proofErr w:type="spellStart"/>
      <w:r w:rsidRPr="00734D3B">
        <w:rPr>
          <w:rFonts w:cs="Arial"/>
          <w:szCs w:val="22"/>
        </w:rPr>
        <w:t>Transport</w:t>
      </w:r>
      <w:proofErr w:type="spellEnd"/>
      <w:r w:rsidRPr="00734D3B">
        <w:rPr>
          <w:rFonts w:cs="Arial"/>
          <w:szCs w:val="22"/>
        </w:rPr>
        <w:t xml:space="preserve"> </w:t>
      </w:r>
      <w:proofErr w:type="gramStart"/>
      <w:r w:rsidRPr="00734D3B">
        <w:rPr>
          <w:rFonts w:cs="Arial"/>
          <w:szCs w:val="22"/>
        </w:rPr>
        <w:t>tickets</w:t>
      </w:r>
      <w:proofErr w:type="gramEnd"/>
      <w:r w:rsidRPr="00734D3B">
        <w:rPr>
          <w:rFonts w:cs="Arial"/>
          <w:szCs w:val="22"/>
        </w:rPr>
        <w:t>/</w:t>
      </w:r>
      <w:proofErr w:type="spellStart"/>
      <w:r w:rsidRPr="00734D3B">
        <w:rPr>
          <w:rFonts w:cs="Arial"/>
          <w:szCs w:val="22"/>
        </w:rPr>
        <w:t>manifests</w:t>
      </w:r>
      <w:proofErr w:type="spellEnd"/>
      <w:r w:rsidRPr="00734D3B">
        <w:rPr>
          <w:rFonts w:cs="Arial"/>
          <w:szCs w:val="22"/>
        </w:rPr>
        <w:t xml:space="preserve"> / </w:t>
      </w:r>
      <w:proofErr w:type="spellStart"/>
      <w:r w:rsidRPr="00734D3B">
        <w:rPr>
          <w:rFonts w:cs="Arial"/>
          <w:szCs w:val="22"/>
        </w:rPr>
        <w:t>Transport</w:t>
      </w:r>
      <w:proofErr w:type="spellEnd"/>
      <w:r w:rsidRPr="00734D3B">
        <w:rPr>
          <w:rFonts w:cs="Arial"/>
          <w:szCs w:val="22"/>
        </w:rPr>
        <w:t xml:space="preserve"> </w:t>
      </w:r>
      <w:proofErr w:type="gramStart"/>
      <w:r w:rsidRPr="00734D3B">
        <w:rPr>
          <w:rFonts w:cs="Arial"/>
          <w:szCs w:val="22"/>
        </w:rPr>
        <w:t>tickets</w:t>
      </w:r>
      <w:proofErr w:type="gramEnd"/>
      <w:r w:rsidRPr="00734D3B">
        <w:rPr>
          <w:rFonts w:cs="Arial"/>
          <w:szCs w:val="22"/>
        </w:rPr>
        <w:t>/</w:t>
      </w:r>
      <w:proofErr w:type="spellStart"/>
      <w:r w:rsidRPr="00734D3B">
        <w:rPr>
          <w:rFonts w:cs="Arial"/>
          <w:szCs w:val="22"/>
        </w:rPr>
        <w:t>manifests</w:t>
      </w:r>
      <w:proofErr w:type="spellEnd"/>
    </w:p>
    <w:p w14:paraId="1874C23C" w14:textId="77777777" w:rsidR="00C2306E" w:rsidRPr="00734D3B" w:rsidRDefault="00C2306E" w:rsidP="00F3255D">
      <w:pPr>
        <w:pStyle w:val="ListParagraph"/>
        <w:numPr>
          <w:ilvl w:val="0"/>
          <w:numId w:val="72"/>
        </w:numPr>
        <w:spacing w:after="200" w:line="276" w:lineRule="auto"/>
        <w:contextualSpacing/>
        <w:rPr>
          <w:rFonts w:cs="Arial"/>
          <w:szCs w:val="22"/>
        </w:rPr>
      </w:pPr>
      <w:r w:rsidRPr="00734D3B">
        <w:rPr>
          <w:rFonts w:cs="Arial"/>
          <w:szCs w:val="22"/>
        </w:rPr>
        <w:t xml:space="preserve">Reporte ambiental mensual / </w:t>
      </w:r>
      <w:proofErr w:type="spellStart"/>
      <w:r w:rsidRPr="00734D3B">
        <w:rPr>
          <w:rFonts w:cs="Arial"/>
          <w:szCs w:val="22"/>
        </w:rPr>
        <w:t>Monthly</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report</w:t>
      </w:r>
      <w:proofErr w:type="spellEnd"/>
      <w:r w:rsidRPr="00734D3B">
        <w:rPr>
          <w:rFonts w:cs="Arial"/>
          <w:szCs w:val="22"/>
        </w:rPr>
        <w:t xml:space="preserve"> / </w:t>
      </w:r>
      <w:proofErr w:type="spellStart"/>
      <w:r w:rsidRPr="00734D3B">
        <w:rPr>
          <w:rFonts w:cs="Arial"/>
          <w:szCs w:val="22"/>
        </w:rPr>
        <w:t>Monthly</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report</w:t>
      </w:r>
      <w:proofErr w:type="spellEnd"/>
    </w:p>
    <w:p w14:paraId="63E385F1" w14:textId="77777777" w:rsidR="00B53B0B" w:rsidRDefault="00B53B0B">
      <w:pPr>
        <w:spacing w:line="240" w:lineRule="auto"/>
        <w:ind w:firstLine="0"/>
        <w:rPr>
          <w:rFonts w:cs="Arial"/>
          <w:b/>
          <w:bCs/>
          <w:szCs w:val="22"/>
        </w:rPr>
      </w:pPr>
      <w:r>
        <w:rPr>
          <w:rFonts w:cs="Arial"/>
          <w:b/>
          <w:bCs/>
          <w:szCs w:val="22"/>
        </w:rPr>
        <w:br w:type="page"/>
      </w:r>
    </w:p>
    <w:p w14:paraId="524C2A99" w14:textId="5BDA61B7" w:rsidR="00C2306E" w:rsidRPr="00734D3B" w:rsidRDefault="00C2306E" w:rsidP="00C2306E">
      <w:pPr>
        <w:rPr>
          <w:rFonts w:cs="Arial"/>
          <w:b/>
          <w:bCs/>
          <w:szCs w:val="22"/>
        </w:rPr>
      </w:pPr>
      <w:r w:rsidRPr="00734D3B">
        <w:rPr>
          <w:rFonts w:cs="Arial"/>
          <w:b/>
          <w:bCs/>
          <w:szCs w:val="22"/>
        </w:rPr>
        <w:lastRenderedPageBreak/>
        <w:t xml:space="preserve">Indicadores (KPI) / Performance </w:t>
      </w:r>
      <w:proofErr w:type="spellStart"/>
      <w:r w:rsidRPr="00734D3B">
        <w:rPr>
          <w:rFonts w:cs="Arial"/>
          <w:b/>
          <w:bCs/>
          <w:szCs w:val="22"/>
        </w:rPr>
        <w:t>Indicators</w:t>
      </w:r>
      <w:proofErr w:type="spellEnd"/>
      <w:r w:rsidRPr="00734D3B">
        <w:rPr>
          <w:rFonts w:cs="Arial"/>
          <w:b/>
          <w:bCs/>
          <w:szCs w:val="22"/>
        </w:rPr>
        <w:t xml:space="preserve"> (</w:t>
      </w:r>
      <w:proofErr w:type="spellStart"/>
      <w:r w:rsidRPr="00734D3B">
        <w:rPr>
          <w:rFonts w:cs="Arial"/>
          <w:b/>
          <w:bCs/>
          <w:szCs w:val="22"/>
        </w:rPr>
        <w:t>KPIs</w:t>
      </w:r>
      <w:proofErr w:type="spellEnd"/>
      <w:r w:rsidRPr="00734D3B">
        <w:rPr>
          <w:rFonts w:cs="Arial"/>
          <w:b/>
          <w:bCs/>
          <w:szCs w:val="22"/>
        </w:rPr>
        <w:t>)</w:t>
      </w:r>
    </w:p>
    <w:p w14:paraId="4676EFCD" w14:textId="77777777" w:rsidR="00B53B0B" w:rsidRDefault="008E6DAE" w:rsidP="008E6DAE">
      <w:pPr>
        <w:spacing w:after="200"/>
        <w:ind w:firstLine="0"/>
        <w:rPr>
          <w:b/>
          <w:szCs w:val="18"/>
        </w:rPr>
      </w:pPr>
      <w:bookmarkStart w:id="358" w:name="_Toc228342096"/>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Pr="00734D3B">
        <w:rPr>
          <w:b/>
          <w:noProof/>
          <w:szCs w:val="18"/>
        </w:rPr>
        <w:t>16</w:t>
      </w:r>
      <w:r w:rsidRPr="00734D3B">
        <w:rPr>
          <w:b/>
          <w:szCs w:val="18"/>
        </w:rPr>
        <w:fldChar w:fldCharType="end"/>
      </w:r>
    </w:p>
    <w:p w14:paraId="30A66B5F" w14:textId="11B0CB60" w:rsidR="008E6DAE" w:rsidRPr="00BE0964" w:rsidRDefault="008E6DAE" w:rsidP="008E6DAE">
      <w:pPr>
        <w:spacing w:after="200"/>
        <w:ind w:firstLine="0"/>
        <w:rPr>
          <w:b/>
          <w:szCs w:val="18"/>
        </w:rPr>
      </w:pPr>
      <w:r w:rsidRPr="00734D3B">
        <w:rPr>
          <w:rFonts w:cs="Arial"/>
          <w:bCs/>
          <w:i/>
          <w:iCs/>
          <w:szCs w:val="22"/>
          <w:lang w:val="es-419"/>
        </w:rPr>
        <w:t>Indicadores</w:t>
      </w:r>
      <w:bookmarkEnd w:id="358"/>
    </w:p>
    <w:tbl>
      <w:tblPr>
        <w:tblStyle w:val="PlainTable2"/>
        <w:tblW w:w="0" w:type="auto"/>
        <w:tblLook w:val="04A0" w:firstRow="1" w:lastRow="0" w:firstColumn="1" w:lastColumn="0" w:noHBand="0" w:noVBand="1"/>
      </w:tblPr>
      <w:tblGrid>
        <w:gridCol w:w="2160"/>
        <w:gridCol w:w="2160"/>
        <w:gridCol w:w="2160"/>
        <w:gridCol w:w="2588"/>
      </w:tblGrid>
      <w:tr w:rsidR="00734D3B" w:rsidRPr="00734D3B" w14:paraId="21A5F286" w14:textId="77777777" w:rsidTr="008E6DAE">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160" w:type="dxa"/>
          </w:tcPr>
          <w:p w14:paraId="4F0B0F44" w14:textId="697BB67D" w:rsidR="00C2306E" w:rsidRPr="00734D3B" w:rsidRDefault="00C2306E" w:rsidP="00647BAE">
            <w:pPr>
              <w:rPr>
                <w:rFonts w:cs="Arial"/>
                <w:szCs w:val="22"/>
              </w:rPr>
            </w:pPr>
            <w:r w:rsidRPr="00734D3B">
              <w:rPr>
                <w:rFonts w:eastAsia="Calibri" w:cs="Arial"/>
                <w:szCs w:val="22"/>
              </w:rPr>
              <w:t>KPI (</w:t>
            </w:r>
          </w:p>
        </w:tc>
        <w:tc>
          <w:tcPr>
            <w:tcW w:w="2160" w:type="dxa"/>
          </w:tcPr>
          <w:p w14:paraId="76557BD1" w14:textId="02E83CC6"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eastAsia="Calibri" w:cs="Arial"/>
                <w:szCs w:val="22"/>
              </w:rPr>
              <w:t xml:space="preserve">KPI </w:t>
            </w:r>
          </w:p>
        </w:tc>
        <w:tc>
          <w:tcPr>
            <w:tcW w:w="2160" w:type="dxa"/>
          </w:tcPr>
          <w:p w14:paraId="487BF224" w14:textId="41E5417C"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r w:rsidRPr="00734D3B">
              <w:rPr>
                <w:rFonts w:eastAsia="Calibri" w:cs="Arial"/>
                <w:szCs w:val="22"/>
              </w:rPr>
              <w:t xml:space="preserve">Fórmula </w:t>
            </w:r>
          </w:p>
        </w:tc>
        <w:tc>
          <w:tcPr>
            <w:tcW w:w="2588" w:type="dxa"/>
          </w:tcPr>
          <w:p w14:paraId="10052B68" w14:textId="77777777" w:rsidR="008D0583" w:rsidRPr="00734D3B" w:rsidRDefault="00C2306E" w:rsidP="00647BAE">
            <w:pPr>
              <w:cnfStyle w:val="100000000000" w:firstRow="1" w:lastRow="0" w:firstColumn="0" w:lastColumn="0" w:oddVBand="0" w:evenVBand="0" w:oddHBand="0" w:evenHBand="0" w:firstRowFirstColumn="0" w:firstRowLastColumn="0" w:lastRowFirstColumn="0" w:lastRowLastColumn="0"/>
              <w:rPr>
                <w:rFonts w:eastAsia="Calibri" w:cs="Arial"/>
                <w:b w:val="0"/>
                <w:bCs w:val="0"/>
                <w:szCs w:val="22"/>
              </w:rPr>
            </w:pPr>
            <w:r w:rsidRPr="00734D3B">
              <w:rPr>
                <w:rFonts w:eastAsia="Calibri" w:cs="Arial"/>
                <w:szCs w:val="22"/>
              </w:rPr>
              <w:t>Frecuencia</w:t>
            </w:r>
          </w:p>
          <w:p w14:paraId="56053A99" w14:textId="60CC1316" w:rsidR="00C2306E" w:rsidRPr="00734D3B" w:rsidRDefault="00C2306E" w:rsidP="00647BAE">
            <w:pPr>
              <w:cnfStyle w:val="100000000000" w:firstRow="1" w:lastRow="0" w:firstColumn="0" w:lastColumn="0" w:oddVBand="0" w:evenVBand="0" w:oddHBand="0" w:evenHBand="0" w:firstRowFirstColumn="0" w:firstRowLastColumn="0" w:lastRowFirstColumn="0" w:lastRowLastColumn="0"/>
              <w:rPr>
                <w:rFonts w:cs="Arial"/>
                <w:szCs w:val="22"/>
              </w:rPr>
            </w:pPr>
            <w:proofErr w:type="spellStart"/>
            <w:r w:rsidRPr="00734D3B">
              <w:rPr>
                <w:rFonts w:eastAsia="Calibri" w:cs="Arial"/>
                <w:szCs w:val="22"/>
              </w:rPr>
              <w:t>Frequency</w:t>
            </w:r>
            <w:proofErr w:type="spellEnd"/>
          </w:p>
        </w:tc>
      </w:tr>
      <w:tr w:rsidR="00734D3B" w:rsidRPr="00734D3B" w14:paraId="40CB1BA6" w14:textId="77777777" w:rsidTr="008E6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655CA94" w14:textId="77777777" w:rsidR="00C2306E" w:rsidRPr="00734D3B" w:rsidRDefault="00C2306E" w:rsidP="008D0583">
            <w:pPr>
              <w:ind w:firstLine="0"/>
              <w:rPr>
                <w:rFonts w:cs="Arial"/>
                <w:b w:val="0"/>
                <w:bCs w:val="0"/>
                <w:szCs w:val="22"/>
              </w:rPr>
            </w:pPr>
            <w:r w:rsidRPr="00734D3B">
              <w:rPr>
                <w:rFonts w:cs="Arial"/>
                <w:b w:val="0"/>
                <w:bCs w:val="0"/>
                <w:szCs w:val="22"/>
              </w:rPr>
              <w:t>% de residuos eléctricos reciclados</w:t>
            </w:r>
          </w:p>
        </w:tc>
        <w:tc>
          <w:tcPr>
            <w:tcW w:w="2160" w:type="dxa"/>
          </w:tcPr>
          <w:p w14:paraId="5449900B" w14:textId="77777777" w:rsidR="00C2306E" w:rsidRPr="00734D3B" w:rsidRDefault="00C2306E" w:rsidP="008D0583">
            <w:pPr>
              <w:ind w:firstLine="0"/>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w:t>
            </w:r>
            <w:proofErr w:type="spellStart"/>
            <w:r w:rsidRPr="00734D3B">
              <w:rPr>
                <w:rFonts w:cs="Arial"/>
                <w:szCs w:val="22"/>
              </w:rPr>
              <w:t>electrical</w:t>
            </w:r>
            <w:proofErr w:type="spellEnd"/>
            <w:r w:rsidRPr="00734D3B">
              <w:rPr>
                <w:rFonts w:cs="Arial"/>
                <w:szCs w:val="22"/>
              </w:rPr>
              <w:t xml:space="preserve"> </w:t>
            </w:r>
            <w:proofErr w:type="spellStart"/>
            <w:r w:rsidRPr="00734D3B">
              <w:rPr>
                <w:rFonts w:cs="Arial"/>
                <w:szCs w:val="22"/>
              </w:rPr>
              <w:t>waste</w:t>
            </w:r>
            <w:proofErr w:type="spellEnd"/>
            <w:r w:rsidRPr="00734D3B">
              <w:rPr>
                <w:rFonts w:cs="Arial"/>
                <w:szCs w:val="22"/>
              </w:rPr>
              <w:t xml:space="preserve"> </w:t>
            </w:r>
            <w:proofErr w:type="spellStart"/>
            <w:r w:rsidRPr="00734D3B">
              <w:rPr>
                <w:rFonts w:cs="Arial"/>
                <w:szCs w:val="22"/>
              </w:rPr>
              <w:t>recycled</w:t>
            </w:r>
            <w:proofErr w:type="spellEnd"/>
          </w:p>
        </w:tc>
        <w:tc>
          <w:tcPr>
            <w:tcW w:w="2160" w:type="dxa"/>
          </w:tcPr>
          <w:p w14:paraId="2527CEA3" w14:textId="77777777" w:rsidR="00C2306E" w:rsidRPr="00734D3B" w:rsidRDefault="00C2306E" w:rsidP="0022134A">
            <w:pPr>
              <w:ind w:firstLine="0"/>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 reciclado / total generado) x 100</w:t>
            </w:r>
          </w:p>
        </w:tc>
        <w:tc>
          <w:tcPr>
            <w:tcW w:w="2588" w:type="dxa"/>
          </w:tcPr>
          <w:p w14:paraId="032F187D" w14:textId="68FC66D5"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Mensual</w:t>
            </w:r>
            <w:r w:rsidR="0022134A" w:rsidRPr="00734D3B">
              <w:rPr>
                <w:rFonts w:cs="Arial"/>
                <w:szCs w:val="22"/>
              </w:rPr>
              <w:t>/</w:t>
            </w:r>
            <w:proofErr w:type="spellStart"/>
            <w:r w:rsidRPr="00734D3B">
              <w:rPr>
                <w:rFonts w:cs="Arial"/>
                <w:szCs w:val="22"/>
              </w:rPr>
              <w:t>Monthly</w:t>
            </w:r>
            <w:proofErr w:type="spellEnd"/>
          </w:p>
        </w:tc>
      </w:tr>
      <w:tr w:rsidR="00734D3B" w:rsidRPr="00734D3B" w14:paraId="23E0A371" w14:textId="77777777" w:rsidTr="008E6DAE">
        <w:tc>
          <w:tcPr>
            <w:cnfStyle w:val="001000000000" w:firstRow="0" w:lastRow="0" w:firstColumn="1" w:lastColumn="0" w:oddVBand="0" w:evenVBand="0" w:oddHBand="0" w:evenHBand="0" w:firstRowFirstColumn="0" w:firstRowLastColumn="0" w:lastRowFirstColumn="0" w:lastRowLastColumn="0"/>
            <w:tcW w:w="2160" w:type="dxa"/>
          </w:tcPr>
          <w:p w14:paraId="4AF0778A" w14:textId="77777777" w:rsidR="00C2306E" w:rsidRPr="00734D3B" w:rsidRDefault="00C2306E" w:rsidP="00B74745">
            <w:pPr>
              <w:ind w:firstLine="0"/>
              <w:rPr>
                <w:rFonts w:cs="Arial"/>
                <w:b w:val="0"/>
                <w:bCs w:val="0"/>
                <w:szCs w:val="22"/>
              </w:rPr>
            </w:pPr>
            <w:r w:rsidRPr="00734D3B">
              <w:rPr>
                <w:rFonts w:cs="Arial"/>
                <w:b w:val="0"/>
                <w:bCs w:val="0"/>
                <w:szCs w:val="22"/>
              </w:rPr>
              <w:t>Toneladas de metal recuperado</w:t>
            </w:r>
          </w:p>
        </w:tc>
        <w:tc>
          <w:tcPr>
            <w:tcW w:w="2160" w:type="dxa"/>
          </w:tcPr>
          <w:p w14:paraId="0626B783" w14:textId="77777777" w:rsidR="00C2306E" w:rsidRPr="00734D3B" w:rsidRDefault="00C2306E" w:rsidP="00B74745">
            <w:pPr>
              <w:ind w:firstLine="0"/>
              <w:cnfStyle w:val="000000000000" w:firstRow="0" w:lastRow="0" w:firstColumn="0" w:lastColumn="0" w:oddVBand="0" w:evenVBand="0" w:oddHBand="0" w:evenHBand="0" w:firstRowFirstColumn="0" w:firstRowLastColumn="0" w:lastRowFirstColumn="0" w:lastRowLastColumn="0"/>
              <w:rPr>
                <w:rFonts w:cs="Arial"/>
                <w:szCs w:val="22"/>
              </w:rPr>
            </w:pPr>
            <w:proofErr w:type="spellStart"/>
            <w:r w:rsidRPr="00734D3B">
              <w:rPr>
                <w:rFonts w:cs="Arial"/>
                <w:szCs w:val="22"/>
              </w:rPr>
              <w:t>Tons</w:t>
            </w:r>
            <w:proofErr w:type="spellEnd"/>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metal </w:t>
            </w:r>
            <w:proofErr w:type="spellStart"/>
            <w:r w:rsidRPr="00734D3B">
              <w:rPr>
                <w:rFonts w:cs="Arial"/>
                <w:szCs w:val="22"/>
              </w:rPr>
              <w:t>recovered</w:t>
            </w:r>
            <w:proofErr w:type="spellEnd"/>
          </w:p>
        </w:tc>
        <w:tc>
          <w:tcPr>
            <w:tcW w:w="2160" w:type="dxa"/>
          </w:tcPr>
          <w:p w14:paraId="165ACFEB" w14:textId="77777777" w:rsidR="00C2306E" w:rsidRPr="00734D3B" w:rsidRDefault="00C2306E" w:rsidP="00B74745">
            <w:pPr>
              <w:ind w:firstLine="0"/>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Peso certificado por reciclador</w:t>
            </w:r>
          </w:p>
        </w:tc>
        <w:tc>
          <w:tcPr>
            <w:tcW w:w="2588" w:type="dxa"/>
          </w:tcPr>
          <w:p w14:paraId="34E72E1B" w14:textId="18A9C58B"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Mensual</w:t>
            </w:r>
            <w:r w:rsidR="007D34AA" w:rsidRPr="00734D3B">
              <w:rPr>
                <w:rFonts w:cs="Arial"/>
                <w:szCs w:val="22"/>
              </w:rPr>
              <w:t>/</w:t>
            </w:r>
            <w:proofErr w:type="spellStart"/>
            <w:r w:rsidRPr="00734D3B">
              <w:rPr>
                <w:rFonts w:cs="Arial"/>
                <w:szCs w:val="22"/>
              </w:rPr>
              <w:t>Monthly</w:t>
            </w:r>
            <w:proofErr w:type="spellEnd"/>
          </w:p>
        </w:tc>
      </w:tr>
      <w:tr w:rsidR="00734D3B" w:rsidRPr="00734D3B" w14:paraId="4F426DCA" w14:textId="77777777" w:rsidTr="008E6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BEAF386" w14:textId="77777777" w:rsidR="00C2306E" w:rsidRPr="00734D3B" w:rsidRDefault="00C2306E" w:rsidP="00B74745">
            <w:pPr>
              <w:ind w:firstLine="0"/>
              <w:rPr>
                <w:rFonts w:cs="Arial"/>
                <w:b w:val="0"/>
                <w:bCs w:val="0"/>
                <w:szCs w:val="22"/>
              </w:rPr>
            </w:pPr>
            <w:r w:rsidRPr="00734D3B">
              <w:rPr>
                <w:rFonts w:cs="Arial"/>
                <w:b w:val="0"/>
                <w:bCs w:val="0"/>
                <w:szCs w:val="22"/>
              </w:rPr>
              <w:t># de desviaciones por segregación</w:t>
            </w:r>
          </w:p>
        </w:tc>
        <w:tc>
          <w:tcPr>
            <w:tcW w:w="2160" w:type="dxa"/>
          </w:tcPr>
          <w:p w14:paraId="7F8D54D6" w14:textId="77777777" w:rsidR="00C2306E" w:rsidRPr="00734D3B" w:rsidRDefault="00C2306E" w:rsidP="00B74745">
            <w:pPr>
              <w:ind w:firstLine="0"/>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w:t>
            </w:r>
            <w:proofErr w:type="spellStart"/>
            <w:r w:rsidRPr="00734D3B">
              <w:rPr>
                <w:rFonts w:cs="Arial"/>
                <w:szCs w:val="22"/>
              </w:rPr>
              <w:t>segregation</w:t>
            </w:r>
            <w:proofErr w:type="spellEnd"/>
            <w:r w:rsidRPr="00734D3B">
              <w:rPr>
                <w:rFonts w:cs="Arial"/>
                <w:szCs w:val="22"/>
              </w:rPr>
              <w:t xml:space="preserve"> </w:t>
            </w:r>
            <w:proofErr w:type="spellStart"/>
            <w:r w:rsidRPr="00734D3B">
              <w:rPr>
                <w:rFonts w:cs="Arial"/>
                <w:szCs w:val="22"/>
              </w:rPr>
              <w:t>deviations</w:t>
            </w:r>
            <w:proofErr w:type="spellEnd"/>
          </w:p>
        </w:tc>
        <w:tc>
          <w:tcPr>
            <w:tcW w:w="2160" w:type="dxa"/>
          </w:tcPr>
          <w:p w14:paraId="6BFC8B01" w14:textId="77777777" w:rsidR="00C2306E" w:rsidRPr="00734D3B" w:rsidRDefault="00C2306E" w:rsidP="00B74745">
            <w:pPr>
              <w:ind w:firstLine="0"/>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Conteo mensual de hallazgos</w:t>
            </w:r>
          </w:p>
        </w:tc>
        <w:tc>
          <w:tcPr>
            <w:tcW w:w="2588" w:type="dxa"/>
          </w:tcPr>
          <w:p w14:paraId="526D898B" w14:textId="47BA9DB8" w:rsidR="00C2306E" w:rsidRPr="00734D3B" w:rsidRDefault="00C2306E" w:rsidP="00647BAE">
            <w:pPr>
              <w:cnfStyle w:val="000000100000" w:firstRow="0" w:lastRow="0" w:firstColumn="0" w:lastColumn="0" w:oddVBand="0" w:evenVBand="0" w:oddHBand="1" w:evenHBand="0" w:firstRowFirstColumn="0" w:firstRowLastColumn="0" w:lastRowFirstColumn="0" w:lastRowLastColumn="0"/>
              <w:rPr>
                <w:rFonts w:cs="Arial"/>
                <w:szCs w:val="22"/>
              </w:rPr>
            </w:pPr>
            <w:r w:rsidRPr="00734D3B">
              <w:rPr>
                <w:rFonts w:cs="Arial"/>
                <w:szCs w:val="22"/>
              </w:rPr>
              <w:t>Mensual</w:t>
            </w:r>
            <w:r w:rsidR="007D34AA" w:rsidRPr="00734D3B">
              <w:rPr>
                <w:rFonts w:cs="Arial"/>
                <w:szCs w:val="22"/>
              </w:rPr>
              <w:t>/</w:t>
            </w:r>
            <w:proofErr w:type="spellStart"/>
            <w:r w:rsidRPr="00734D3B">
              <w:rPr>
                <w:rFonts w:cs="Arial"/>
                <w:szCs w:val="22"/>
              </w:rPr>
              <w:t>Monthly</w:t>
            </w:r>
            <w:proofErr w:type="spellEnd"/>
          </w:p>
        </w:tc>
      </w:tr>
      <w:tr w:rsidR="00734D3B" w:rsidRPr="00734D3B" w14:paraId="577E4C5C" w14:textId="77777777" w:rsidTr="008E6DAE">
        <w:tc>
          <w:tcPr>
            <w:cnfStyle w:val="001000000000" w:firstRow="0" w:lastRow="0" w:firstColumn="1" w:lastColumn="0" w:oddVBand="0" w:evenVBand="0" w:oddHBand="0" w:evenHBand="0" w:firstRowFirstColumn="0" w:firstRowLastColumn="0" w:lastRowFirstColumn="0" w:lastRowLastColumn="0"/>
            <w:tcW w:w="2160" w:type="dxa"/>
          </w:tcPr>
          <w:p w14:paraId="427AC57C" w14:textId="77777777" w:rsidR="00C2306E" w:rsidRPr="00734D3B" w:rsidRDefault="00C2306E" w:rsidP="00B74745">
            <w:pPr>
              <w:ind w:firstLine="0"/>
              <w:rPr>
                <w:rFonts w:cs="Arial"/>
                <w:b w:val="0"/>
                <w:bCs w:val="0"/>
                <w:szCs w:val="22"/>
              </w:rPr>
            </w:pPr>
            <w:r w:rsidRPr="00734D3B">
              <w:rPr>
                <w:rFonts w:cs="Arial"/>
                <w:b w:val="0"/>
                <w:bCs w:val="0"/>
                <w:szCs w:val="22"/>
              </w:rPr>
              <w:t>Tiempo de retiro de residuos</w:t>
            </w:r>
          </w:p>
        </w:tc>
        <w:tc>
          <w:tcPr>
            <w:tcW w:w="2160" w:type="dxa"/>
          </w:tcPr>
          <w:p w14:paraId="7AF6FD7C" w14:textId="77777777" w:rsidR="00C2306E" w:rsidRPr="00734D3B" w:rsidRDefault="00C2306E" w:rsidP="00B74745">
            <w:pPr>
              <w:ind w:firstLine="0"/>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 xml:space="preserve">Waste </w:t>
            </w:r>
            <w:proofErr w:type="spellStart"/>
            <w:r w:rsidRPr="00734D3B">
              <w:rPr>
                <w:rFonts w:cs="Arial"/>
                <w:szCs w:val="22"/>
              </w:rPr>
              <w:t>removal</w:t>
            </w:r>
            <w:proofErr w:type="spellEnd"/>
            <w:r w:rsidRPr="00734D3B">
              <w:rPr>
                <w:rFonts w:cs="Arial"/>
                <w:szCs w:val="22"/>
              </w:rPr>
              <w:t xml:space="preserve"> lead time</w:t>
            </w:r>
          </w:p>
        </w:tc>
        <w:tc>
          <w:tcPr>
            <w:tcW w:w="2160" w:type="dxa"/>
          </w:tcPr>
          <w:p w14:paraId="70677D46" w14:textId="77777777" w:rsidR="00C2306E" w:rsidRPr="00734D3B" w:rsidRDefault="00C2306E" w:rsidP="00B74745">
            <w:pPr>
              <w:ind w:firstLine="0"/>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Días desde generación a retiro</w:t>
            </w:r>
          </w:p>
        </w:tc>
        <w:tc>
          <w:tcPr>
            <w:tcW w:w="2588" w:type="dxa"/>
          </w:tcPr>
          <w:p w14:paraId="4D3DD0C1" w14:textId="381B6F6F" w:rsidR="00C2306E" w:rsidRPr="00734D3B" w:rsidRDefault="00C2306E" w:rsidP="00647BAE">
            <w:pPr>
              <w:cnfStyle w:val="000000000000" w:firstRow="0" w:lastRow="0" w:firstColumn="0" w:lastColumn="0" w:oddVBand="0" w:evenVBand="0" w:oddHBand="0" w:evenHBand="0" w:firstRowFirstColumn="0" w:firstRowLastColumn="0" w:lastRowFirstColumn="0" w:lastRowLastColumn="0"/>
              <w:rPr>
                <w:rFonts w:cs="Arial"/>
                <w:szCs w:val="22"/>
              </w:rPr>
            </w:pPr>
            <w:r w:rsidRPr="00734D3B">
              <w:rPr>
                <w:rFonts w:cs="Arial"/>
                <w:szCs w:val="22"/>
              </w:rPr>
              <w:t>Mensual</w:t>
            </w:r>
            <w:r w:rsidR="00B74745" w:rsidRPr="00734D3B">
              <w:rPr>
                <w:rFonts w:cs="Arial"/>
                <w:szCs w:val="22"/>
              </w:rPr>
              <w:t>/</w:t>
            </w:r>
            <w:proofErr w:type="spellStart"/>
            <w:r w:rsidRPr="00734D3B">
              <w:rPr>
                <w:rFonts w:cs="Arial"/>
                <w:szCs w:val="22"/>
              </w:rPr>
              <w:t>Monthly</w:t>
            </w:r>
            <w:proofErr w:type="spellEnd"/>
          </w:p>
        </w:tc>
      </w:tr>
    </w:tbl>
    <w:p w14:paraId="1CF3348E" w14:textId="3D2476E2" w:rsidR="008E6DAE" w:rsidRPr="00734D3B" w:rsidRDefault="008E6DAE" w:rsidP="008E6DAE">
      <w:pPr>
        <w:pStyle w:val="paragraph"/>
        <w:spacing w:before="0" w:beforeAutospacing="0" w:after="0" w:afterAutospacing="0" w:line="480" w:lineRule="auto"/>
        <w:ind w:firstLine="705"/>
        <w:jc w:val="both"/>
        <w:textAlignment w:val="baseline"/>
        <w:rPr>
          <w:rStyle w:val="normaltextrun"/>
          <w:rFonts w:ascii="Arial" w:hAnsi="Arial" w:cs="Arial"/>
          <w:b/>
          <w:bCs/>
          <w:sz w:val="20"/>
          <w:szCs w:val="20"/>
          <w:lang w:val="es-CR"/>
        </w:rPr>
      </w:pPr>
      <w:r w:rsidRPr="00734D3B">
        <w:rPr>
          <w:rFonts w:ascii="Arial" w:hAnsi="Arial" w:cs="Arial"/>
          <w:i/>
          <w:iCs/>
          <w:sz w:val="22"/>
          <w:szCs w:val="20"/>
          <w:lang w:val="es-CR"/>
        </w:rPr>
        <w:t>Nota</w:t>
      </w:r>
      <w:r w:rsidRPr="00734D3B">
        <w:rPr>
          <w:rFonts w:ascii="Arial" w:hAnsi="Arial" w:cs="Arial"/>
          <w:sz w:val="22"/>
          <w:szCs w:val="20"/>
          <w:lang w:val="es-CR"/>
        </w:rPr>
        <w:t>. La Tabla 16 sintetiza los indicadores</w:t>
      </w:r>
    </w:p>
    <w:p w14:paraId="234453DE" w14:textId="77777777" w:rsidR="00C2306E" w:rsidRPr="00734D3B" w:rsidRDefault="00C2306E" w:rsidP="008E6DAE">
      <w:pPr>
        <w:ind w:firstLine="0"/>
        <w:rPr>
          <w:rFonts w:eastAsia="Calibri" w:cs="Arial"/>
          <w:b/>
          <w:szCs w:val="22"/>
        </w:rPr>
      </w:pPr>
    </w:p>
    <w:p w14:paraId="0F523B73" w14:textId="4D39A496" w:rsidR="00C2306E" w:rsidRPr="00734D3B" w:rsidRDefault="00C2306E" w:rsidP="00C2306E">
      <w:pPr>
        <w:rPr>
          <w:rFonts w:cs="Arial"/>
          <w:b/>
          <w:bCs/>
          <w:szCs w:val="22"/>
        </w:rPr>
      </w:pPr>
      <w:r w:rsidRPr="00734D3B">
        <w:rPr>
          <w:rFonts w:cs="Arial"/>
          <w:b/>
          <w:bCs/>
          <w:szCs w:val="22"/>
        </w:rPr>
        <w:t>No</w:t>
      </w:r>
      <w:r w:rsidRPr="00734D3B">
        <w:rPr>
          <w:rFonts w:eastAsia="Calibri" w:cs="Arial"/>
          <w:bCs/>
          <w:szCs w:val="22"/>
        </w:rPr>
        <w:t xml:space="preserve"> </w:t>
      </w:r>
      <w:r w:rsidRPr="00734D3B">
        <w:rPr>
          <w:rFonts w:cs="Arial"/>
          <w:b/>
          <w:bCs/>
          <w:szCs w:val="22"/>
        </w:rPr>
        <w:t xml:space="preserve">conformidades comunes / Common </w:t>
      </w:r>
      <w:proofErr w:type="spellStart"/>
      <w:r w:rsidRPr="00734D3B">
        <w:rPr>
          <w:rFonts w:cs="Arial"/>
          <w:b/>
          <w:bCs/>
          <w:szCs w:val="22"/>
        </w:rPr>
        <w:t>Nonconformities</w:t>
      </w:r>
      <w:proofErr w:type="spellEnd"/>
    </w:p>
    <w:p w14:paraId="60BF6F69" w14:textId="77777777" w:rsidR="00C2306E" w:rsidRPr="00734D3B" w:rsidRDefault="00C2306E" w:rsidP="00D978B3">
      <w:pPr>
        <w:pStyle w:val="ListParagraph"/>
        <w:numPr>
          <w:ilvl w:val="0"/>
          <w:numId w:val="73"/>
        </w:numPr>
        <w:spacing w:after="200" w:line="276" w:lineRule="auto"/>
        <w:contextualSpacing/>
        <w:rPr>
          <w:rFonts w:cs="Arial"/>
          <w:szCs w:val="22"/>
        </w:rPr>
      </w:pPr>
      <w:r w:rsidRPr="00734D3B">
        <w:rPr>
          <w:rFonts w:cs="Arial"/>
          <w:szCs w:val="22"/>
        </w:rPr>
        <w:t xml:space="preserve">Mezcla de materiales reciclables y no reciclables / </w:t>
      </w:r>
      <w:proofErr w:type="spellStart"/>
      <w:r w:rsidRPr="00734D3B">
        <w:rPr>
          <w:rFonts w:cs="Arial"/>
          <w:szCs w:val="22"/>
        </w:rPr>
        <w:t>Mixing</w:t>
      </w:r>
      <w:proofErr w:type="spellEnd"/>
      <w:r w:rsidRPr="00734D3B">
        <w:rPr>
          <w:rFonts w:cs="Arial"/>
          <w:szCs w:val="22"/>
        </w:rPr>
        <w:t xml:space="preserve"> </w:t>
      </w:r>
      <w:proofErr w:type="spellStart"/>
      <w:r w:rsidRPr="00734D3B">
        <w:rPr>
          <w:rFonts w:cs="Arial"/>
          <w:szCs w:val="22"/>
        </w:rPr>
        <w:t>recyclable</w:t>
      </w:r>
      <w:proofErr w:type="spellEnd"/>
      <w:r w:rsidRPr="00734D3B">
        <w:rPr>
          <w:rFonts w:cs="Arial"/>
          <w:szCs w:val="22"/>
        </w:rPr>
        <w:t xml:space="preserve"> and non-</w:t>
      </w:r>
      <w:proofErr w:type="spellStart"/>
      <w:r w:rsidRPr="00734D3B">
        <w:rPr>
          <w:rFonts w:cs="Arial"/>
          <w:szCs w:val="22"/>
        </w:rPr>
        <w:t>recyclable</w:t>
      </w:r>
      <w:proofErr w:type="spellEnd"/>
      <w:r w:rsidRPr="00734D3B">
        <w:rPr>
          <w:rFonts w:cs="Arial"/>
          <w:szCs w:val="22"/>
        </w:rPr>
        <w:t xml:space="preserve"> </w:t>
      </w:r>
      <w:proofErr w:type="spellStart"/>
      <w:r w:rsidRPr="00734D3B">
        <w:rPr>
          <w:rFonts w:cs="Arial"/>
          <w:szCs w:val="22"/>
        </w:rPr>
        <w:t>materials</w:t>
      </w:r>
      <w:proofErr w:type="spellEnd"/>
    </w:p>
    <w:p w14:paraId="2B21F7AC" w14:textId="77777777" w:rsidR="00C2306E" w:rsidRPr="00734D3B" w:rsidRDefault="00C2306E" w:rsidP="00D978B3">
      <w:pPr>
        <w:pStyle w:val="ListParagraph"/>
        <w:numPr>
          <w:ilvl w:val="0"/>
          <w:numId w:val="73"/>
        </w:numPr>
        <w:spacing w:after="200" w:line="276" w:lineRule="auto"/>
        <w:contextualSpacing/>
        <w:rPr>
          <w:rFonts w:cs="Arial"/>
          <w:szCs w:val="22"/>
        </w:rPr>
      </w:pPr>
      <w:r w:rsidRPr="00734D3B">
        <w:rPr>
          <w:rFonts w:cs="Arial"/>
          <w:szCs w:val="22"/>
        </w:rPr>
        <w:t xml:space="preserve">Contenedores sin etiqueta o información incompleta / </w:t>
      </w:r>
      <w:proofErr w:type="spellStart"/>
      <w:r w:rsidRPr="00734D3B">
        <w:rPr>
          <w:rFonts w:cs="Arial"/>
          <w:szCs w:val="22"/>
        </w:rPr>
        <w:t>Unlabeled</w:t>
      </w:r>
      <w:proofErr w:type="spellEnd"/>
      <w:r w:rsidRPr="00734D3B">
        <w:rPr>
          <w:rFonts w:cs="Arial"/>
          <w:szCs w:val="22"/>
        </w:rPr>
        <w:t xml:space="preserve"> </w:t>
      </w:r>
      <w:proofErr w:type="spellStart"/>
      <w:r w:rsidRPr="00734D3B">
        <w:rPr>
          <w:rFonts w:cs="Arial"/>
          <w:szCs w:val="22"/>
        </w:rPr>
        <w:t>containers</w:t>
      </w:r>
      <w:proofErr w:type="spellEnd"/>
      <w:r w:rsidRPr="00734D3B">
        <w:rPr>
          <w:rFonts w:cs="Arial"/>
          <w:szCs w:val="22"/>
        </w:rPr>
        <w:t xml:space="preserve"> </w:t>
      </w:r>
      <w:proofErr w:type="spellStart"/>
      <w:r w:rsidRPr="00734D3B">
        <w:rPr>
          <w:rFonts w:cs="Arial"/>
          <w:szCs w:val="22"/>
        </w:rPr>
        <w:t>or</w:t>
      </w:r>
      <w:proofErr w:type="spellEnd"/>
      <w:r w:rsidRPr="00734D3B">
        <w:rPr>
          <w:rFonts w:cs="Arial"/>
          <w:szCs w:val="22"/>
        </w:rPr>
        <w:t xml:space="preserve"> incomplete </w:t>
      </w:r>
      <w:proofErr w:type="spellStart"/>
      <w:r w:rsidRPr="00734D3B">
        <w:rPr>
          <w:rFonts w:cs="Arial"/>
          <w:szCs w:val="22"/>
        </w:rPr>
        <w:t>information</w:t>
      </w:r>
      <w:proofErr w:type="spellEnd"/>
    </w:p>
    <w:p w14:paraId="512743DF" w14:textId="77777777" w:rsidR="00C2306E" w:rsidRPr="00734D3B" w:rsidRDefault="00C2306E" w:rsidP="00D978B3">
      <w:pPr>
        <w:pStyle w:val="ListParagraph"/>
        <w:numPr>
          <w:ilvl w:val="0"/>
          <w:numId w:val="73"/>
        </w:numPr>
        <w:spacing w:after="200" w:line="276" w:lineRule="auto"/>
        <w:contextualSpacing/>
        <w:rPr>
          <w:rFonts w:cs="Arial"/>
          <w:szCs w:val="22"/>
        </w:rPr>
      </w:pPr>
      <w:r w:rsidRPr="00734D3B">
        <w:rPr>
          <w:rFonts w:cs="Arial"/>
          <w:szCs w:val="22"/>
        </w:rPr>
        <w:t>Almacenamiento en áreas no designadas / Storage in non-</w:t>
      </w:r>
      <w:proofErr w:type="spellStart"/>
      <w:r w:rsidRPr="00734D3B">
        <w:rPr>
          <w:rFonts w:cs="Arial"/>
          <w:szCs w:val="22"/>
        </w:rPr>
        <w:t>designated</w:t>
      </w:r>
      <w:proofErr w:type="spellEnd"/>
      <w:r w:rsidRPr="00734D3B">
        <w:rPr>
          <w:rFonts w:cs="Arial"/>
          <w:szCs w:val="22"/>
        </w:rPr>
        <w:t xml:space="preserve"> </w:t>
      </w:r>
      <w:proofErr w:type="spellStart"/>
      <w:r w:rsidRPr="00734D3B">
        <w:rPr>
          <w:rFonts w:cs="Arial"/>
          <w:szCs w:val="22"/>
        </w:rPr>
        <w:t>areas</w:t>
      </w:r>
      <w:proofErr w:type="spellEnd"/>
    </w:p>
    <w:p w14:paraId="6A63994D" w14:textId="77777777" w:rsidR="00C2306E" w:rsidRPr="00734D3B" w:rsidRDefault="00C2306E" w:rsidP="00D978B3">
      <w:pPr>
        <w:pStyle w:val="ListParagraph"/>
        <w:numPr>
          <w:ilvl w:val="0"/>
          <w:numId w:val="73"/>
        </w:numPr>
        <w:spacing w:after="200" w:line="276" w:lineRule="auto"/>
        <w:contextualSpacing/>
        <w:rPr>
          <w:rFonts w:cs="Arial"/>
          <w:szCs w:val="22"/>
        </w:rPr>
      </w:pPr>
      <w:r w:rsidRPr="00734D3B">
        <w:rPr>
          <w:rFonts w:cs="Arial"/>
          <w:szCs w:val="22"/>
        </w:rPr>
        <w:t xml:space="preserve">Falta de evidencia documental del destino final / </w:t>
      </w:r>
      <w:proofErr w:type="spellStart"/>
      <w:r w:rsidRPr="00734D3B">
        <w:rPr>
          <w:rFonts w:cs="Arial"/>
          <w:szCs w:val="22"/>
        </w:rPr>
        <w:t>Missing</w:t>
      </w:r>
      <w:proofErr w:type="spellEnd"/>
      <w:r w:rsidRPr="00734D3B">
        <w:rPr>
          <w:rFonts w:cs="Arial"/>
          <w:szCs w:val="22"/>
        </w:rPr>
        <w:t xml:space="preserve"> </w:t>
      </w:r>
      <w:proofErr w:type="spellStart"/>
      <w:r w:rsidRPr="00734D3B">
        <w:rPr>
          <w:rFonts w:cs="Arial"/>
          <w:szCs w:val="22"/>
        </w:rPr>
        <w:t>documentation</w:t>
      </w:r>
      <w:proofErr w:type="spellEnd"/>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final </w:t>
      </w:r>
      <w:proofErr w:type="spellStart"/>
      <w:r w:rsidRPr="00734D3B">
        <w:rPr>
          <w:rFonts w:cs="Arial"/>
          <w:szCs w:val="22"/>
        </w:rPr>
        <w:t>disposition</w:t>
      </w:r>
      <w:proofErr w:type="spellEnd"/>
    </w:p>
    <w:p w14:paraId="09FD1045" w14:textId="77777777" w:rsidR="00C2306E" w:rsidRPr="00734D3B" w:rsidRDefault="00C2306E" w:rsidP="00C2306E">
      <w:pPr>
        <w:rPr>
          <w:rFonts w:cs="Arial"/>
          <w:szCs w:val="22"/>
        </w:rPr>
      </w:pPr>
    </w:p>
    <w:p w14:paraId="6338AC6E" w14:textId="77777777" w:rsidR="00B53B0B" w:rsidRDefault="00B53B0B" w:rsidP="00C2306E">
      <w:pPr>
        <w:rPr>
          <w:rFonts w:eastAsia="Calibri" w:cs="Arial"/>
          <w:b/>
          <w:szCs w:val="22"/>
        </w:rPr>
      </w:pPr>
    </w:p>
    <w:p w14:paraId="6225F48E" w14:textId="77777777" w:rsidR="00B53B0B" w:rsidRDefault="00B53B0B" w:rsidP="00C2306E">
      <w:pPr>
        <w:rPr>
          <w:rFonts w:eastAsia="Calibri" w:cs="Arial"/>
          <w:b/>
          <w:szCs w:val="22"/>
        </w:rPr>
      </w:pPr>
    </w:p>
    <w:p w14:paraId="4C65CCC1" w14:textId="103BD34D" w:rsidR="00C2306E" w:rsidRPr="00734D3B" w:rsidRDefault="00C2306E" w:rsidP="00C2306E">
      <w:pPr>
        <w:rPr>
          <w:rFonts w:cs="Arial"/>
          <w:szCs w:val="22"/>
        </w:rPr>
      </w:pPr>
      <w:r w:rsidRPr="00734D3B">
        <w:rPr>
          <w:rFonts w:eastAsia="Calibri" w:cs="Arial"/>
          <w:b/>
          <w:szCs w:val="22"/>
        </w:rPr>
        <w:lastRenderedPageBreak/>
        <w:t xml:space="preserve">Flujograma operativo / </w:t>
      </w:r>
      <w:proofErr w:type="spellStart"/>
      <w:r w:rsidRPr="00734D3B">
        <w:rPr>
          <w:rFonts w:eastAsia="Calibri" w:cs="Arial"/>
          <w:b/>
          <w:szCs w:val="22"/>
        </w:rPr>
        <w:t>Operational</w:t>
      </w:r>
      <w:proofErr w:type="spellEnd"/>
      <w:r w:rsidRPr="00734D3B">
        <w:rPr>
          <w:rFonts w:eastAsia="Calibri" w:cs="Arial"/>
          <w:b/>
          <w:szCs w:val="22"/>
        </w:rPr>
        <w:t xml:space="preserve"> </w:t>
      </w:r>
      <w:proofErr w:type="spellStart"/>
      <w:r w:rsidRPr="00734D3B">
        <w:rPr>
          <w:rFonts w:eastAsia="Calibri" w:cs="Arial"/>
          <w:b/>
          <w:szCs w:val="22"/>
        </w:rPr>
        <w:t>Flowchart</w:t>
      </w:r>
      <w:proofErr w:type="spellEnd"/>
    </w:p>
    <w:p w14:paraId="786CEFF6" w14:textId="77777777" w:rsidR="00C2306E" w:rsidRPr="00734D3B" w:rsidRDefault="00C2306E" w:rsidP="00C2306E">
      <w:pPr>
        <w:rPr>
          <w:rFonts w:cs="Arial"/>
          <w:szCs w:val="22"/>
        </w:rPr>
      </w:pPr>
      <w:r w:rsidRPr="00734D3B">
        <w:rPr>
          <w:rFonts w:cs="Arial"/>
          <w:szCs w:val="22"/>
        </w:rPr>
        <w:t>El siguiente flujograma resume los pasos operativos del POE para su aplicación en campo.</w:t>
      </w:r>
    </w:p>
    <w:p w14:paraId="063EA722" w14:textId="77777777" w:rsidR="00C2306E" w:rsidRPr="00734D3B" w:rsidRDefault="00C2306E" w:rsidP="00C2306E">
      <w:pPr>
        <w:rPr>
          <w:rFonts w:cs="Arial"/>
          <w:szCs w:val="22"/>
          <w:lang w:val="en-US"/>
        </w:rPr>
      </w:pPr>
      <w:r w:rsidRPr="00734D3B">
        <w:rPr>
          <w:rFonts w:cs="Arial"/>
          <w:szCs w:val="22"/>
          <w:lang w:val="en-US"/>
        </w:rPr>
        <w:t>The following flowchart summarizes the SOP operational steps for field execution.</w:t>
      </w:r>
    </w:p>
    <w:p w14:paraId="7349BCF9" w14:textId="6523E5A4" w:rsidR="008E6DAE" w:rsidRPr="00734D3B" w:rsidRDefault="008E6DAE">
      <w:pPr>
        <w:spacing w:line="240" w:lineRule="auto"/>
        <w:ind w:firstLine="0"/>
        <w:rPr>
          <w:b/>
          <w:szCs w:val="18"/>
          <w:lang w:val="en-US"/>
        </w:rPr>
      </w:pPr>
    </w:p>
    <w:p w14:paraId="3011BF67" w14:textId="232823DF" w:rsidR="0081167B" w:rsidRPr="00734D3B" w:rsidRDefault="001B65B7" w:rsidP="008E6DAE">
      <w:pPr>
        <w:spacing w:after="200"/>
        <w:ind w:firstLine="0"/>
        <w:rPr>
          <w:bCs/>
          <w:i/>
          <w:iCs/>
          <w:szCs w:val="18"/>
        </w:rPr>
      </w:pPr>
      <w:bookmarkStart w:id="359" w:name="_Toc227937883"/>
      <w:r w:rsidRPr="00734D3B">
        <w:rPr>
          <w:b/>
          <w:szCs w:val="18"/>
        </w:rPr>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Pr="00734D3B">
        <w:rPr>
          <w:b/>
          <w:noProof/>
          <w:szCs w:val="18"/>
        </w:rPr>
        <w:t>29</w:t>
      </w:r>
      <w:r w:rsidRPr="00734D3B">
        <w:rPr>
          <w:b/>
          <w:noProof/>
          <w:szCs w:val="18"/>
        </w:rPr>
        <w:fldChar w:fldCharType="end"/>
      </w:r>
      <w:r w:rsidRPr="00734D3B">
        <w:rPr>
          <w:b/>
          <w:szCs w:val="18"/>
        </w:rPr>
        <w:t xml:space="preserve"> </w:t>
      </w:r>
      <w:r w:rsidRPr="00734D3B">
        <w:rPr>
          <w:b/>
          <w:szCs w:val="18"/>
        </w:rPr>
        <w:br/>
      </w:r>
      <w:r w:rsidRPr="00734D3B">
        <w:rPr>
          <w:bCs/>
          <w:i/>
          <w:iCs/>
          <w:szCs w:val="18"/>
        </w:rPr>
        <w:t>Flujograma de pasos operativos del POE</w:t>
      </w:r>
      <w:bookmarkEnd w:id="359"/>
    </w:p>
    <w:p w14:paraId="417E84E7" w14:textId="77777777" w:rsidR="00385D02" w:rsidRPr="00734D3B" w:rsidRDefault="0081167B">
      <w:pPr>
        <w:spacing w:line="240" w:lineRule="auto"/>
        <w:ind w:firstLine="0"/>
        <w:rPr>
          <w:rFonts w:cs="Arial"/>
          <w:b/>
          <w:bCs/>
          <w:szCs w:val="22"/>
        </w:rPr>
      </w:pPr>
      <w:r w:rsidRPr="00734D3B">
        <w:rPr>
          <w:rFonts w:cs="Arial"/>
          <w:b/>
          <w:bCs/>
          <w:noProof/>
          <w:szCs w:val="22"/>
        </w:rPr>
        <w:drawing>
          <wp:inline distT="0" distB="0" distL="0" distR="0" wp14:anchorId="5F5793DB" wp14:editId="7B9C0115">
            <wp:extent cx="5944235" cy="4145915"/>
            <wp:effectExtent l="0" t="0" r="0" b="6985"/>
            <wp:docPr id="763797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4235" cy="4145915"/>
                    </a:xfrm>
                    <a:prstGeom prst="rect">
                      <a:avLst/>
                    </a:prstGeom>
                    <a:noFill/>
                  </pic:spPr>
                </pic:pic>
              </a:graphicData>
            </a:graphic>
          </wp:inline>
        </w:drawing>
      </w:r>
    </w:p>
    <w:p w14:paraId="237E25D6" w14:textId="77777777" w:rsidR="00385D02" w:rsidRPr="00734D3B" w:rsidRDefault="00385D02" w:rsidP="00385D02">
      <w:r w:rsidRPr="00734D3B">
        <w:rPr>
          <w:rFonts w:cs="Arial"/>
          <w:i/>
          <w:iCs/>
          <w:szCs w:val="22"/>
        </w:rPr>
        <w:t>Nota</w:t>
      </w:r>
      <w:r w:rsidRPr="00734D3B">
        <w:rPr>
          <w:rFonts w:cs="Arial"/>
          <w:szCs w:val="22"/>
        </w:rPr>
        <w:t xml:space="preserve">: </w:t>
      </w:r>
      <w:r w:rsidRPr="00734D3B">
        <w:rPr>
          <w:i/>
          <w:iCs/>
          <w:szCs w:val="22"/>
        </w:rPr>
        <w:t>Elaboración propia</w:t>
      </w:r>
    </w:p>
    <w:p w14:paraId="5541185A" w14:textId="77777777" w:rsidR="00B53B0B" w:rsidRDefault="00B53B0B">
      <w:pPr>
        <w:spacing w:line="240" w:lineRule="auto"/>
        <w:ind w:firstLine="0"/>
        <w:rPr>
          <w:b/>
          <w:bCs/>
        </w:rPr>
      </w:pPr>
      <w:r>
        <w:rPr>
          <w:b/>
          <w:bCs/>
        </w:rPr>
        <w:br w:type="page"/>
      </w:r>
    </w:p>
    <w:p w14:paraId="6C6C34F4" w14:textId="2122F5EC" w:rsidR="00135F3F" w:rsidRPr="00734D3B" w:rsidRDefault="00135F3F" w:rsidP="00135F3F">
      <w:pPr>
        <w:rPr>
          <w:b/>
          <w:bCs/>
        </w:rPr>
      </w:pPr>
      <w:r w:rsidRPr="00734D3B">
        <w:rPr>
          <w:b/>
          <w:bCs/>
        </w:rPr>
        <w:lastRenderedPageBreak/>
        <w:t>4.</w:t>
      </w:r>
      <w:r w:rsidR="00DE69A2" w:rsidRPr="00734D3B">
        <w:rPr>
          <w:b/>
          <w:bCs/>
        </w:rPr>
        <w:t>3</w:t>
      </w:r>
      <w:r w:rsidRPr="00734D3B">
        <w:rPr>
          <w:b/>
          <w:bCs/>
        </w:rPr>
        <w:t>.</w:t>
      </w:r>
      <w:r w:rsidR="000821D9" w:rsidRPr="00734D3B">
        <w:rPr>
          <w:b/>
          <w:bCs/>
        </w:rPr>
        <w:t>9</w:t>
      </w:r>
      <w:r w:rsidRPr="00734D3B">
        <w:rPr>
          <w:b/>
          <w:bCs/>
        </w:rPr>
        <w:t xml:space="preserve"> Guía operativa para el seguimiento del desempeño ambiental, gestión de no conformidades y mejora continua</w:t>
      </w:r>
    </w:p>
    <w:p w14:paraId="0E38590C" w14:textId="77777777" w:rsidR="00135F3F" w:rsidRPr="00734D3B" w:rsidRDefault="00135F3F" w:rsidP="00135F3F">
      <w:pPr>
        <w:rPr>
          <w:b/>
          <w:bCs/>
          <w:lang w:val="en-US"/>
        </w:rPr>
      </w:pPr>
      <w:r w:rsidRPr="00734D3B">
        <w:rPr>
          <w:b/>
          <w:bCs/>
          <w:lang w:val="en-US"/>
        </w:rPr>
        <w:t>Environmental Performance Monitoring, Non-Conformance Management and Continuous Improvement</w:t>
      </w:r>
    </w:p>
    <w:p w14:paraId="22BCE41F" w14:textId="7577D39B" w:rsidR="00135F3F" w:rsidRPr="00734D3B" w:rsidRDefault="00135F3F" w:rsidP="00135F3F">
      <w:pPr>
        <w:rPr>
          <w:b/>
          <w:bCs/>
        </w:rPr>
      </w:pPr>
      <w:r w:rsidRPr="00734D3B">
        <w:rPr>
          <w:b/>
          <w:bCs/>
        </w:rPr>
        <w:t>1. Objetivo</w:t>
      </w:r>
      <w:r w:rsidR="00477247" w:rsidRPr="00734D3B">
        <w:rPr>
          <w:b/>
          <w:bCs/>
        </w:rPr>
        <w:t xml:space="preserve"> / </w:t>
      </w:r>
      <w:proofErr w:type="spellStart"/>
      <w:r w:rsidR="00477247" w:rsidRPr="00734D3B">
        <w:rPr>
          <w:b/>
          <w:bCs/>
        </w:rPr>
        <w:t>Objective</w:t>
      </w:r>
      <w:proofErr w:type="spellEnd"/>
    </w:p>
    <w:p w14:paraId="43884D08" w14:textId="77777777" w:rsidR="00135F3F" w:rsidRPr="00734D3B" w:rsidRDefault="00135F3F" w:rsidP="00135F3F">
      <w:proofErr w:type="gramStart"/>
      <w:r w:rsidRPr="00734D3B">
        <w:t>Asegurar</w:t>
      </w:r>
      <w:proofErr w:type="gramEnd"/>
      <w:r w:rsidRPr="00734D3B">
        <w:t xml:space="preserve"> que los indicadores ambientales (KPI) y los mecanismos de seguimiento se ejecuten como herramientas efectivas de control del desempeño ambiental, permitiendo la detección oportuna de desviaciones, la gestión de no conformidades y la implementación de acciones correctivas, preventivas y de mejora continua durante todo el ciclo de vida del proyecto eléctrico.</w:t>
      </w:r>
    </w:p>
    <w:p w14:paraId="5F000897" w14:textId="77777777" w:rsidR="00135F3F" w:rsidRPr="00734D3B" w:rsidRDefault="00135F3F" w:rsidP="00135F3F">
      <w:pPr>
        <w:rPr>
          <w:lang w:val="en-US"/>
        </w:rPr>
      </w:pPr>
      <w:r w:rsidRPr="00734D3B">
        <w:rPr>
          <w:lang w:val="en-US"/>
        </w:rPr>
        <w:t>Ensure that environmental indicators (KPIs) and monitoring mechanisms are executed as effective environmental performance control tools, enabling timely detection of deviations, non-conformance management, and implementation of corrective, preventive, and continuous improvement actions throughout the entire electrical project lifecycle.</w:t>
      </w:r>
    </w:p>
    <w:p w14:paraId="1F567D26" w14:textId="1D3E8CFD" w:rsidR="00135F3F" w:rsidRPr="00734D3B" w:rsidRDefault="00135F3F" w:rsidP="00135F3F">
      <w:pPr>
        <w:rPr>
          <w:b/>
          <w:bCs/>
        </w:rPr>
      </w:pPr>
      <w:r w:rsidRPr="00734D3B">
        <w:rPr>
          <w:b/>
          <w:bCs/>
        </w:rPr>
        <w:t>2. Alcance</w:t>
      </w:r>
      <w:r w:rsidR="00477247" w:rsidRPr="00734D3B">
        <w:rPr>
          <w:b/>
          <w:bCs/>
        </w:rPr>
        <w:t>/ Scope</w:t>
      </w:r>
    </w:p>
    <w:p w14:paraId="540BCAAF" w14:textId="77777777" w:rsidR="00135F3F" w:rsidRPr="00734D3B" w:rsidRDefault="00135F3F" w:rsidP="00135F3F">
      <w:r w:rsidRPr="00734D3B">
        <w:t>Aplica a la fase de ejecución, control, cierre y evaluación final del proyecto eléctrico, integrando el uso de indicadores ambientales, resultados de auditorías y registros de monitoreo en proyectos de data centers.</w:t>
      </w:r>
    </w:p>
    <w:p w14:paraId="636B7809" w14:textId="77777777" w:rsidR="00135F3F" w:rsidRPr="00734D3B" w:rsidRDefault="00135F3F" w:rsidP="00135F3F">
      <w:pPr>
        <w:rPr>
          <w:lang w:val="en-US"/>
        </w:rPr>
      </w:pPr>
      <w:r w:rsidRPr="00734D3B">
        <w:rPr>
          <w:lang w:val="en-US"/>
        </w:rPr>
        <w:t>Apply to the execution, control, closeout, and final evaluation phases of the electrical project, integrating the use of environmental indicators, audit results, and monitoring records in data center projects.</w:t>
      </w:r>
    </w:p>
    <w:p w14:paraId="2CE8D0A8" w14:textId="4ED427FD" w:rsidR="00135F3F" w:rsidRPr="00734D3B" w:rsidRDefault="00135F3F" w:rsidP="00135F3F">
      <w:pPr>
        <w:rPr>
          <w:b/>
          <w:bCs/>
          <w:lang w:val="en-US"/>
        </w:rPr>
      </w:pPr>
      <w:r w:rsidRPr="00734D3B">
        <w:rPr>
          <w:b/>
          <w:bCs/>
          <w:lang w:val="en-US"/>
        </w:rPr>
        <w:t xml:space="preserve">3. Lineamientos </w:t>
      </w:r>
      <w:proofErr w:type="spellStart"/>
      <w:r w:rsidR="0024688F" w:rsidRPr="00734D3B">
        <w:rPr>
          <w:b/>
          <w:bCs/>
          <w:lang w:val="en-US"/>
        </w:rPr>
        <w:t>O</w:t>
      </w:r>
      <w:r w:rsidRPr="00734D3B">
        <w:rPr>
          <w:b/>
          <w:bCs/>
          <w:lang w:val="en-US"/>
        </w:rPr>
        <w:t>perativos</w:t>
      </w:r>
      <w:proofErr w:type="spellEnd"/>
      <w:r w:rsidRPr="00734D3B">
        <w:rPr>
          <w:b/>
          <w:bCs/>
          <w:lang w:val="en-US"/>
        </w:rPr>
        <w:t xml:space="preserve"> / Operational Guidelines</w:t>
      </w:r>
    </w:p>
    <w:p w14:paraId="7A997945" w14:textId="77777777" w:rsidR="00135F3F" w:rsidRPr="00734D3B" w:rsidRDefault="00135F3F" w:rsidP="006848CE">
      <w:pPr>
        <w:pStyle w:val="ListParagraph"/>
        <w:numPr>
          <w:ilvl w:val="0"/>
          <w:numId w:val="74"/>
        </w:numPr>
      </w:pPr>
      <w:r w:rsidRPr="00734D3B">
        <w:t>Seleccionar los KPI ambientales aplicables según el alcance eléctrico del proyecto y el volumen de residuos generados.</w:t>
      </w:r>
    </w:p>
    <w:p w14:paraId="6CCE4DC4" w14:textId="77777777" w:rsidR="00135F3F" w:rsidRPr="00734D3B" w:rsidRDefault="00135F3F" w:rsidP="006848CE">
      <w:pPr>
        <w:pStyle w:val="ListParagraph"/>
        <w:numPr>
          <w:ilvl w:val="0"/>
          <w:numId w:val="74"/>
        </w:numPr>
        <w:rPr>
          <w:lang w:val="en-US"/>
        </w:rPr>
      </w:pPr>
      <w:r w:rsidRPr="00734D3B">
        <w:rPr>
          <w:lang w:val="en-US"/>
        </w:rPr>
        <w:lastRenderedPageBreak/>
        <w:t>Select applicable environmental KPIs based on the electrical scope of the project and the volume of waste generated.</w:t>
      </w:r>
    </w:p>
    <w:p w14:paraId="418A423A" w14:textId="77777777" w:rsidR="00135F3F" w:rsidRPr="00734D3B" w:rsidRDefault="00135F3F" w:rsidP="006848CE">
      <w:pPr>
        <w:pStyle w:val="ListParagraph"/>
        <w:numPr>
          <w:ilvl w:val="0"/>
          <w:numId w:val="74"/>
        </w:numPr>
      </w:pPr>
      <w:r w:rsidRPr="00734D3B">
        <w:t>Definir el responsable del levantamiento, consolidación y reporte de datos, alineado con la Matriz RACI del proyecto.</w:t>
      </w:r>
    </w:p>
    <w:p w14:paraId="701B85CE" w14:textId="77777777" w:rsidR="00135F3F" w:rsidRPr="00734D3B" w:rsidRDefault="00135F3F" w:rsidP="006848CE">
      <w:pPr>
        <w:pStyle w:val="ListParagraph"/>
        <w:numPr>
          <w:ilvl w:val="0"/>
          <w:numId w:val="74"/>
        </w:numPr>
        <w:rPr>
          <w:lang w:val="en-US"/>
        </w:rPr>
      </w:pPr>
      <w:r w:rsidRPr="00734D3B">
        <w:rPr>
          <w:lang w:val="en-US"/>
        </w:rPr>
        <w:t>Define the party responsible for data collection, consolidation, and reporting, aligned with the project RACI Matrix.</w:t>
      </w:r>
    </w:p>
    <w:p w14:paraId="6AE92EC3" w14:textId="77777777" w:rsidR="00135F3F" w:rsidRPr="00734D3B" w:rsidRDefault="00135F3F" w:rsidP="006848CE">
      <w:pPr>
        <w:pStyle w:val="ListParagraph"/>
        <w:numPr>
          <w:ilvl w:val="0"/>
          <w:numId w:val="74"/>
        </w:numPr>
      </w:pPr>
      <w:r w:rsidRPr="00734D3B">
        <w:t>Recolectar información a partir de certificados, registros operativos, evidencias del POE y reportes ambientales.</w:t>
      </w:r>
    </w:p>
    <w:p w14:paraId="0EB3E3A8" w14:textId="77777777" w:rsidR="00135F3F" w:rsidRPr="00734D3B" w:rsidRDefault="00135F3F" w:rsidP="006848CE">
      <w:pPr>
        <w:pStyle w:val="ListParagraph"/>
        <w:numPr>
          <w:ilvl w:val="0"/>
          <w:numId w:val="74"/>
        </w:numPr>
        <w:rPr>
          <w:lang w:val="en-US"/>
        </w:rPr>
      </w:pPr>
      <w:r w:rsidRPr="00734D3B">
        <w:rPr>
          <w:lang w:val="en-US"/>
        </w:rPr>
        <w:t>Collect information from certificates, operational records, SOP evidence, and environmental reports.</w:t>
      </w:r>
    </w:p>
    <w:p w14:paraId="26315E67" w14:textId="77777777" w:rsidR="00135F3F" w:rsidRPr="00734D3B" w:rsidRDefault="00135F3F" w:rsidP="006848CE">
      <w:pPr>
        <w:pStyle w:val="ListParagraph"/>
        <w:numPr>
          <w:ilvl w:val="0"/>
          <w:numId w:val="74"/>
        </w:numPr>
      </w:pPr>
      <w:r w:rsidRPr="00734D3B">
        <w:t>Calcular y registrar los indicadores conforme a la periodicidad definida.</w:t>
      </w:r>
    </w:p>
    <w:p w14:paraId="4EFF5C00" w14:textId="77777777" w:rsidR="00135F3F" w:rsidRPr="00734D3B" w:rsidRDefault="00135F3F" w:rsidP="006848CE">
      <w:pPr>
        <w:pStyle w:val="ListParagraph"/>
        <w:numPr>
          <w:ilvl w:val="0"/>
          <w:numId w:val="74"/>
        </w:numPr>
        <w:rPr>
          <w:lang w:val="en-US"/>
        </w:rPr>
      </w:pPr>
      <w:r w:rsidRPr="00734D3B">
        <w:rPr>
          <w:lang w:val="en-US"/>
        </w:rPr>
        <w:t>Calculate and record indicators according to the defined frequency.</w:t>
      </w:r>
    </w:p>
    <w:p w14:paraId="357949E3" w14:textId="77777777" w:rsidR="00135F3F" w:rsidRPr="00734D3B" w:rsidRDefault="00135F3F" w:rsidP="006848CE">
      <w:pPr>
        <w:pStyle w:val="ListParagraph"/>
        <w:numPr>
          <w:ilvl w:val="0"/>
          <w:numId w:val="74"/>
        </w:numPr>
      </w:pPr>
      <w:r w:rsidRPr="00734D3B">
        <w:t>Analizar tendencias y resultados para identificar desviaciones, incumplimientos u oportunidades de mejora.</w:t>
      </w:r>
    </w:p>
    <w:p w14:paraId="091453CC" w14:textId="77777777" w:rsidR="00135F3F" w:rsidRPr="00734D3B" w:rsidRDefault="00135F3F" w:rsidP="006848CE">
      <w:pPr>
        <w:pStyle w:val="ListParagraph"/>
        <w:numPr>
          <w:ilvl w:val="0"/>
          <w:numId w:val="74"/>
        </w:numPr>
        <w:rPr>
          <w:lang w:val="en-US"/>
        </w:rPr>
      </w:pPr>
      <w:r w:rsidRPr="00734D3B">
        <w:rPr>
          <w:lang w:val="en-US"/>
        </w:rPr>
        <w:t>Analyze trends and results to identify deviations, non-compliance, or improvement opportunities.</w:t>
      </w:r>
    </w:p>
    <w:p w14:paraId="6BDF73C7" w14:textId="77777777" w:rsidR="00135F3F" w:rsidRPr="00734D3B" w:rsidRDefault="00135F3F" w:rsidP="006848CE">
      <w:pPr>
        <w:pStyle w:val="ListParagraph"/>
        <w:numPr>
          <w:ilvl w:val="0"/>
          <w:numId w:val="74"/>
        </w:numPr>
      </w:pPr>
      <w:r w:rsidRPr="00734D3B">
        <w:t>Registrar la no conformidad o desviación detectada cuando los resultados se encuentren fuera de los parámetros esperados.</w:t>
      </w:r>
    </w:p>
    <w:p w14:paraId="76697BBF" w14:textId="77777777" w:rsidR="00135F3F" w:rsidRPr="00734D3B" w:rsidRDefault="00135F3F" w:rsidP="006848CE">
      <w:pPr>
        <w:pStyle w:val="ListParagraph"/>
        <w:numPr>
          <w:ilvl w:val="0"/>
          <w:numId w:val="74"/>
        </w:numPr>
        <w:rPr>
          <w:lang w:val="en-US"/>
        </w:rPr>
      </w:pPr>
      <w:r w:rsidRPr="00734D3B">
        <w:rPr>
          <w:lang w:val="en-US"/>
        </w:rPr>
        <w:t>Record the detected non-conformance or deviation when results fall outside expected parameters.</w:t>
      </w:r>
    </w:p>
    <w:p w14:paraId="47BD424D" w14:textId="77777777" w:rsidR="00135F3F" w:rsidRPr="00734D3B" w:rsidRDefault="00135F3F" w:rsidP="006848CE">
      <w:pPr>
        <w:pStyle w:val="ListParagraph"/>
        <w:numPr>
          <w:ilvl w:val="0"/>
          <w:numId w:val="74"/>
        </w:numPr>
      </w:pPr>
      <w:r w:rsidRPr="00734D3B">
        <w:t>Analizar la causa raíz de la no conformidad con apoyo del equipo responsable.</w:t>
      </w:r>
    </w:p>
    <w:p w14:paraId="42A55DD0" w14:textId="77777777" w:rsidR="00135F3F" w:rsidRPr="00734D3B" w:rsidRDefault="00135F3F" w:rsidP="006848CE">
      <w:pPr>
        <w:pStyle w:val="ListParagraph"/>
        <w:numPr>
          <w:ilvl w:val="0"/>
          <w:numId w:val="74"/>
        </w:numPr>
        <w:rPr>
          <w:lang w:val="en-US"/>
        </w:rPr>
      </w:pPr>
      <w:r w:rsidRPr="00734D3B">
        <w:rPr>
          <w:lang w:val="en-US"/>
        </w:rPr>
        <w:t>Analyze the root cause of the non-conformance with support from the responsible team.</w:t>
      </w:r>
    </w:p>
    <w:p w14:paraId="5D0CC63C" w14:textId="77777777" w:rsidR="00135F3F" w:rsidRPr="00734D3B" w:rsidRDefault="00135F3F" w:rsidP="006848CE">
      <w:pPr>
        <w:pStyle w:val="ListParagraph"/>
        <w:numPr>
          <w:ilvl w:val="0"/>
          <w:numId w:val="74"/>
        </w:numPr>
      </w:pPr>
      <w:r w:rsidRPr="00734D3B">
        <w:t>Definir e implementar la acción correspondiente (correctiva, preventiva o de mejora).</w:t>
      </w:r>
    </w:p>
    <w:p w14:paraId="4E1DC530" w14:textId="77777777" w:rsidR="00135F3F" w:rsidRPr="00734D3B" w:rsidRDefault="00135F3F" w:rsidP="006848CE">
      <w:pPr>
        <w:pStyle w:val="ListParagraph"/>
        <w:numPr>
          <w:ilvl w:val="0"/>
          <w:numId w:val="74"/>
        </w:numPr>
        <w:rPr>
          <w:lang w:val="en-US"/>
        </w:rPr>
      </w:pPr>
      <w:r w:rsidRPr="00734D3B">
        <w:rPr>
          <w:lang w:val="en-US"/>
        </w:rPr>
        <w:t>Define and implement the corresponding action (corrective, preventive, or improvement).</w:t>
      </w:r>
    </w:p>
    <w:p w14:paraId="672290A9" w14:textId="77777777" w:rsidR="00135F3F" w:rsidRPr="00734D3B" w:rsidRDefault="00135F3F" w:rsidP="006848CE">
      <w:pPr>
        <w:pStyle w:val="ListParagraph"/>
        <w:numPr>
          <w:ilvl w:val="0"/>
          <w:numId w:val="74"/>
        </w:numPr>
      </w:pPr>
      <w:r w:rsidRPr="00734D3B">
        <w:t>Asignar responsable y fecha de cierre para cada acción definida.</w:t>
      </w:r>
    </w:p>
    <w:p w14:paraId="34149583" w14:textId="77777777" w:rsidR="00135F3F" w:rsidRPr="00734D3B" w:rsidRDefault="00135F3F" w:rsidP="006848CE">
      <w:pPr>
        <w:pStyle w:val="ListParagraph"/>
        <w:numPr>
          <w:ilvl w:val="0"/>
          <w:numId w:val="74"/>
        </w:numPr>
        <w:rPr>
          <w:lang w:val="en-US"/>
        </w:rPr>
      </w:pPr>
      <w:r w:rsidRPr="00734D3B">
        <w:rPr>
          <w:lang w:val="en-US"/>
        </w:rPr>
        <w:lastRenderedPageBreak/>
        <w:t>Assign a responsible party and closure date for each defined action.</w:t>
      </w:r>
    </w:p>
    <w:p w14:paraId="14B88E92" w14:textId="77777777" w:rsidR="00135F3F" w:rsidRPr="00734D3B" w:rsidRDefault="00135F3F" w:rsidP="006848CE">
      <w:pPr>
        <w:pStyle w:val="ListParagraph"/>
        <w:numPr>
          <w:ilvl w:val="0"/>
          <w:numId w:val="74"/>
        </w:numPr>
      </w:pPr>
      <w:r w:rsidRPr="00734D3B">
        <w:t>Documentar las lecciones aprendidas y retroalimentar el sistema de gestión ambiental para proyectos futuros.</w:t>
      </w:r>
    </w:p>
    <w:p w14:paraId="07423190" w14:textId="77777777" w:rsidR="00135F3F" w:rsidRPr="00734D3B" w:rsidRDefault="00135F3F" w:rsidP="006848CE">
      <w:pPr>
        <w:pStyle w:val="ListParagraph"/>
        <w:numPr>
          <w:ilvl w:val="0"/>
          <w:numId w:val="74"/>
        </w:numPr>
        <w:rPr>
          <w:lang w:val="en-US"/>
        </w:rPr>
      </w:pPr>
      <w:r w:rsidRPr="00734D3B">
        <w:rPr>
          <w:lang w:val="en-US"/>
        </w:rPr>
        <w:t>Document lessons learned and feed back into the environmental management system for future projects.</w:t>
      </w:r>
    </w:p>
    <w:p w14:paraId="11740F79" w14:textId="77777777" w:rsidR="00135F3F" w:rsidRPr="00734D3B" w:rsidRDefault="00135F3F" w:rsidP="00135F3F">
      <w:pPr>
        <w:rPr>
          <w:b/>
          <w:bCs/>
          <w:lang w:val="en-US"/>
        </w:rPr>
      </w:pPr>
      <w:r w:rsidRPr="00734D3B">
        <w:rPr>
          <w:b/>
          <w:bCs/>
          <w:lang w:val="en-US"/>
        </w:rPr>
        <w:t xml:space="preserve">4. </w:t>
      </w:r>
      <w:proofErr w:type="spellStart"/>
      <w:r w:rsidRPr="00734D3B">
        <w:rPr>
          <w:b/>
          <w:bCs/>
          <w:lang w:val="en-US"/>
        </w:rPr>
        <w:t>Resultados</w:t>
      </w:r>
      <w:proofErr w:type="spellEnd"/>
      <w:r w:rsidRPr="00734D3B">
        <w:rPr>
          <w:b/>
          <w:bCs/>
          <w:lang w:val="en-US"/>
        </w:rPr>
        <w:t xml:space="preserve"> </w:t>
      </w:r>
      <w:proofErr w:type="spellStart"/>
      <w:r w:rsidRPr="00734D3B">
        <w:rPr>
          <w:b/>
          <w:bCs/>
          <w:lang w:val="en-US"/>
        </w:rPr>
        <w:t>esperados</w:t>
      </w:r>
      <w:proofErr w:type="spellEnd"/>
      <w:r w:rsidRPr="00734D3B">
        <w:rPr>
          <w:b/>
          <w:bCs/>
          <w:lang w:val="en-US"/>
        </w:rPr>
        <w:t xml:space="preserve"> / Outputs</w:t>
      </w:r>
    </w:p>
    <w:p w14:paraId="2C82443D" w14:textId="77777777" w:rsidR="00135F3F" w:rsidRPr="00734D3B" w:rsidRDefault="00135F3F" w:rsidP="006848CE">
      <w:pPr>
        <w:pStyle w:val="ListParagraph"/>
        <w:numPr>
          <w:ilvl w:val="0"/>
          <w:numId w:val="75"/>
        </w:numPr>
      </w:pPr>
      <w:r w:rsidRPr="00734D3B">
        <w:t>Medición objetiva y trazable del desempeño ambiental del proyecto.</w:t>
      </w:r>
    </w:p>
    <w:p w14:paraId="1C80A33E" w14:textId="77777777" w:rsidR="00135F3F" w:rsidRPr="00734D3B" w:rsidRDefault="00135F3F" w:rsidP="006848CE">
      <w:pPr>
        <w:pStyle w:val="ListParagraph"/>
        <w:numPr>
          <w:ilvl w:val="0"/>
          <w:numId w:val="75"/>
        </w:numPr>
        <w:rPr>
          <w:lang w:val="en-US"/>
        </w:rPr>
      </w:pPr>
      <w:r w:rsidRPr="00734D3B">
        <w:rPr>
          <w:lang w:val="en-US"/>
        </w:rPr>
        <w:t>Objective and traceable measurement of project environmental performance.</w:t>
      </w:r>
    </w:p>
    <w:p w14:paraId="0E033527" w14:textId="77777777" w:rsidR="00135F3F" w:rsidRPr="00734D3B" w:rsidRDefault="00135F3F" w:rsidP="006848CE">
      <w:pPr>
        <w:pStyle w:val="ListParagraph"/>
        <w:numPr>
          <w:ilvl w:val="0"/>
          <w:numId w:val="75"/>
        </w:numPr>
      </w:pPr>
      <w:r w:rsidRPr="00734D3B">
        <w:t>Identificación y cierre efectivo de desviaciones y no conformidades ambientales.</w:t>
      </w:r>
    </w:p>
    <w:p w14:paraId="2C1AD26A" w14:textId="77777777" w:rsidR="00135F3F" w:rsidRPr="00734D3B" w:rsidRDefault="00135F3F" w:rsidP="006848CE">
      <w:pPr>
        <w:pStyle w:val="ListParagraph"/>
        <w:numPr>
          <w:ilvl w:val="0"/>
          <w:numId w:val="75"/>
        </w:numPr>
        <w:rPr>
          <w:lang w:val="en-US"/>
        </w:rPr>
      </w:pPr>
      <w:r w:rsidRPr="00734D3B">
        <w:rPr>
          <w:lang w:val="en-US"/>
        </w:rPr>
        <w:t>Identification and effective closure of environmental deviations and non-conformances.</w:t>
      </w:r>
    </w:p>
    <w:p w14:paraId="533DE501" w14:textId="1D4DF9C5" w:rsidR="00135F3F" w:rsidRPr="00734D3B" w:rsidRDefault="00135F3F" w:rsidP="006848CE">
      <w:pPr>
        <w:pStyle w:val="ListParagraph"/>
        <w:numPr>
          <w:ilvl w:val="0"/>
          <w:numId w:val="75"/>
        </w:numPr>
      </w:pPr>
      <w:r w:rsidRPr="00734D3B">
        <w:t>Soporte técnico para la toma de decisiones.</w:t>
      </w:r>
    </w:p>
    <w:p w14:paraId="08874271" w14:textId="77777777" w:rsidR="00135F3F" w:rsidRPr="00734D3B" w:rsidRDefault="00135F3F" w:rsidP="006848CE">
      <w:pPr>
        <w:pStyle w:val="ListParagraph"/>
        <w:numPr>
          <w:ilvl w:val="0"/>
          <w:numId w:val="75"/>
        </w:numPr>
        <w:rPr>
          <w:lang w:val="en-US"/>
        </w:rPr>
      </w:pPr>
      <w:r w:rsidRPr="00734D3B">
        <w:rPr>
          <w:lang w:val="en-US"/>
        </w:rPr>
        <w:t>Technical support for decision-making.</w:t>
      </w:r>
    </w:p>
    <w:p w14:paraId="480C8BD1" w14:textId="77777777" w:rsidR="00135F3F" w:rsidRPr="00734D3B" w:rsidRDefault="00135F3F" w:rsidP="006848CE">
      <w:pPr>
        <w:pStyle w:val="ListParagraph"/>
        <w:numPr>
          <w:ilvl w:val="0"/>
          <w:numId w:val="75"/>
        </w:numPr>
      </w:pPr>
      <w:r w:rsidRPr="00734D3B">
        <w:t>Mejora progresiva del desempeño ambiental del proyecto.</w:t>
      </w:r>
    </w:p>
    <w:p w14:paraId="245CB58E" w14:textId="77777777" w:rsidR="00135F3F" w:rsidRPr="00734D3B" w:rsidRDefault="00135F3F" w:rsidP="006848CE">
      <w:pPr>
        <w:pStyle w:val="ListParagraph"/>
        <w:numPr>
          <w:ilvl w:val="0"/>
          <w:numId w:val="75"/>
        </w:numPr>
        <w:rPr>
          <w:lang w:val="en-US"/>
        </w:rPr>
      </w:pPr>
      <w:r w:rsidRPr="00734D3B">
        <w:rPr>
          <w:lang w:val="en-US"/>
        </w:rPr>
        <w:t>Progressive improvement of the project environmental performance.</w:t>
      </w:r>
    </w:p>
    <w:p w14:paraId="13ADE041" w14:textId="77777777" w:rsidR="00135F3F" w:rsidRPr="00734D3B" w:rsidRDefault="00135F3F" w:rsidP="006848CE">
      <w:pPr>
        <w:pStyle w:val="ListParagraph"/>
        <w:numPr>
          <w:ilvl w:val="0"/>
          <w:numId w:val="75"/>
        </w:numPr>
      </w:pPr>
      <w:r w:rsidRPr="00734D3B">
        <w:t>Metodología estandarizada y replicable en otros proyectos de data centers.</w:t>
      </w:r>
    </w:p>
    <w:p w14:paraId="1080E506" w14:textId="77777777" w:rsidR="00135F3F" w:rsidRPr="00734D3B" w:rsidRDefault="00135F3F" w:rsidP="006848CE">
      <w:pPr>
        <w:pStyle w:val="ListParagraph"/>
        <w:numPr>
          <w:ilvl w:val="0"/>
          <w:numId w:val="75"/>
        </w:numPr>
        <w:rPr>
          <w:lang w:val="en-US"/>
        </w:rPr>
      </w:pPr>
      <w:r w:rsidRPr="00734D3B">
        <w:rPr>
          <w:lang w:val="en-US"/>
        </w:rPr>
        <w:t>Standardized and replicable methodology for other data center projects.</w:t>
      </w:r>
    </w:p>
    <w:p w14:paraId="6B47383A" w14:textId="296BE280" w:rsidR="005D5CB7" w:rsidRPr="00734D3B" w:rsidRDefault="00DC57C6" w:rsidP="00DC57C6">
      <w:pPr>
        <w:ind w:left="360" w:firstLine="0"/>
        <w:rPr>
          <w:b/>
          <w:bCs/>
        </w:rPr>
      </w:pPr>
      <w:r w:rsidRPr="00734D3B">
        <w:rPr>
          <w:b/>
          <w:bCs/>
        </w:rPr>
        <w:t xml:space="preserve">4.3.10 </w:t>
      </w:r>
      <w:r w:rsidR="005D5CB7" w:rsidRPr="00734D3B">
        <w:rPr>
          <w:b/>
          <w:bCs/>
        </w:rPr>
        <w:t>Guía para la aplicación de la matriz RACI en la gestión ambiental del proyecto eléctrico</w:t>
      </w:r>
    </w:p>
    <w:p w14:paraId="5B93C8BA" w14:textId="75A747F5" w:rsidR="00F56477" w:rsidRPr="00734D3B" w:rsidRDefault="005D5CB7" w:rsidP="00506BEB">
      <w:pPr>
        <w:pStyle w:val="ListParagraph"/>
        <w:ind w:left="360" w:firstLine="0"/>
        <w:rPr>
          <w:b/>
          <w:szCs w:val="18"/>
          <w:lang w:val="en-US"/>
        </w:rPr>
      </w:pPr>
      <w:r w:rsidRPr="00734D3B">
        <w:rPr>
          <w:b/>
          <w:bCs/>
        </w:rPr>
        <w:t>Objetivo / Purpose:</w:t>
      </w:r>
      <w:r w:rsidRPr="00734D3B">
        <w:br/>
        <w:t>Definir y clarificar roles y responsabilidades para asegurar una gestión sostenible, trazable y sin duplicidades en proyectos eléctricos de centros de datos.</w:t>
      </w:r>
      <w:r w:rsidRPr="00734D3B">
        <w:br/>
      </w:r>
      <w:r w:rsidRPr="00734D3B">
        <w:rPr>
          <w:lang w:val="en-US"/>
        </w:rPr>
        <w:t>Define and clarify roles and responsibilities to ensure sustainable, traceable, and conflict-free management in data center electrical projects.</w:t>
      </w:r>
    </w:p>
    <w:p w14:paraId="5858973C" w14:textId="77777777" w:rsidR="00185DB0" w:rsidRDefault="00185DB0">
      <w:pPr>
        <w:spacing w:line="240" w:lineRule="auto"/>
        <w:ind w:firstLine="0"/>
        <w:rPr>
          <w:b/>
          <w:szCs w:val="18"/>
          <w:lang w:val="en-US"/>
        </w:rPr>
      </w:pPr>
      <w:bookmarkStart w:id="360" w:name="_Toc228342097"/>
      <w:r>
        <w:rPr>
          <w:lang w:val="en-US"/>
        </w:rPr>
        <w:br w:type="page"/>
      </w:r>
    </w:p>
    <w:p w14:paraId="1D83AED7" w14:textId="77777777" w:rsidR="00185DB0" w:rsidRDefault="00BC53E0" w:rsidP="00BC53E0">
      <w:pPr>
        <w:pStyle w:val="Caption"/>
        <w:rPr>
          <w:color w:val="auto"/>
          <w:lang w:val="en-US"/>
        </w:rPr>
      </w:pPr>
      <w:proofErr w:type="spellStart"/>
      <w:r w:rsidRPr="00734D3B">
        <w:rPr>
          <w:color w:val="auto"/>
          <w:lang w:val="en-US"/>
        </w:rPr>
        <w:lastRenderedPageBreak/>
        <w:t>Tabla</w:t>
      </w:r>
      <w:proofErr w:type="spellEnd"/>
      <w:r w:rsidRPr="00734D3B">
        <w:rPr>
          <w:color w:val="auto"/>
          <w:lang w:val="en-US"/>
        </w:rPr>
        <w:t xml:space="preserve"> </w:t>
      </w:r>
      <w:r w:rsidRPr="00734D3B">
        <w:rPr>
          <w:color w:val="auto"/>
        </w:rPr>
        <w:fldChar w:fldCharType="begin"/>
      </w:r>
      <w:r w:rsidRPr="00734D3B">
        <w:rPr>
          <w:color w:val="auto"/>
          <w:lang w:val="en-US"/>
        </w:rPr>
        <w:instrText xml:space="preserve"> SEQ Tabla \* ARABIC </w:instrText>
      </w:r>
      <w:r w:rsidRPr="00734D3B">
        <w:rPr>
          <w:color w:val="auto"/>
        </w:rPr>
        <w:fldChar w:fldCharType="separate"/>
      </w:r>
      <w:r w:rsidR="007E63F5" w:rsidRPr="00734D3B">
        <w:rPr>
          <w:noProof/>
          <w:color w:val="auto"/>
          <w:lang w:val="en-US"/>
        </w:rPr>
        <w:t>17</w:t>
      </w:r>
      <w:r w:rsidRPr="00734D3B">
        <w:rPr>
          <w:color w:val="auto"/>
        </w:rPr>
        <w:fldChar w:fldCharType="end"/>
      </w:r>
      <w:r w:rsidRPr="00734D3B">
        <w:rPr>
          <w:color w:val="auto"/>
          <w:lang w:val="en-US"/>
        </w:rPr>
        <w:t xml:space="preserve">. </w:t>
      </w:r>
    </w:p>
    <w:p w14:paraId="4315B03E" w14:textId="59AEAF30" w:rsidR="00BC53E0" w:rsidRPr="00BE0964" w:rsidRDefault="00BC53E0" w:rsidP="00BC53E0">
      <w:pPr>
        <w:pStyle w:val="Caption"/>
        <w:rPr>
          <w:color w:val="auto"/>
          <w:lang w:val="en-US"/>
        </w:rPr>
      </w:pPr>
      <w:r w:rsidRPr="00734D3B">
        <w:rPr>
          <w:b w:val="0"/>
          <w:bCs/>
          <w:i/>
          <w:iCs/>
          <w:color w:val="auto"/>
          <w:lang w:val="en-US"/>
        </w:rPr>
        <w:t>RACI Matrix – Sustainable Electrical Project Management</w:t>
      </w:r>
      <w:bookmarkEnd w:id="360"/>
    </w:p>
    <w:tbl>
      <w:tblPr>
        <w:tblStyle w:val="GridTable1Light"/>
        <w:tblW w:w="0" w:type="auto"/>
        <w:tblLook w:val="04A0" w:firstRow="1" w:lastRow="0" w:firstColumn="1" w:lastColumn="0" w:noHBand="0" w:noVBand="1"/>
      </w:tblPr>
      <w:tblGrid>
        <w:gridCol w:w="1745"/>
        <w:gridCol w:w="1395"/>
        <w:gridCol w:w="1830"/>
        <w:gridCol w:w="1586"/>
        <w:gridCol w:w="1406"/>
        <w:gridCol w:w="1390"/>
      </w:tblGrid>
      <w:tr w:rsidR="00734D3B" w:rsidRPr="00734D3B" w14:paraId="53EAB577" w14:textId="77777777" w:rsidTr="00E03D2C">
        <w:trPr>
          <w:cnfStyle w:val="100000000000" w:firstRow="1" w:lastRow="0" w:firstColumn="0" w:lastColumn="0" w:oddVBand="0" w:evenVBand="0" w:oddHBand="0"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1745" w:type="dxa"/>
          </w:tcPr>
          <w:p w14:paraId="50655DF8" w14:textId="77777777" w:rsidR="005D5CB7" w:rsidRPr="00734D3B" w:rsidRDefault="005D5CB7" w:rsidP="00186454">
            <w:pPr>
              <w:ind w:firstLine="0"/>
              <w:jc w:val="center"/>
            </w:pPr>
            <w:r w:rsidRPr="00734D3B">
              <w:t xml:space="preserve">Actividad / </w:t>
            </w:r>
            <w:proofErr w:type="spellStart"/>
            <w:r w:rsidRPr="00734D3B">
              <w:t>Activity</w:t>
            </w:r>
            <w:proofErr w:type="spellEnd"/>
          </w:p>
        </w:tc>
        <w:tc>
          <w:tcPr>
            <w:tcW w:w="1395" w:type="dxa"/>
          </w:tcPr>
          <w:p w14:paraId="5BD2C4C4" w14:textId="77777777" w:rsidR="005D5CB7" w:rsidRPr="00734D3B" w:rsidRDefault="005D5CB7" w:rsidP="00186454">
            <w:pPr>
              <w:ind w:firstLine="0"/>
              <w:jc w:val="center"/>
              <w:cnfStyle w:val="100000000000" w:firstRow="1" w:lastRow="0" w:firstColumn="0" w:lastColumn="0" w:oddVBand="0" w:evenVBand="0" w:oddHBand="0" w:evenHBand="0" w:firstRowFirstColumn="0" w:firstRowLastColumn="0" w:lastRowFirstColumn="0" w:lastRowLastColumn="0"/>
            </w:pPr>
            <w:r w:rsidRPr="00734D3B">
              <w:t>Project Manager</w:t>
            </w:r>
          </w:p>
        </w:tc>
        <w:tc>
          <w:tcPr>
            <w:tcW w:w="1830" w:type="dxa"/>
          </w:tcPr>
          <w:p w14:paraId="3FD36C98" w14:textId="77777777" w:rsidR="005D5CB7" w:rsidRPr="00734D3B" w:rsidRDefault="005D5CB7" w:rsidP="00186454">
            <w:pPr>
              <w:ind w:firstLine="0"/>
              <w:jc w:val="center"/>
              <w:cnfStyle w:val="100000000000" w:firstRow="1" w:lastRow="0" w:firstColumn="0" w:lastColumn="0" w:oddVBand="0" w:evenVBand="0" w:oddHBand="0" w:evenHBand="0" w:firstRowFirstColumn="0" w:firstRowLastColumn="0" w:lastRowFirstColumn="0" w:lastRowLastColumn="0"/>
            </w:pPr>
            <w:proofErr w:type="spellStart"/>
            <w:r w:rsidRPr="00734D3B">
              <w:t>Superintendent</w:t>
            </w:r>
            <w:proofErr w:type="spellEnd"/>
          </w:p>
        </w:tc>
        <w:tc>
          <w:tcPr>
            <w:tcW w:w="1586" w:type="dxa"/>
          </w:tcPr>
          <w:p w14:paraId="2CF9D172" w14:textId="1AD65549" w:rsidR="005D5CB7" w:rsidRPr="00734D3B" w:rsidRDefault="005D5CB7" w:rsidP="00186454">
            <w:pPr>
              <w:ind w:firstLine="0"/>
              <w:jc w:val="center"/>
              <w:cnfStyle w:val="100000000000" w:firstRow="1" w:lastRow="0" w:firstColumn="0" w:lastColumn="0" w:oddVBand="0" w:evenVBand="0" w:oddHBand="0" w:evenHBand="0" w:firstRowFirstColumn="0" w:firstRowLastColumn="0" w:lastRowFirstColumn="0" w:lastRowLastColumn="0"/>
            </w:pPr>
            <w:r w:rsidRPr="00734D3B">
              <w:t>Responsable / HSE</w:t>
            </w:r>
          </w:p>
        </w:tc>
        <w:tc>
          <w:tcPr>
            <w:tcW w:w="1406" w:type="dxa"/>
          </w:tcPr>
          <w:p w14:paraId="06E4CE2C" w14:textId="2B9298C7" w:rsidR="005D5CB7" w:rsidRPr="00734D3B" w:rsidRDefault="005D5CB7" w:rsidP="00186454">
            <w:pPr>
              <w:ind w:firstLine="0"/>
              <w:jc w:val="center"/>
              <w:cnfStyle w:val="100000000000" w:firstRow="1" w:lastRow="0" w:firstColumn="0" w:lastColumn="0" w:oddVBand="0" w:evenVBand="0" w:oddHBand="0" w:evenHBand="0" w:firstRowFirstColumn="0" w:firstRowLastColumn="0" w:lastRowFirstColumn="0" w:lastRowLastColumn="0"/>
            </w:pPr>
            <w:r w:rsidRPr="00734D3B">
              <w:t>Foreman</w:t>
            </w:r>
          </w:p>
        </w:tc>
        <w:tc>
          <w:tcPr>
            <w:tcW w:w="1390" w:type="dxa"/>
          </w:tcPr>
          <w:p w14:paraId="12C6139A" w14:textId="77777777" w:rsidR="005D5CB7" w:rsidRPr="00734D3B" w:rsidRDefault="005D5CB7" w:rsidP="00186454">
            <w:pPr>
              <w:ind w:firstLine="0"/>
              <w:jc w:val="center"/>
              <w:cnfStyle w:val="100000000000" w:firstRow="1" w:lastRow="0" w:firstColumn="0" w:lastColumn="0" w:oddVBand="0" w:evenVBand="0" w:oddHBand="0" w:evenHBand="0" w:firstRowFirstColumn="0" w:firstRowLastColumn="0" w:lastRowFirstColumn="0" w:lastRowLastColumn="0"/>
            </w:pPr>
            <w:r w:rsidRPr="00734D3B">
              <w:t>GC / Cliente / Owner</w:t>
            </w:r>
          </w:p>
        </w:tc>
      </w:tr>
      <w:tr w:rsidR="00734D3B" w:rsidRPr="00734D3B" w14:paraId="40662668"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6E406ABF" w14:textId="77777777" w:rsidR="005D5CB7" w:rsidRPr="00734D3B" w:rsidRDefault="005D5CB7" w:rsidP="005D5CB7">
            <w:pPr>
              <w:ind w:firstLine="0"/>
            </w:pPr>
            <w:r w:rsidRPr="00734D3B">
              <w:t xml:space="preserve">Plan de gestión de residuos eléctricos / </w:t>
            </w:r>
            <w:proofErr w:type="spellStart"/>
            <w:r w:rsidRPr="00734D3B">
              <w:t>Electrical</w:t>
            </w:r>
            <w:proofErr w:type="spellEnd"/>
            <w:r w:rsidRPr="00734D3B">
              <w:t xml:space="preserve"> </w:t>
            </w:r>
            <w:proofErr w:type="spellStart"/>
            <w:r w:rsidRPr="00734D3B">
              <w:t>waste</w:t>
            </w:r>
            <w:proofErr w:type="spellEnd"/>
            <w:r w:rsidRPr="00734D3B">
              <w:t xml:space="preserve"> </w:t>
            </w:r>
            <w:proofErr w:type="spellStart"/>
            <w:r w:rsidRPr="00734D3B">
              <w:t>management</w:t>
            </w:r>
            <w:proofErr w:type="spellEnd"/>
            <w:r w:rsidRPr="00734D3B">
              <w:t xml:space="preserve"> plan</w:t>
            </w:r>
          </w:p>
        </w:tc>
        <w:tc>
          <w:tcPr>
            <w:tcW w:w="1395" w:type="dxa"/>
          </w:tcPr>
          <w:p w14:paraId="384C1D65"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A</w:t>
            </w:r>
          </w:p>
        </w:tc>
        <w:tc>
          <w:tcPr>
            <w:tcW w:w="1830" w:type="dxa"/>
          </w:tcPr>
          <w:p w14:paraId="5B1076D8"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586" w:type="dxa"/>
          </w:tcPr>
          <w:p w14:paraId="21AC1D6E"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406" w:type="dxa"/>
          </w:tcPr>
          <w:p w14:paraId="62F1BA15"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390" w:type="dxa"/>
          </w:tcPr>
          <w:p w14:paraId="6E7CAF83"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r>
      <w:tr w:rsidR="00734D3B" w:rsidRPr="00734D3B" w14:paraId="1ACBE924"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29DC3A53" w14:textId="77777777" w:rsidR="005D5CB7" w:rsidRPr="00734D3B" w:rsidRDefault="005D5CB7" w:rsidP="005D5CB7">
            <w:pPr>
              <w:ind w:firstLine="0"/>
            </w:pPr>
            <w:r w:rsidRPr="00734D3B">
              <w:t xml:space="preserve">Identificación de residuos eléctricos / </w:t>
            </w:r>
            <w:proofErr w:type="spellStart"/>
            <w:r w:rsidRPr="00734D3B">
              <w:t>Identification</w:t>
            </w:r>
            <w:proofErr w:type="spellEnd"/>
            <w:r w:rsidRPr="00734D3B">
              <w:t xml:space="preserve"> </w:t>
            </w:r>
            <w:proofErr w:type="spellStart"/>
            <w:r w:rsidRPr="00734D3B">
              <w:t>of</w:t>
            </w:r>
            <w:proofErr w:type="spellEnd"/>
            <w:r w:rsidRPr="00734D3B">
              <w:t xml:space="preserve"> </w:t>
            </w:r>
            <w:proofErr w:type="spellStart"/>
            <w:r w:rsidRPr="00734D3B">
              <w:t>electrical</w:t>
            </w:r>
            <w:proofErr w:type="spellEnd"/>
            <w:r w:rsidRPr="00734D3B">
              <w:t xml:space="preserve"> </w:t>
            </w:r>
            <w:proofErr w:type="spellStart"/>
            <w:r w:rsidRPr="00734D3B">
              <w:t>waste</w:t>
            </w:r>
            <w:proofErr w:type="spellEnd"/>
          </w:p>
        </w:tc>
        <w:tc>
          <w:tcPr>
            <w:tcW w:w="1395" w:type="dxa"/>
          </w:tcPr>
          <w:p w14:paraId="00B65421"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830" w:type="dxa"/>
          </w:tcPr>
          <w:p w14:paraId="6DC61E86"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586" w:type="dxa"/>
          </w:tcPr>
          <w:p w14:paraId="648DDEC8"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406" w:type="dxa"/>
          </w:tcPr>
          <w:p w14:paraId="31A89DD0"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390" w:type="dxa"/>
          </w:tcPr>
          <w:p w14:paraId="2CBAF168"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r>
      <w:tr w:rsidR="00734D3B" w:rsidRPr="00734D3B" w14:paraId="0A355772"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1BBBD310" w14:textId="77777777" w:rsidR="005D5CB7" w:rsidRPr="00734D3B" w:rsidRDefault="005D5CB7" w:rsidP="005D5CB7">
            <w:pPr>
              <w:ind w:firstLine="0"/>
            </w:pPr>
            <w:r w:rsidRPr="00734D3B">
              <w:t xml:space="preserve">Segregación en campo / </w:t>
            </w:r>
            <w:proofErr w:type="spellStart"/>
            <w:r w:rsidRPr="00734D3B">
              <w:t>On</w:t>
            </w:r>
            <w:proofErr w:type="spellEnd"/>
            <w:r w:rsidRPr="00734D3B">
              <w:t xml:space="preserve">-site </w:t>
            </w:r>
            <w:proofErr w:type="spellStart"/>
            <w:r w:rsidRPr="00734D3B">
              <w:t>segregation</w:t>
            </w:r>
            <w:proofErr w:type="spellEnd"/>
          </w:p>
        </w:tc>
        <w:tc>
          <w:tcPr>
            <w:tcW w:w="1395" w:type="dxa"/>
          </w:tcPr>
          <w:p w14:paraId="0F9CBD25"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830" w:type="dxa"/>
          </w:tcPr>
          <w:p w14:paraId="0B10EDFD"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586" w:type="dxa"/>
          </w:tcPr>
          <w:p w14:paraId="2386C992"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406" w:type="dxa"/>
          </w:tcPr>
          <w:p w14:paraId="04EFA488"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390" w:type="dxa"/>
          </w:tcPr>
          <w:p w14:paraId="7887BB9C"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r>
      <w:tr w:rsidR="00734D3B" w:rsidRPr="00734D3B" w14:paraId="1127F3E3"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3B6868FC" w14:textId="77777777" w:rsidR="005D5CB7" w:rsidRPr="00734D3B" w:rsidRDefault="005D5CB7" w:rsidP="005D5CB7">
            <w:pPr>
              <w:ind w:firstLine="0"/>
            </w:pPr>
            <w:r w:rsidRPr="00734D3B">
              <w:lastRenderedPageBreak/>
              <w:t xml:space="preserve">Cumplimiento EPA/ADEQ / EPA–ADEQ </w:t>
            </w:r>
            <w:proofErr w:type="spellStart"/>
            <w:r w:rsidRPr="00734D3B">
              <w:t>compliance</w:t>
            </w:r>
            <w:proofErr w:type="spellEnd"/>
          </w:p>
        </w:tc>
        <w:tc>
          <w:tcPr>
            <w:tcW w:w="1395" w:type="dxa"/>
          </w:tcPr>
          <w:p w14:paraId="2F906AB5"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A</w:t>
            </w:r>
          </w:p>
        </w:tc>
        <w:tc>
          <w:tcPr>
            <w:tcW w:w="1830" w:type="dxa"/>
          </w:tcPr>
          <w:p w14:paraId="525A6F74"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586" w:type="dxa"/>
          </w:tcPr>
          <w:p w14:paraId="72729CD7"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406" w:type="dxa"/>
          </w:tcPr>
          <w:p w14:paraId="31F7CCEE"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390" w:type="dxa"/>
          </w:tcPr>
          <w:p w14:paraId="0A7DA4CD"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r>
      <w:tr w:rsidR="00734D3B" w:rsidRPr="00734D3B" w14:paraId="49D868B8"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44C413C5" w14:textId="77777777" w:rsidR="005D5CB7" w:rsidRPr="00734D3B" w:rsidRDefault="005D5CB7" w:rsidP="005D5CB7">
            <w:pPr>
              <w:ind w:firstLine="0"/>
            </w:pPr>
            <w:r w:rsidRPr="00734D3B">
              <w:t xml:space="preserve">Coordinación con recicladores / </w:t>
            </w:r>
            <w:proofErr w:type="spellStart"/>
            <w:r w:rsidRPr="00734D3B">
              <w:t>Recycling</w:t>
            </w:r>
            <w:proofErr w:type="spellEnd"/>
            <w:r w:rsidRPr="00734D3B">
              <w:t xml:space="preserve"> </w:t>
            </w:r>
            <w:proofErr w:type="spellStart"/>
            <w:r w:rsidRPr="00734D3B">
              <w:t>coordination</w:t>
            </w:r>
            <w:proofErr w:type="spellEnd"/>
          </w:p>
        </w:tc>
        <w:tc>
          <w:tcPr>
            <w:tcW w:w="1395" w:type="dxa"/>
          </w:tcPr>
          <w:p w14:paraId="31375145"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c>
          <w:tcPr>
            <w:tcW w:w="1830" w:type="dxa"/>
          </w:tcPr>
          <w:p w14:paraId="3235A2B4"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586" w:type="dxa"/>
          </w:tcPr>
          <w:p w14:paraId="4EAF96AD"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406" w:type="dxa"/>
          </w:tcPr>
          <w:p w14:paraId="41344908"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390" w:type="dxa"/>
          </w:tcPr>
          <w:p w14:paraId="0DE29E1D"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r>
      <w:tr w:rsidR="00734D3B" w:rsidRPr="00734D3B" w14:paraId="54C8B230" w14:textId="77777777" w:rsidTr="00E03D2C">
        <w:tc>
          <w:tcPr>
            <w:cnfStyle w:val="001000000000" w:firstRow="0" w:lastRow="0" w:firstColumn="1" w:lastColumn="0" w:oddVBand="0" w:evenVBand="0" w:oddHBand="0" w:evenHBand="0" w:firstRowFirstColumn="0" w:firstRowLastColumn="0" w:lastRowFirstColumn="0" w:lastRowLastColumn="0"/>
            <w:tcW w:w="1745" w:type="dxa"/>
          </w:tcPr>
          <w:p w14:paraId="0E363ECD" w14:textId="77777777" w:rsidR="005D5CB7" w:rsidRPr="00734D3B" w:rsidRDefault="005D5CB7" w:rsidP="005D5CB7">
            <w:pPr>
              <w:ind w:firstLine="0"/>
            </w:pPr>
            <w:r w:rsidRPr="00734D3B">
              <w:t xml:space="preserve">Reporte ambiental del proyecto / </w:t>
            </w:r>
            <w:proofErr w:type="spellStart"/>
            <w:r w:rsidRPr="00734D3B">
              <w:t>Environmental</w:t>
            </w:r>
            <w:proofErr w:type="spellEnd"/>
            <w:r w:rsidRPr="00734D3B">
              <w:t xml:space="preserve"> </w:t>
            </w:r>
            <w:proofErr w:type="spellStart"/>
            <w:r w:rsidRPr="00734D3B">
              <w:t>reporting</w:t>
            </w:r>
            <w:proofErr w:type="spellEnd"/>
          </w:p>
        </w:tc>
        <w:tc>
          <w:tcPr>
            <w:tcW w:w="1395" w:type="dxa"/>
          </w:tcPr>
          <w:p w14:paraId="5213FDC9"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A</w:t>
            </w:r>
          </w:p>
        </w:tc>
        <w:tc>
          <w:tcPr>
            <w:tcW w:w="1830" w:type="dxa"/>
          </w:tcPr>
          <w:p w14:paraId="63FBF484"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586" w:type="dxa"/>
          </w:tcPr>
          <w:p w14:paraId="53E04664"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R</w:t>
            </w:r>
          </w:p>
        </w:tc>
        <w:tc>
          <w:tcPr>
            <w:tcW w:w="1406" w:type="dxa"/>
          </w:tcPr>
          <w:p w14:paraId="5DF94D62"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I</w:t>
            </w:r>
          </w:p>
        </w:tc>
        <w:tc>
          <w:tcPr>
            <w:tcW w:w="1390" w:type="dxa"/>
          </w:tcPr>
          <w:p w14:paraId="401A8763" w14:textId="77777777" w:rsidR="005D5CB7" w:rsidRPr="00734D3B" w:rsidRDefault="005D5CB7" w:rsidP="00E03D2C">
            <w:pPr>
              <w:cnfStyle w:val="000000000000" w:firstRow="0" w:lastRow="0" w:firstColumn="0" w:lastColumn="0" w:oddVBand="0" w:evenVBand="0" w:oddHBand="0" w:evenHBand="0" w:firstRowFirstColumn="0" w:firstRowLastColumn="0" w:lastRowFirstColumn="0" w:lastRowLastColumn="0"/>
            </w:pPr>
            <w:r w:rsidRPr="00734D3B">
              <w:t>C</w:t>
            </w:r>
          </w:p>
        </w:tc>
      </w:tr>
    </w:tbl>
    <w:p w14:paraId="34513F40" w14:textId="39BD6629" w:rsidR="008A55F5" w:rsidRPr="00734D3B" w:rsidRDefault="008A55F5" w:rsidP="008A55F5">
      <w:pPr>
        <w:rPr>
          <w:rFonts w:cs="Arial"/>
          <w:szCs w:val="22"/>
        </w:rPr>
      </w:pPr>
      <w:r w:rsidRPr="00734D3B">
        <w:rPr>
          <w:rFonts w:cs="Arial"/>
          <w:i/>
          <w:iCs/>
          <w:szCs w:val="22"/>
        </w:rPr>
        <w:t>Nota</w:t>
      </w:r>
      <w:r w:rsidRPr="00734D3B">
        <w:rPr>
          <w:rFonts w:cs="Arial"/>
          <w:szCs w:val="22"/>
        </w:rPr>
        <w:t>. La Tabla 1</w:t>
      </w:r>
      <w:r w:rsidR="007E63F5" w:rsidRPr="00734D3B">
        <w:rPr>
          <w:rFonts w:cs="Arial"/>
          <w:szCs w:val="22"/>
        </w:rPr>
        <w:t>7</w:t>
      </w:r>
      <w:r w:rsidRPr="00734D3B">
        <w:rPr>
          <w:rFonts w:cs="Arial"/>
          <w:szCs w:val="22"/>
        </w:rPr>
        <w:t xml:space="preserve"> muestra la </w:t>
      </w:r>
      <w:r w:rsidR="00506F33" w:rsidRPr="00734D3B">
        <w:rPr>
          <w:rFonts w:cs="Arial"/>
          <w:szCs w:val="22"/>
        </w:rPr>
        <w:t>matriz</w:t>
      </w:r>
      <w:r w:rsidRPr="00734D3B">
        <w:rPr>
          <w:rFonts w:cs="Arial"/>
          <w:szCs w:val="22"/>
        </w:rPr>
        <w:t xml:space="preserve"> RACI. Autoría propia.</w:t>
      </w:r>
    </w:p>
    <w:p w14:paraId="3268B162" w14:textId="77777777" w:rsidR="005D5CB7" w:rsidRPr="00734D3B" w:rsidRDefault="005D5CB7" w:rsidP="005D5CB7">
      <w:pPr>
        <w:ind w:firstLine="0"/>
      </w:pPr>
      <w:r w:rsidRPr="00734D3B">
        <w:br/>
        <w:t xml:space="preserve">R = </w:t>
      </w:r>
      <w:proofErr w:type="spellStart"/>
      <w:r w:rsidRPr="00734D3B">
        <w:t>Responsible</w:t>
      </w:r>
      <w:proofErr w:type="spellEnd"/>
      <w:r w:rsidRPr="00734D3B">
        <w:t xml:space="preserve"> | A = </w:t>
      </w:r>
      <w:proofErr w:type="spellStart"/>
      <w:r w:rsidRPr="00734D3B">
        <w:t>Accountable</w:t>
      </w:r>
      <w:proofErr w:type="spellEnd"/>
      <w:r w:rsidRPr="00734D3B">
        <w:t xml:space="preserve"> | C = </w:t>
      </w:r>
      <w:proofErr w:type="spellStart"/>
      <w:r w:rsidRPr="00734D3B">
        <w:t>Consulted</w:t>
      </w:r>
      <w:proofErr w:type="spellEnd"/>
      <w:r w:rsidRPr="00734D3B">
        <w:t xml:space="preserve"> | I = </w:t>
      </w:r>
      <w:proofErr w:type="spellStart"/>
      <w:r w:rsidRPr="00734D3B">
        <w:t>Informed</w:t>
      </w:r>
      <w:proofErr w:type="spellEnd"/>
    </w:p>
    <w:p w14:paraId="7569BD30" w14:textId="77777777" w:rsidR="005D5CB7" w:rsidRPr="00734D3B" w:rsidRDefault="005D5CB7" w:rsidP="00AA50FA">
      <w:pPr>
        <w:ind w:firstLine="0"/>
      </w:pPr>
      <w:r w:rsidRPr="00734D3B">
        <w:t xml:space="preserve">R = responsable </w:t>
      </w:r>
      <w:r w:rsidRPr="00734D3B">
        <w:rPr>
          <w:i/>
          <w:iCs/>
        </w:rPr>
        <w:t xml:space="preserve">|A = </w:t>
      </w:r>
      <w:proofErr w:type="gramStart"/>
      <w:r w:rsidRPr="00734D3B">
        <w:rPr>
          <w:i/>
          <w:iCs/>
        </w:rPr>
        <w:t>Responsable</w:t>
      </w:r>
      <w:proofErr w:type="gramEnd"/>
      <w:r w:rsidRPr="00734D3B">
        <w:rPr>
          <w:i/>
          <w:iCs/>
        </w:rPr>
        <w:t xml:space="preserve"> final </w:t>
      </w:r>
      <w:r w:rsidRPr="00734D3B">
        <w:t xml:space="preserve">|C = </w:t>
      </w:r>
      <w:proofErr w:type="spellStart"/>
      <w:r w:rsidRPr="00734D3B">
        <w:t>Consultado|I</w:t>
      </w:r>
      <w:proofErr w:type="spellEnd"/>
      <w:r w:rsidRPr="00734D3B">
        <w:t xml:space="preserve"> = Informado</w:t>
      </w:r>
    </w:p>
    <w:p w14:paraId="7B591C0D" w14:textId="444D01DA" w:rsidR="00112F40" w:rsidRPr="00734D3B" w:rsidRDefault="00112F40" w:rsidP="00112F40">
      <w:pPr>
        <w:rPr>
          <w:rStyle w:val="normaltextrun"/>
        </w:rPr>
      </w:pPr>
      <w:bookmarkStart w:id="361" w:name="_Toc305353881"/>
      <w:bookmarkEnd w:id="266"/>
      <w:r w:rsidRPr="00734D3B">
        <w:rPr>
          <w:rStyle w:val="normaltextrun"/>
          <w:rFonts w:cs="Arial"/>
          <w:szCs w:val="22"/>
        </w:rPr>
        <w:t>4.3.</w:t>
      </w:r>
      <w:r w:rsidR="00027D20" w:rsidRPr="00734D3B">
        <w:rPr>
          <w:rStyle w:val="normaltextrun"/>
          <w:rFonts w:cs="Arial"/>
          <w:szCs w:val="22"/>
        </w:rPr>
        <w:t>11</w:t>
      </w:r>
      <w:r w:rsidRPr="00734D3B">
        <w:rPr>
          <w:rStyle w:val="normaltextrun"/>
          <w:rFonts w:cs="Arial"/>
          <w:szCs w:val="22"/>
        </w:rPr>
        <w:t xml:space="preserve"> Integración con la gestión ambiental del proyecto.</w:t>
      </w:r>
      <w:r w:rsidRPr="00734D3B">
        <w:rPr>
          <w:rStyle w:val="normaltextrun"/>
        </w:rPr>
        <w:t> </w:t>
      </w:r>
    </w:p>
    <w:p w14:paraId="249629A4" w14:textId="77777777" w:rsidR="00112F40" w:rsidRPr="00734D3B" w:rsidRDefault="00112F40" w:rsidP="00112F40">
      <w:pPr>
        <w:pStyle w:val="paragraph"/>
        <w:spacing w:before="0" w:beforeAutospacing="0" w:after="0" w:afterAutospacing="0" w:line="480" w:lineRule="auto"/>
        <w:ind w:firstLine="284"/>
        <w:textAlignment w:val="baseline"/>
        <w:rPr>
          <w:rFonts w:ascii="Arial" w:hAnsi="Arial" w:cs="Arial"/>
          <w:sz w:val="22"/>
          <w:szCs w:val="22"/>
          <w:lang w:val="es-CR"/>
        </w:rPr>
      </w:pPr>
      <w:r w:rsidRPr="00734D3B">
        <w:rPr>
          <w:rStyle w:val="normaltextrun"/>
          <w:rFonts w:ascii="Arial" w:hAnsi="Arial" w:cs="Arial"/>
          <w:sz w:val="22"/>
          <w:szCs w:val="22"/>
          <w:lang w:val="es-CR"/>
        </w:rPr>
        <w:t>El manual debe integrarse al Sistema de Gestión Ambiental del proyecto bajo enfoque de mejora continua, asegurando cumplimiento normativo y reducción de impactos ambientales asociados a la obra.</w:t>
      </w:r>
      <w:r w:rsidRPr="00734D3B">
        <w:rPr>
          <w:rStyle w:val="eop"/>
          <w:rFonts w:ascii="Arial" w:hAnsi="Arial" w:cs="Arial"/>
          <w:sz w:val="22"/>
          <w:szCs w:val="22"/>
          <w:lang w:val="es-CR"/>
        </w:rPr>
        <w:t> </w:t>
      </w:r>
    </w:p>
    <w:p w14:paraId="2FC8496D" w14:textId="77777777" w:rsidR="00112F40" w:rsidRPr="00734D3B" w:rsidRDefault="00112F40" w:rsidP="00112F40">
      <w:pPr>
        <w:pStyle w:val="paragraph"/>
        <w:spacing w:before="0" w:beforeAutospacing="0" w:after="0" w:afterAutospacing="0" w:line="480" w:lineRule="auto"/>
        <w:textAlignment w:val="baseline"/>
        <w:rPr>
          <w:rFonts w:ascii="Arial" w:hAnsi="Arial" w:cs="Arial"/>
          <w:sz w:val="22"/>
          <w:szCs w:val="22"/>
          <w:lang w:val="es-CR"/>
        </w:rPr>
      </w:pPr>
      <w:r w:rsidRPr="00734D3B">
        <w:rPr>
          <w:rStyle w:val="eop"/>
          <w:rFonts w:ascii="Arial" w:hAnsi="Arial" w:cs="Arial"/>
          <w:sz w:val="22"/>
          <w:szCs w:val="22"/>
          <w:lang w:val="es-CR"/>
        </w:rPr>
        <w:t> </w:t>
      </w:r>
      <w:r w:rsidRPr="00734D3B">
        <w:rPr>
          <w:rFonts w:ascii="Arial" w:hAnsi="Arial" w:cs="Arial"/>
          <w:sz w:val="22"/>
          <w:szCs w:val="22"/>
          <w:lang w:val="es-CR"/>
        </w:rPr>
        <w:tab/>
      </w:r>
      <w:r w:rsidRPr="00734D3B">
        <w:rPr>
          <w:rStyle w:val="normaltextrun"/>
          <w:rFonts w:ascii="Arial" w:hAnsi="Arial" w:cs="Arial"/>
          <w:sz w:val="22"/>
          <w:szCs w:val="22"/>
          <w:lang w:val="es-CR"/>
        </w:rPr>
        <w:t>La gestión adecuada de residuos electrónicos reduce riesgos sanitarios y ambientales, promueve recuperación de recursos y fortalece la sostenibilidad del sector tecnológico (Ministerio de Salud, 2025).</w:t>
      </w:r>
      <w:r w:rsidRPr="00734D3B">
        <w:rPr>
          <w:rStyle w:val="eop"/>
          <w:rFonts w:ascii="Arial" w:hAnsi="Arial" w:cs="Arial"/>
          <w:sz w:val="22"/>
          <w:szCs w:val="22"/>
          <w:lang w:val="es-CR"/>
        </w:rPr>
        <w:t>  </w:t>
      </w:r>
    </w:p>
    <w:p w14:paraId="31B5B410" w14:textId="77777777" w:rsidR="00112F40" w:rsidRPr="00734D3B" w:rsidRDefault="00112F40" w:rsidP="00112F40">
      <w:pPr>
        <w:pStyle w:val="paragraph"/>
        <w:spacing w:before="0" w:beforeAutospacing="0" w:after="0" w:afterAutospacing="0" w:line="480" w:lineRule="auto"/>
        <w:ind w:firstLine="705"/>
        <w:textAlignment w:val="baseline"/>
        <w:rPr>
          <w:rFonts w:ascii="Arial" w:hAnsi="Arial" w:cs="Arial"/>
          <w:sz w:val="22"/>
          <w:szCs w:val="22"/>
          <w:lang w:val="es-CR"/>
        </w:rPr>
      </w:pPr>
      <w:r w:rsidRPr="00734D3B">
        <w:rPr>
          <w:rStyle w:val="normaltextrun"/>
          <w:rFonts w:ascii="Arial" w:hAnsi="Arial" w:cs="Arial"/>
          <w:sz w:val="22"/>
          <w:szCs w:val="22"/>
          <w:lang w:val="es-CR"/>
        </w:rPr>
        <w:lastRenderedPageBreak/>
        <w:t>El diseño del Manual de Lineamientos y Procedimientos Operativos Estandarizados (en proceso de elaboración) permite operacionalizar la gestión sostenible de residuos eléctricos en la construcción de data centers, estableciendo políticas ambientales, jerarquía de manejo, trazabilidad y responsabilidades.</w:t>
      </w:r>
      <w:r w:rsidRPr="00734D3B">
        <w:rPr>
          <w:rStyle w:val="eop"/>
          <w:rFonts w:ascii="Arial" w:hAnsi="Arial" w:cs="Arial"/>
          <w:sz w:val="22"/>
          <w:szCs w:val="22"/>
          <w:lang w:val="es-CR"/>
        </w:rPr>
        <w:t> </w:t>
      </w:r>
    </w:p>
    <w:p w14:paraId="22C99F02" w14:textId="77777777" w:rsidR="00112F40" w:rsidRPr="00734D3B" w:rsidRDefault="00112F40" w:rsidP="00112F40">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 </w:t>
      </w:r>
      <w:r w:rsidRPr="00734D3B">
        <w:rPr>
          <w:rStyle w:val="normaltextrun"/>
          <w:rFonts w:ascii="Arial" w:hAnsi="Arial" w:cs="Arial"/>
          <w:sz w:val="22"/>
          <w:szCs w:val="22"/>
          <w:lang w:val="es-CR"/>
        </w:rPr>
        <w:t>Con ellos, el proyecto no sólo cumple normativa ambiental, sino que incorpora principios de economía circular, reducción de impactos ecológicos y optimización de recursos, aspectos indispensables en infraestructuras tecnológicas modernas.</w:t>
      </w:r>
      <w:r w:rsidRPr="00734D3B">
        <w:rPr>
          <w:rStyle w:val="eop"/>
          <w:rFonts w:ascii="Arial" w:hAnsi="Arial" w:cs="Arial"/>
          <w:sz w:val="22"/>
          <w:szCs w:val="22"/>
          <w:lang w:val="es-CR"/>
        </w:rPr>
        <w:t> </w:t>
      </w:r>
    </w:p>
    <w:p w14:paraId="434D8641" w14:textId="3AD369BA" w:rsidR="00392A25" w:rsidRPr="00734D3B" w:rsidRDefault="000D3096" w:rsidP="00112F40">
      <w:pPr>
        <w:pStyle w:val="paragraph"/>
        <w:spacing w:before="0" w:beforeAutospacing="0" w:after="0" w:afterAutospacing="0" w:line="480" w:lineRule="auto"/>
        <w:ind w:firstLine="705"/>
        <w:textAlignment w:val="baseline"/>
        <w:rPr>
          <w:rStyle w:val="eop"/>
          <w:rFonts w:ascii="Arial" w:hAnsi="Arial" w:cs="Arial"/>
          <w:sz w:val="22"/>
          <w:szCs w:val="22"/>
          <w:lang w:val="es-CR"/>
        </w:rPr>
      </w:pPr>
      <w:r w:rsidRPr="00734D3B">
        <w:rPr>
          <w:rStyle w:val="eop"/>
          <w:rFonts w:ascii="Arial" w:hAnsi="Arial" w:cs="Arial"/>
          <w:sz w:val="22"/>
          <w:szCs w:val="22"/>
          <w:lang w:val="es-CR"/>
        </w:rPr>
        <w:t>Si bien el diagnóstico se realizó en proyectos eléctricos de centros de datos en Arizona, la guía metodológica propuesta se diseña con base en marcos normativos y buenas prácticas internacionales y regionales, lo que permite su adaptación y aplicación en distintos contextos geográfico</w:t>
      </w:r>
      <w:r w:rsidR="00323C5D" w:rsidRPr="00734D3B">
        <w:rPr>
          <w:rStyle w:val="eop"/>
          <w:rFonts w:ascii="Arial" w:hAnsi="Arial" w:cs="Arial"/>
          <w:sz w:val="22"/>
          <w:szCs w:val="22"/>
          <w:lang w:val="es-CR"/>
        </w:rPr>
        <w:t>s, reforzando su carácter replicable.</w:t>
      </w:r>
    </w:p>
    <w:p w14:paraId="2B83B0C6" w14:textId="77777777" w:rsidR="00112F40" w:rsidRPr="00734D3B" w:rsidRDefault="00112F40" w:rsidP="00112F40">
      <w:pPr>
        <w:spacing w:line="240" w:lineRule="auto"/>
        <w:ind w:firstLine="0"/>
        <w:rPr>
          <w:rFonts w:cs="Arial"/>
          <w:b/>
          <w:bCs/>
          <w:szCs w:val="22"/>
        </w:rPr>
      </w:pPr>
    </w:p>
    <w:p w14:paraId="7A8A4B53" w14:textId="103B6542" w:rsidR="00B9513C" w:rsidRPr="00734D3B" w:rsidRDefault="00915D18" w:rsidP="005E549C">
      <w:pPr>
        <w:pStyle w:val="Heading2"/>
        <w:numPr>
          <w:ilvl w:val="1"/>
          <w:numId w:val="61"/>
        </w:numPr>
      </w:pPr>
      <w:bookmarkStart w:id="362" w:name="_Toc227936433"/>
      <w:r w:rsidRPr="00734D3B">
        <w:t>Diseño de una guía metodológica para la gestión sostenible en proyectos eléctricos de centros de datos</w:t>
      </w:r>
      <w:bookmarkEnd w:id="362"/>
    </w:p>
    <w:p w14:paraId="484089D5" w14:textId="5A59D8E0" w:rsidR="00B9513C" w:rsidRPr="00734D3B" w:rsidRDefault="0075688A" w:rsidP="00DA25B7">
      <w:pPr>
        <w:pStyle w:val="paragraph"/>
        <w:spacing w:before="0" w:beforeAutospacing="0" w:after="0" w:afterAutospacing="0" w:line="480" w:lineRule="auto"/>
        <w:ind w:firstLine="705"/>
        <w:textAlignment w:val="baseline"/>
        <w:rPr>
          <w:rFonts w:ascii="Arial" w:hAnsi="Arial" w:cs="Arial"/>
          <w:sz w:val="22"/>
          <w:szCs w:val="22"/>
          <w:lang w:val="es-CR"/>
        </w:rPr>
      </w:pPr>
      <w:r w:rsidRPr="00734D3B">
        <w:rPr>
          <w:rFonts w:ascii="Arial" w:hAnsi="Arial" w:cs="Arial"/>
          <w:sz w:val="22"/>
          <w:szCs w:val="22"/>
          <w:lang w:val="es-CR"/>
        </w:rPr>
        <w:t>El sistema de indicadores de desempeño ambiental (KPI) permite evaluar el nivel de sostenibilidad alcanzado por los contratistas eléctricos durante la planificación, ejecución y cierre de proyectos eléctricos en centros de datos</w:t>
      </w:r>
      <w:r w:rsidR="00175CAF" w:rsidRPr="00734D3B">
        <w:rPr>
          <w:rFonts w:ascii="Arial" w:hAnsi="Arial" w:cs="Arial"/>
          <w:sz w:val="22"/>
          <w:szCs w:val="22"/>
          <w:lang w:val="es-CR"/>
        </w:rPr>
        <w:t xml:space="preserve">. </w:t>
      </w:r>
      <w:r w:rsidRPr="00734D3B">
        <w:rPr>
          <w:rFonts w:ascii="Arial" w:hAnsi="Arial" w:cs="Arial"/>
          <w:sz w:val="22"/>
          <w:szCs w:val="22"/>
          <w:lang w:val="es-CR"/>
        </w:rPr>
        <w:t>Estos indicadores el seguimiento, medición y mejora continua del desempeño ambiental, permitiendo identificar oportunidades de optimización en el uso de recursos, reducción de emisiones y cumplimiento de buenas prácticas ambientales.</w:t>
      </w:r>
    </w:p>
    <w:p w14:paraId="47D60B21" w14:textId="55BFB7B7" w:rsidR="0075688A" w:rsidRPr="00734D3B" w:rsidRDefault="0075688A" w:rsidP="00DA25B7">
      <w:pPr>
        <w:pStyle w:val="paragraph"/>
        <w:spacing w:before="0" w:beforeAutospacing="0" w:after="0" w:afterAutospacing="0" w:line="480" w:lineRule="auto"/>
        <w:ind w:firstLine="705"/>
        <w:textAlignment w:val="baseline"/>
        <w:rPr>
          <w:rFonts w:ascii="Arial" w:hAnsi="Arial" w:cs="Arial"/>
          <w:sz w:val="22"/>
          <w:szCs w:val="22"/>
          <w:lang w:val="es-CR"/>
        </w:rPr>
      </w:pPr>
      <w:r w:rsidRPr="00734D3B">
        <w:rPr>
          <w:rFonts w:ascii="Arial" w:hAnsi="Arial" w:cs="Arial"/>
          <w:sz w:val="22"/>
          <w:szCs w:val="22"/>
          <w:lang w:val="es-CR"/>
        </w:rPr>
        <w:t xml:space="preserve">Los KPI propuestos se orientan a medir aspectos clave como eficiencia energética, gestión del agua, manejo de residuos, emisiones de carbono y cumplimiento ambiental, los cuales son especialmente relevantes en proyectos de centros de datos debido a su alto consumo energético y requerimiento de infraestructura eléctrica especializada. </w:t>
      </w:r>
    </w:p>
    <w:p w14:paraId="7965F92A" w14:textId="6E5C1F2D" w:rsidR="0075688A" w:rsidRPr="00734D3B" w:rsidRDefault="0075688A" w:rsidP="00DA25B7">
      <w:pPr>
        <w:pStyle w:val="paragraph"/>
        <w:spacing w:before="0" w:beforeAutospacing="0" w:after="0" w:afterAutospacing="0" w:line="480" w:lineRule="auto"/>
        <w:ind w:firstLine="705"/>
        <w:textAlignment w:val="baseline"/>
        <w:rPr>
          <w:rFonts w:ascii="Arial" w:hAnsi="Arial" w:cs="Arial"/>
          <w:b/>
          <w:bCs/>
          <w:sz w:val="22"/>
          <w:szCs w:val="22"/>
          <w:lang w:val="es-CR"/>
        </w:rPr>
      </w:pPr>
      <w:r w:rsidRPr="00734D3B">
        <w:rPr>
          <w:rFonts w:ascii="Arial" w:hAnsi="Arial" w:cs="Arial"/>
          <w:b/>
          <w:bCs/>
          <w:sz w:val="22"/>
          <w:szCs w:val="22"/>
          <w:lang w:val="es-CR"/>
        </w:rPr>
        <w:t>Objetivos del sistema de indicadores</w:t>
      </w:r>
    </w:p>
    <w:p w14:paraId="2797288B" w14:textId="5127A4A0" w:rsidR="0075688A" w:rsidRPr="00734D3B" w:rsidRDefault="0075688A" w:rsidP="001D692F">
      <w:pPr>
        <w:pStyle w:val="paragraph"/>
        <w:numPr>
          <w:ilvl w:val="0"/>
          <w:numId w:val="46"/>
        </w:numPr>
        <w:spacing w:before="0" w:beforeAutospacing="0" w:after="0" w:afterAutospacing="0" w:line="480" w:lineRule="auto"/>
        <w:textAlignment w:val="baseline"/>
        <w:rPr>
          <w:rFonts w:ascii="Arial" w:hAnsi="Arial" w:cs="Arial"/>
          <w:sz w:val="22"/>
          <w:szCs w:val="22"/>
          <w:lang w:val="es-CR"/>
        </w:rPr>
      </w:pPr>
      <w:r w:rsidRPr="00734D3B">
        <w:rPr>
          <w:rFonts w:ascii="Arial" w:hAnsi="Arial" w:cs="Arial"/>
          <w:sz w:val="22"/>
          <w:szCs w:val="22"/>
          <w:lang w:val="es-CR"/>
        </w:rPr>
        <w:t>Medir el desempeño ambiental de los contratistas eléctricos</w:t>
      </w:r>
    </w:p>
    <w:p w14:paraId="5E638F1E" w14:textId="7F21681C" w:rsidR="0075688A" w:rsidRPr="00734D3B" w:rsidRDefault="0075688A" w:rsidP="001D692F">
      <w:pPr>
        <w:pStyle w:val="paragraph"/>
        <w:numPr>
          <w:ilvl w:val="0"/>
          <w:numId w:val="46"/>
        </w:numPr>
        <w:spacing w:before="0" w:beforeAutospacing="0" w:after="0" w:afterAutospacing="0" w:line="480" w:lineRule="auto"/>
        <w:textAlignment w:val="baseline"/>
        <w:rPr>
          <w:rFonts w:ascii="Arial" w:hAnsi="Arial" w:cs="Arial"/>
          <w:sz w:val="22"/>
          <w:szCs w:val="22"/>
          <w:lang w:val="es-CR"/>
        </w:rPr>
      </w:pPr>
      <w:r w:rsidRPr="00734D3B">
        <w:rPr>
          <w:rFonts w:ascii="Arial" w:hAnsi="Arial" w:cs="Arial"/>
          <w:sz w:val="22"/>
          <w:szCs w:val="22"/>
          <w:lang w:val="es-CR"/>
        </w:rPr>
        <w:lastRenderedPageBreak/>
        <w:t>Evaluar el grado de implementación de prácticas sostenibles en proyectos eléctricos.</w:t>
      </w:r>
    </w:p>
    <w:p w14:paraId="41037FAA" w14:textId="3E36A347" w:rsidR="0075688A" w:rsidRPr="00734D3B" w:rsidRDefault="0075688A" w:rsidP="001D692F">
      <w:pPr>
        <w:pStyle w:val="paragraph"/>
        <w:numPr>
          <w:ilvl w:val="0"/>
          <w:numId w:val="46"/>
        </w:numPr>
        <w:spacing w:before="0" w:beforeAutospacing="0" w:after="0" w:afterAutospacing="0" w:line="480" w:lineRule="auto"/>
        <w:textAlignment w:val="baseline"/>
        <w:rPr>
          <w:rFonts w:ascii="Arial" w:hAnsi="Arial" w:cs="Arial"/>
          <w:sz w:val="22"/>
          <w:szCs w:val="22"/>
          <w:lang w:val="es-CR"/>
        </w:rPr>
      </w:pPr>
      <w:r w:rsidRPr="00734D3B">
        <w:rPr>
          <w:rFonts w:ascii="Arial" w:hAnsi="Arial" w:cs="Arial"/>
          <w:sz w:val="22"/>
          <w:szCs w:val="22"/>
          <w:lang w:val="es-CR"/>
        </w:rPr>
        <w:t>Identificar áreas de mejora en la gestión ambiental de los proyectos</w:t>
      </w:r>
    </w:p>
    <w:p w14:paraId="416CB9F3" w14:textId="3370FF6D" w:rsidR="0075688A" w:rsidRPr="00734D3B" w:rsidRDefault="0075688A" w:rsidP="001D692F">
      <w:pPr>
        <w:pStyle w:val="paragraph"/>
        <w:numPr>
          <w:ilvl w:val="0"/>
          <w:numId w:val="46"/>
        </w:numPr>
        <w:spacing w:before="0" w:beforeAutospacing="0" w:after="0" w:afterAutospacing="0" w:line="480" w:lineRule="auto"/>
        <w:textAlignment w:val="baseline"/>
        <w:rPr>
          <w:rFonts w:ascii="Arial" w:hAnsi="Arial" w:cs="Arial"/>
          <w:sz w:val="22"/>
          <w:szCs w:val="22"/>
          <w:lang w:val="es-CR"/>
        </w:rPr>
      </w:pPr>
      <w:r w:rsidRPr="00734D3B">
        <w:rPr>
          <w:rFonts w:ascii="Arial" w:hAnsi="Arial" w:cs="Arial"/>
          <w:sz w:val="22"/>
          <w:szCs w:val="22"/>
          <w:lang w:val="es-CR"/>
        </w:rPr>
        <w:t>Facilitar la toma de decisiones basada en datos ambientales</w:t>
      </w:r>
    </w:p>
    <w:p w14:paraId="49A57F70" w14:textId="54975FC2" w:rsidR="0075688A" w:rsidRPr="00734D3B" w:rsidRDefault="0075688A" w:rsidP="00DA25B7">
      <w:pPr>
        <w:pStyle w:val="paragraph"/>
        <w:spacing w:before="0" w:beforeAutospacing="0" w:after="0" w:afterAutospacing="0" w:line="480" w:lineRule="auto"/>
        <w:ind w:firstLine="705"/>
        <w:textAlignment w:val="baseline"/>
        <w:rPr>
          <w:rFonts w:ascii="Arial" w:hAnsi="Arial" w:cs="Arial"/>
          <w:sz w:val="22"/>
          <w:szCs w:val="22"/>
          <w:lang w:val="es-CR"/>
        </w:rPr>
      </w:pPr>
      <w:r w:rsidRPr="00734D3B">
        <w:rPr>
          <w:rFonts w:ascii="Arial" w:hAnsi="Arial" w:cs="Arial"/>
          <w:sz w:val="22"/>
          <w:szCs w:val="22"/>
          <w:lang w:val="es-CR"/>
        </w:rPr>
        <w:t xml:space="preserve">A </w:t>
      </w:r>
      <w:proofErr w:type="gramStart"/>
      <w:r w:rsidRPr="00734D3B">
        <w:rPr>
          <w:rFonts w:ascii="Arial" w:hAnsi="Arial" w:cs="Arial"/>
          <w:sz w:val="22"/>
          <w:szCs w:val="22"/>
          <w:lang w:val="es-CR"/>
        </w:rPr>
        <w:t>continuación</w:t>
      </w:r>
      <w:proofErr w:type="gramEnd"/>
      <w:r w:rsidRPr="00734D3B">
        <w:rPr>
          <w:rFonts w:ascii="Arial" w:hAnsi="Arial" w:cs="Arial"/>
          <w:sz w:val="22"/>
          <w:szCs w:val="22"/>
          <w:lang w:val="es-CR"/>
        </w:rPr>
        <w:t xml:space="preserve"> se muestran los indicadores propuestos para la presente investigación:</w:t>
      </w:r>
    </w:p>
    <w:p w14:paraId="1FA0AF22" w14:textId="6C45B122" w:rsidR="0075688A" w:rsidRPr="00734D3B" w:rsidRDefault="007D5E04" w:rsidP="00B8411A">
      <w:pPr>
        <w:spacing w:line="240" w:lineRule="auto"/>
        <w:ind w:firstLine="0"/>
        <w:rPr>
          <w:b/>
          <w:szCs w:val="18"/>
        </w:rPr>
      </w:pPr>
      <w:r w:rsidRPr="00734D3B">
        <w:rPr>
          <w:b/>
          <w:szCs w:val="18"/>
        </w:rPr>
        <w:br w:type="page"/>
      </w:r>
      <w:bookmarkStart w:id="363" w:name="_Toc228342098"/>
      <w:r w:rsidR="002F3F8C" w:rsidRPr="00734D3B">
        <w:rPr>
          <w:b/>
          <w:szCs w:val="18"/>
        </w:rPr>
        <w:lastRenderedPageBreak/>
        <w:t xml:space="preserve">Tabla </w:t>
      </w:r>
      <w:r w:rsidR="002F3F8C" w:rsidRPr="00734D3B">
        <w:rPr>
          <w:b/>
          <w:szCs w:val="18"/>
        </w:rPr>
        <w:fldChar w:fldCharType="begin"/>
      </w:r>
      <w:r w:rsidR="002F3F8C" w:rsidRPr="00734D3B">
        <w:rPr>
          <w:b/>
          <w:szCs w:val="18"/>
        </w:rPr>
        <w:instrText xml:space="preserve"> SEQ Tabla \* ARABIC </w:instrText>
      </w:r>
      <w:r w:rsidR="002F3F8C" w:rsidRPr="00734D3B">
        <w:rPr>
          <w:b/>
          <w:szCs w:val="18"/>
        </w:rPr>
        <w:fldChar w:fldCharType="separate"/>
      </w:r>
      <w:r w:rsidR="007E63F5" w:rsidRPr="00734D3B">
        <w:rPr>
          <w:b/>
          <w:noProof/>
          <w:szCs w:val="18"/>
        </w:rPr>
        <w:t>18</w:t>
      </w:r>
      <w:r w:rsidR="002F3F8C" w:rsidRPr="00734D3B">
        <w:rPr>
          <w:b/>
          <w:szCs w:val="18"/>
        </w:rPr>
        <w:fldChar w:fldCharType="end"/>
      </w:r>
      <w:r w:rsidR="002F3F8C" w:rsidRPr="00734D3B">
        <w:rPr>
          <w:b/>
          <w:szCs w:val="18"/>
        </w:rPr>
        <w:t xml:space="preserve"> </w:t>
      </w:r>
      <w:r w:rsidR="002F3F8C" w:rsidRPr="00734D3B">
        <w:rPr>
          <w:b/>
          <w:szCs w:val="18"/>
        </w:rPr>
        <w:br/>
      </w:r>
      <w:r w:rsidR="002F3F8C" w:rsidRPr="00734D3B">
        <w:rPr>
          <w:bCs/>
          <w:i/>
          <w:iCs/>
          <w:szCs w:val="18"/>
        </w:rPr>
        <w:t>Indicadores propuestos</w:t>
      </w:r>
      <w:bookmarkEnd w:id="363"/>
      <w:r w:rsidR="002F3F8C" w:rsidRPr="00734D3B">
        <w:rPr>
          <w:bCs/>
          <w:i/>
          <w:iCs/>
          <w:szCs w:val="18"/>
        </w:rPr>
        <w:t xml:space="preserve"> </w:t>
      </w:r>
    </w:p>
    <w:tbl>
      <w:tblPr>
        <w:tblStyle w:val="PlainTable2"/>
        <w:tblW w:w="0" w:type="auto"/>
        <w:tblLook w:val="04A0" w:firstRow="1" w:lastRow="0" w:firstColumn="1" w:lastColumn="0" w:noHBand="0" w:noVBand="1"/>
      </w:tblPr>
      <w:tblGrid>
        <w:gridCol w:w="2968"/>
        <w:gridCol w:w="4708"/>
        <w:gridCol w:w="1686"/>
      </w:tblGrid>
      <w:tr w:rsidR="00734D3B" w:rsidRPr="00734D3B" w14:paraId="357C30D4" w14:textId="77777777" w:rsidTr="00756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F5EB40"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Indicador</w:t>
            </w:r>
          </w:p>
        </w:tc>
        <w:tc>
          <w:tcPr>
            <w:tcW w:w="0" w:type="auto"/>
            <w:hideMark/>
          </w:tcPr>
          <w:p w14:paraId="524E97F8" w14:textId="77777777" w:rsidR="0075688A" w:rsidRPr="00734D3B" w:rsidRDefault="0075688A" w:rsidP="002F3F8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Descripción</w:t>
            </w:r>
          </w:p>
        </w:tc>
        <w:tc>
          <w:tcPr>
            <w:tcW w:w="0" w:type="auto"/>
            <w:hideMark/>
          </w:tcPr>
          <w:p w14:paraId="2C28D4E5" w14:textId="77777777" w:rsidR="0075688A" w:rsidRPr="00734D3B" w:rsidRDefault="0075688A" w:rsidP="002F3F8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Unidad de medida</w:t>
            </w:r>
          </w:p>
        </w:tc>
      </w:tr>
      <w:tr w:rsidR="00734D3B" w:rsidRPr="00734D3B" w14:paraId="05B9FCF6" w14:textId="77777777" w:rsidTr="00756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6A1479"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Consumo energético del proyecto</w:t>
            </w:r>
          </w:p>
        </w:tc>
        <w:tc>
          <w:tcPr>
            <w:tcW w:w="0" w:type="auto"/>
            <w:hideMark/>
          </w:tcPr>
          <w:p w14:paraId="18A04F89" w14:textId="77777777" w:rsidR="0075688A" w:rsidRPr="00734D3B" w:rsidRDefault="0075688A"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Energía utilizada durante la ejecución del proyecto eléctrico</w:t>
            </w:r>
          </w:p>
        </w:tc>
        <w:tc>
          <w:tcPr>
            <w:tcW w:w="0" w:type="auto"/>
            <w:hideMark/>
          </w:tcPr>
          <w:p w14:paraId="5917EBB2" w14:textId="77777777" w:rsidR="0075688A" w:rsidRPr="00734D3B" w:rsidRDefault="0075688A" w:rsidP="002F3F8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kWh</w:t>
            </w:r>
          </w:p>
        </w:tc>
      </w:tr>
      <w:tr w:rsidR="00734D3B" w:rsidRPr="00734D3B" w14:paraId="3BB6E683" w14:textId="77777777" w:rsidTr="0075688A">
        <w:tc>
          <w:tcPr>
            <w:cnfStyle w:val="001000000000" w:firstRow="0" w:lastRow="0" w:firstColumn="1" w:lastColumn="0" w:oddVBand="0" w:evenVBand="0" w:oddHBand="0" w:evenHBand="0" w:firstRowFirstColumn="0" w:firstRowLastColumn="0" w:lastRowFirstColumn="0" w:lastRowLastColumn="0"/>
            <w:tcW w:w="0" w:type="auto"/>
            <w:hideMark/>
          </w:tcPr>
          <w:p w14:paraId="4B2A0F0E"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Eficiencia energética</w:t>
            </w:r>
          </w:p>
        </w:tc>
        <w:tc>
          <w:tcPr>
            <w:tcW w:w="0" w:type="auto"/>
            <w:hideMark/>
          </w:tcPr>
          <w:p w14:paraId="279073F0" w14:textId="77777777" w:rsidR="0075688A" w:rsidRPr="00734D3B" w:rsidRDefault="0075688A" w:rsidP="002F3F8C">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Relación entre consumo energético y rendimiento del sistema eléctrico</w:t>
            </w:r>
          </w:p>
        </w:tc>
        <w:tc>
          <w:tcPr>
            <w:tcW w:w="0" w:type="auto"/>
            <w:hideMark/>
          </w:tcPr>
          <w:p w14:paraId="6BBC8E95" w14:textId="77777777" w:rsidR="0075688A" w:rsidRPr="00734D3B" w:rsidRDefault="0075688A" w:rsidP="002F3F8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w:t>
            </w:r>
          </w:p>
        </w:tc>
      </w:tr>
      <w:tr w:rsidR="00734D3B" w:rsidRPr="00734D3B" w14:paraId="140CA905" w14:textId="77777777" w:rsidTr="00756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B5F725"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Uso eficiente del agua</w:t>
            </w:r>
          </w:p>
        </w:tc>
        <w:tc>
          <w:tcPr>
            <w:tcW w:w="0" w:type="auto"/>
            <w:hideMark/>
          </w:tcPr>
          <w:p w14:paraId="49D73230" w14:textId="77777777" w:rsidR="0075688A" w:rsidRPr="00734D3B" w:rsidRDefault="0075688A"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Cantidad de agua utilizada en actividades de construcción o enfriamiento</w:t>
            </w:r>
          </w:p>
        </w:tc>
        <w:tc>
          <w:tcPr>
            <w:tcW w:w="0" w:type="auto"/>
            <w:hideMark/>
          </w:tcPr>
          <w:p w14:paraId="5FAD3D11" w14:textId="77777777" w:rsidR="0075688A" w:rsidRPr="00734D3B" w:rsidRDefault="0075688A" w:rsidP="002F3F8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m³</w:t>
            </w:r>
          </w:p>
        </w:tc>
      </w:tr>
      <w:tr w:rsidR="00734D3B" w:rsidRPr="00734D3B" w14:paraId="4AA39A01" w14:textId="77777777" w:rsidTr="0075688A">
        <w:tc>
          <w:tcPr>
            <w:cnfStyle w:val="001000000000" w:firstRow="0" w:lastRow="0" w:firstColumn="1" w:lastColumn="0" w:oddVBand="0" w:evenVBand="0" w:oddHBand="0" w:evenHBand="0" w:firstRowFirstColumn="0" w:firstRowLastColumn="0" w:lastRowFirstColumn="0" w:lastRowLastColumn="0"/>
            <w:tcW w:w="0" w:type="auto"/>
            <w:hideMark/>
          </w:tcPr>
          <w:p w14:paraId="44BCD140"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Gestión de residuos eléctricos</w:t>
            </w:r>
          </w:p>
        </w:tc>
        <w:tc>
          <w:tcPr>
            <w:tcW w:w="0" w:type="auto"/>
            <w:hideMark/>
          </w:tcPr>
          <w:p w14:paraId="1AB45314" w14:textId="77777777" w:rsidR="0075688A" w:rsidRPr="00734D3B" w:rsidRDefault="0075688A" w:rsidP="002F3F8C">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Porcentaje de residuos eléctricos reciclados o reutilizados</w:t>
            </w:r>
          </w:p>
        </w:tc>
        <w:tc>
          <w:tcPr>
            <w:tcW w:w="0" w:type="auto"/>
            <w:hideMark/>
          </w:tcPr>
          <w:p w14:paraId="12E3DD0B" w14:textId="77777777" w:rsidR="0075688A" w:rsidRPr="00734D3B" w:rsidRDefault="0075688A" w:rsidP="002F3F8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w:t>
            </w:r>
          </w:p>
        </w:tc>
      </w:tr>
      <w:tr w:rsidR="00734D3B" w:rsidRPr="00734D3B" w14:paraId="5CEB9D49" w14:textId="77777777" w:rsidTr="00756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57FC3F"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Emisiones de carbono</w:t>
            </w:r>
          </w:p>
        </w:tc>
        <w:tc>
          <w:tcPr>
            <w:tcW w:w="0" w:type="auto"/>
            <w:hideMark/>
          </w:tcPr>
          <w:p w14:paraId="2774B53C" w14:textId="77777777" w:rsidR="0075688A" w:rsidRPr="00734D3B" w:rsidRDefault="0075688A"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Cantidad de CO</w:t>
            </w:r>
            <w:r w:rsidRPr="00734D3B">
              <w:rPr>
                <w:rFonts w:ascii="Cambria Math" w:hAnsi="Cambria Math" w:cs="Cambria Math"/>
                <w:szCs w:val="22"/>
                <w:lang w:eastAsia="en-US"/>
              </w:rPr>
              <w:t>₂</w:t>
            </w:r>
            <w:r w:rsidRPr="00734D3B">
              <w:rPr>
                <w:rFonts w:cs="Arial"/>
                <w:szCs w:val="22"/>
                <w:lang w:eastAsia="en-US"/>
              </w:rPr>
              <w:t xml:space="preserve"> generada por consumo energético y maquinaria</w:t>
            </w:r>
          </w:p>
        </w:tc>
        <w:tc>
          <w:tcPr>
            <w:tcW w:w="0" w:type="auto"/>
            <w:hideMark/>
          </w:tcPr>
          <w:p w14:paraId="4359890D" w14:textId="77777777" w:rsidR="0075688A" w:rsidRPr="00734D3B" w:rsidRDefault="0075688A" w:rsidP="002F3F8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toneladas CO</w:t>
            </w:r>
            <w:r w:rsidRPr="00734D3B">
              <w:rPr>
                <w:rFonts w:ascii="Cambria Math" w:hAnsi="Cambria Math" w:cs="Cambria Math"/>
                <w:szCs w:val="22"/>
                <w:lang w:eastAsia="en-US"/>
              </w:rPr>
              <w:t>₂</w:t>
            </w:r>
          </w:p>
        </w:tc>
      </w:tr>
      <w:tr w:rsidR="00734D3B" w:rsidRPr="00734D3B" w14:paraId="09E49669" w14:textId="77777777" w:rsidTr="0075688A">
        <w:tc>
          <w:tcPr>
            <w:cnfStyle w:val="001000000000" w:firstRow="0" w:lastRow="0" w:firstColumn="1" w:lastColumn="0" w:oddVBand="0" w:evenVBand="0" w:oddHBand="0" w:evenHBand="0" w:firstRowFirstColumn="0" w:firstRowLastColumn="0" w:lastRowFirstColumn="0" w:lastRowLastColumn="0"/>
            <w:tcW w:w="0" w:type="auto"/>
            <w:hideMark/>
          </w:tcPr>
          <w:p w14:paraId="55FDEEB5"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Cumplimiento ambiental</w:t>
            </w:r>
          </w:p>
        </w:tc>
        <w:tc>
          <w:tcPr>
            <w:tcW w:w="0" w:type="auto"/>
            <w:hideMark/>
          </w:tcPr>
          <w:p w14:paraId="09BB72E5" w14:textId="77777777" w:rsidR="0075688A" w:rsidRPr="00734D3B" w:rsidRDefault="0075688A" w:rsidP="002F3F8C">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Nivel de cumplimiento de normativas ambientales aplicables</w:t>
            </w:r>
          </w:p>
        </w:tc>
        <w:tc>
          <w:tcPr>
            <w:tcW w:w="0" w:type="auto"/>
            <w:hideMark/>
          </w:tcPr>
          <w:p w14:paraId="77336632" w14:textId="77777777" w:rsidR="0075688A" w:rsidRPr="00734D3B" w:rsidRDefault="0075688A" w:rsidP="002F3F8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w:t>
            </w:r>
          </w:p>
        </w:tc>
      </w:tr>
      <w:tr w:rsidR="00734D3B" w:rsidRPr="00734D3B" w14:paraId="2EA1C517" w14:textId="77777777" w:rsidTr="00756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6AF291"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Uso de materiales sostenibles</w:t>
            </w:r>
          </w:p>
        </w:tc>
        <w:tc>
          <w:tcPr>
            <w:tcW w:w="0" w:type="auto"/>
            <w:hideMark/>
          </w:tcPr>
          <w:p w14:paraId="1EE875E7" w14:textId="77777777" w:rsidR="0075688A" w:rsidRPr="00734D3B" w:rsidRDefault="0075688A"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Porcentaje de materiales eléctricos con certificación ambiental</w:t>
            </w:r>
          </w:p>
        </w:tc>
        <w:tc>
          <w:tcPr>
            <w:tcW w:w="0" w:type="auto"/>
            <w:hideMark/>
          </w:tcPr>
          <w:p w14:paraId="56FFCE7F" w14:textId="77777777" w:rsidR="0075688A" w:rsidRPr="00734D3B" w:rsidRDefault="0075688A" w:rsidP="002F3F8C">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w:t>
            </w:r>
          </w:p>
        </w:tc>
      </w:tr>
      <w:tr w:rsidR="00734D3B" w:rsidRPr="00734D3B" w14:paraId="37945160" w14:textId="77777777" w:rsidTr="0075688A">
        <w:tc>
          <w:tcPr>
            <w:cnfStyle w:val="001000000000" w:firstRow="0" w:lastRow="0" w:firstColumn="1" w:lastColumn="0" w:oddVBand="0" w:evenVBand="0" w:oddHBand="0" w:evenHBand="0" w:firstRowFirstColumn="0" w:firstRowLastColumn="0" w:lastRowFirstColumn="0" w:lastRowLastColumn="0"/>
            <w:tcW w:w="0" w:type="auto"/>
            <w:hideMark/>
          </w:tcPr>
          <w:p w14:paraId="0F12CCDD" w14:textId="77777777" w:rsidR="0075688A" w:rsidRPr="00734D3B" w:rsidRDefault="0075688A" w:rsidP="002F3F8C">
            <w:pPr>
              <w:spacing w:line="360" w:lineRule="auto"/>
              <w:ind w:firstLine="0"/>
              <w:jc w:val="center"/>
              <w:rPr>
                <w:rFonts w:cs="Arial"/>
                <w:szCs w:val="22"/>
                <w:lang w:eastAsia="en-US"/>
              </w:rPr>
            </w:pPr>
            <w:r w:rsidRPr="00734D3B">
              <w:rPr>
                <w:rFonts w:cs="Arial"/>
                <w:szCs w:val="22"/>
                <w:lang w:eastAsia="en-US"/>
              </w:rPr>
              <w:t>Capacitación ambiental del personal</w:t>
            </w:r>
          </w:p>
        </w:tc>
        <w:tc>
          <w:tcPr>
            <w:tcW w:w="0" w:type="auto"/>
            <w:hideMark/>
          </w:tcPr>
          <w:p w14:paraId="5F49F507" w14:textId="77777777" w:rsidR="0075688A" w:rsidRPr="00734D3B" w:rsidRDefault="0075688A" w:rsidP="002F3F8C">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Personal capacitado en prácticas ambientales sostenibles</w:t>
            </w:r>
          </w:p>
        </w:tc>
        <w:tc>
          <w:tcPr>
            <w:tcW w:w="0" w:type="auto"/>
            <w:hideMark/>
          </w:tcPr>
          <w:p w14:paraId="3349F6F8" w14:textId="77777777" w:rsidR="0075688A" w:rsidRPr="00734D3B" w:rsidRDefault="0075688A" w:rsidP="002F3F8C">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w:t>
            </w:r>
          </w:p>
        </w:tc>
      </w:tr>
    </w:tbl>
    <w:p w14:paraId="4A073DD7" w14:textId="21377D8C" w:rsidR="002F3F8C" w:rsidRPr="00734D3B" w:rsidRDefault="002F3F8C" w:rsidP="002F3F8C">
      <w:pPr>
        <w:spacing w:line="240" w:lineRule="auto"/>
        <w:ind w:firstLine="0"/>
        <w:contextualSpacing/>
        <w:rPr>
          <w:rFonts w:cs="Arial"/>
          <w:szCs w:val="22"/>
        </w:rPr>
      </w:pPr>
      <w:r w:rsidRPr="00734D3B">
        <w:rPr>
          <w:rFonts w:cs="Arial"/>
          <w:i/>
          <w:iCs/>
          <w:szCs w:val="22"/>
        </w:rPr>
        <w:t>Nota</w:t>
      </w:r>
      <w:r w:rsidRPr="00734D3B">
        <w:rPr>
          <w:rFonts w:cs="Arial"/>
          <w:szCs w:val="22"/>
        </w:rPr>
        <w:t>. La Tabla 1</w:t>
      </w:r>
      <w:r w:rsidR="007E63F5" w:rsidRPr="00734D3B">
        <w:rPr>
          <w:rFonts w:cs="Arial"/>
          <w:szCs w:val="22"/>
        </w:rPr>
        <w:t>8</w:t>
      </w:r>
      <w:r w:rsidRPr="00734D3B">
        <w:rPr>
          <w:rFonts w:cs="Arial"/>
          <w:szCs w:val="22"/>
        </w:rPr>
        <w:t xml:space="preserve"> muestra los indicadores propuestos. Autoría propia.</w:t>
      </w:r>
    </w:p>
    <w:p w14:paraId="409479DF" w14:textId="77777777" w:rsidR="0075688A" w:rsidRPr="00734D3B" w:rsidRDefault="0075688A" w:rsidP="00264F63">
      <w:pPr>
        <w:pStyle w:val="paragraph"/>
        <w:spacing w:before="0" w:beforeAutospacing="0" w:after="0" w:afterAutospacing="0" w:line="480" w:lineRule="auto"/>
        <w:ind w:firstLine="705"/>
        <w:jc w:val="both"/>
        <w:textAlignment w:val="baseline"/>
        <w:rPr>
          <w:rFonts w:ascii="Arial" w:hAnsi="Arial" w:cs="Arial"/>
          <w:sz w:val="22"/>
          <w:szCs w:val="22"/>
          <w:lang w:val="es-CR"/>
        </w:rPr>
      </w:pPr>
    </w:p>
    <w:p w14:paraId="48A85041" w14:textId="5EA58AE2" w:rsidR="00AE671D" w:rsidRPr="00734D3B" w:rsidRDefault="00AE671D"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CR"/>
        </w:rPr>
        <w:t>La tabla de indiciadores propuestos permite evaluar el desempeño ambiental de los contratistas eléctricos</w:t>
      </w:r>
      <w:r w:rsidR="00175CAF" w:rsidRPr="00734D3B">
        <w:rPr>
          <w:rFonts w:ascii="Arial" w:hAnsi="Arial" w:cs="Arial"/>
          <w:sz w:val="22"/>
          <w:szCs w:val="22"/>
          <w:lang w:val="es-CR"/>
        </w:rPr>
        <w:t xml:space="preserve"> </w:t>
      </w:r>
      <w:r w:rsidR="00ED5AF6" w:rsidRPr="00734D3B">
        <w:rPr>
          <w:rFonts w:ascii="Arial" w:hAnsi="Arial" w:cs="Arial"/>
          <w:sz w:val="22"/>
          <w:szCs w:val="22"/>
          <w:lang w:val="es-MX"/>
        </w:rPr>
        <w:t>que participan en proyectos de</w:t>
      </w:r>
      <w:r w:rsidR="00B2194A" w:rsidRPr="00734D3B">
        <w:rPr>
          <w:rFonts w:ascii="Arial" w:hAnsi="Arial" w:cs="Arial"/>
          <w:sz w:val="22"/>
          <w:szCs w:val="22"/>
          <w:lang w:val="es-MX"/>
        </w:rPr>
        <w:t xml:space="preserve"> Centro de </w:t>
      </w:r>
      <w:r w:rsidR="00175CAF" w:rsidRPr="00734D3B">
        <w:rPr>
          <w:rFonts w:ascii="Arial" w:hAnsi="Arial" w:cs="Arial"/>
          <w:sz w:val="22"/>
          <w:szCs w:val="22"/>
          <w:lang w:val="es-MX"/>
        </w:rPr>
        <w:t>D</w:t>
      </w:r>
      <w:r w:rsidR="009C047E" w:rsidRPr="00734D3B">
        <w:rPr>
          <w:rFonts w:ascii="Arial" w:hAnsi="Arial" w:cs="Arial"/>
          <w:sz w:val="22"/>
          <w:szCs w:val="22"/>
          <w:lang w:val="es-MX"/>
        </w:rPr>
        <w:t>atos. Estos indicadores permiten medir de forma sistemática el nivel de sostenibilidad alcanzado durante las distintas etapas del proyecto, facilitando el monitoreo del uso de recursos, la reducción de impactos ambientales y el cumplimiento de prácticas responsables en la gestión de la infraestructura eléctrica</w:t>
      </w:r>
      <w:r w:rsidR="004619AF" w:rsidRPr="00734D3B">
        <w:rPr>
          <w:rFonts w:ascii="Arial" w:hAnsi="Arial" w:cs="Arial"/>
          <w:sz w:val="22"/>
          <w:szCs w:val="22"/>
          <w:lang w:val="es-MX"/>
        </w:rPr>
        <w:t>.</w:t>
      </w:r>
    </w:p>
    <w:p w14:paraId="5BCE0FBB" w14:textId="04D7BCBF" w:rsidR="004619AF" w:rsidRPr="00734D3B" w:rsidRDefault="004619AF"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 xml:space="preserve">En primer lugar, la dimensión relacionada con la energía contempla indicadores orientados a analizar el consumo energético total del proyecto, la eficiencia de los sistemas eléctricos instalados y las posibles pérdidas en la distribución eléctrica. Estos aspectos resultan </w:t>
      </w:r>
      <w:r w:rsidRPr="00734D3B">
        <w:rPr>
          <w:rFonts w:ascii="Arial" w:hAnsi="Arial" w:cs="Arial"/>
          <w:sz w:val="22"/>
          <w:szCs w:val="22"/>
          <w:lang w:val="es-MX"/>
        </w:rPr>
        <w:lastRenderedPageBreak/>
        <w:t>particularmente relevantes en los centros de datos</w:t>
      </w:r>
      <w:r w:rsidR="00423618" w:rsidRPr="00734D3B">
        <w:rPr>
          <w:rFonts w:ascii="Arial" w:hAnsi="Arial" w:cs="Arial"/>
          <w:sz w:val="22"/>
          <w:szCs w:val="22"/>
          <w:lang w:val="es-MX"/>
        </w:rPr>
        <w:t>, debido a que este tipo de infraestructura requiere grandes cantidades de energía para garantizar el funcionamiento continuo de los equipos tecnológicos. Asimismo, se incluyen indicadores que permiten evaluar el nivel de integración de fuentes de energía renovable y el grado de optimización del sistema eléctrico mediante el uso de tecnologías de alta eficiencia</w:t>
      </w:r>
      <w:r w:rsidR="00852EB2" w:rsidRPr="00734D3B">
        <w:rPr>
          <w:rFonts w:ascii="Arial" w:hAnsi="Arial" w:cs="Arial"/>
          <w:sz w:val="22"/>
          <w:szCs w:val="22"/>
          <w:lang w:val="es-MX"/>
        </w:rPr>
        <w:t>, lo cual contribuye a disminuir el impacto ambiental asociado al consumo energético.</w:t>
      </w:r>
    </w:p>
    <w:p w14:paraId="752917D2" w14:textId="36831883" w:rsidR="00852EB2" w:rsidRPr="00734D3B" w:rsidRDefault="00852EB2"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 xml:space="preserve">En segundo lugar, la dimensión vinculada con el uso del agua incorpora indicadores destinados a medir el consumo de este recurso durante las actividades relacionadas con el proyecto, </w:t>
      </w:r>
      <w:r w:rsidR="00B81014" w:rsidRPr="00734D3B">
        <w:rPr>
          <w:rFonts w:ascii="Arial" w:hAnsi="Arial" w:cs="Arial"/>
          <w:sz w:val="22"/>
          <w:szCs w:val="22"/>
          <w:lang w:val="es-MX"/>
        </w:rPr>
        <w:t>así como la eficiencia en su utilización. En muchos centros de datos el agua se emplea en sistemas de enfriamiento o en procesos de apoyo a la operación, por lo que resulta necesario evaluar la cantidad utilizada y promover prácticas de uso responsable. Dentro de esta dimensión también se incluye un indicador relacionado con la reutilización del agua</w:t>
      </w:r>
      <w:r w:rsidR="006B7794" w:rsidRPr="00734D3B">
        <w:rPr>
          <w:rFonts w:ascii="Arial" w:hAnsi="Arial" w:cs="Arial"/>
          <w:sz w:val="22"/>
          <w:szCs w:val="22"/>
          <w:lang w:val="es-MX"/>
        </w:rPr>
        <w:t>, el cual busca fomentar la implementación de estrategias que permitan reducir la extracción de recursos hídricos mediante el reaprovechamiento del agua en distintos procesos operativos.</w:t>
      </w:r>
    </w:p>
    <w:p w14:paraId="44FA3E55" w14:textId="445129D8" w:rsidR="006B7794" w:rsidRPr="00734D3B" w:rsidRDefault="006B7794"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 xml:space="preserve">Otra dimensión importante es la relacionada con las emisiones, </w:t>
      </w:r>
      <w:r w:rsidR="00285D42" w:rsidRPr="00734D3B">
        <w:rPr>
          <w:rFonts w:ascii="Arial" w:hAnsi="Arial" w:cs="Arial"/>
          <w:sz w:val="22"/>
          <w:szCs w:val="22"/>
          <w:lang w:val="es-MX"/>
        </w:rPr>
        <w:t xml:space="preserve">particularmente las emisiones de dióxido de carbono generadas por el consumo energético y el uso de maquinaria durante la ejecución del proyecto. En este sentido, los indicadores propuestos permiten estimar la huella de carbono del proyecto y analizar las acciones implementadas para reducir las emisiones como la incorporación de energías limpias o la optimización de sistemas </w:t>
      </w:r>
      <w:r w:rsidR="003D00AB" w:rsidRPr="00734D3B">
        <w:rPr>
          <w:rFonts w:ascii="Arial" w:hAnsi="Arial" w:cs="Arial"/>
          <w:sz w:val="22"/>
          <w:szCs w:val="22"/>
          <w:lang w:val="es-MX"/>
        </w:rPr>
        <w:t xml:space="preserve">eléctricos. </w:t>
      </w:r>
    </w:p>
    <w:p w14:paraId="54A96A54" w14:textId="0BFD7BF3" w:rsidR="003D00AB" w:rsidRPr="00734D3B" w:rsidRDefault="003D00AB"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 xml:space="preserve">La dimensión de </w:t>
      </w:r>
      <w:r w:rsidR="00EE678F" w:rsidRPr="00734D3B">
        <w:rPr>
          <w:rFonts w:ascii="Arial" w:hAnsi="Arial" w:cs="Arial"/>
          <w:sz w:val="22"/>
          <w:szCs w:val="22"/>
          <w:lang w:val="es-MX"/>
        </w:rPr>
        <w:t>residuos</w:t>
      </w:r>
      <w:r w:rsidRPr="00734D3B">
        <w:rPr>
          <w:rFonts w:ascii="Arial" w:hAnsi="Arial" w:cs="Arial"/>
          <w:sz w:val="22"/>
          <w:szCs w:val="22"/>
          <w:lang w:val="es-MX"/>
        </w:rPr>
        <w:t xml:space="preserve"> también ocupa un lugar relevante dentro de la matriz de indicadores, en los proyectos es común la generación de residuos asociados a cables, componentes electrónicos</w:t>
      </w:r>
      <w:r w:rsidR="00CF6FDE" w:rsidRPr="00734D3B">
        <w:rPr>
          <w:rFonts w:ascii="Arial" w:hAnsi="Arial" w:cs="Arial"/>
          <w:sz w:val="22"/>
          <w:szCs w:val="22"/>
          <w:lang w:val="es-MX"/>
        </w:rPr>
        <w:t xml:space="preserve">, baterías y otros materiales. Por esta razón los indicadores consideran tanto la cantidad de residuos generados como el porcentaje de materiales reciclados o reutilizados, así como la correcta gestión de residuos peligrosos. La evaluación de </w:t>
      </w:r>
      <w:r w:rsidR="00CF6FDE" w:rsidRPr="00734D3B">
        <w:rPr>
          <w:rFonts w:ascii="Arial" w:hAnsi="Arial" w:cs="Arial"/>
          <w:sz w:val="22"/>
          <w:szCs w:val="22"/>
          <w:lang w:val="es-MX"/>
        </w:rPr>
        <w:lastRenderedPageBreak/>
        <w:t>estos aspectos contribuye a promover prácticas de economía circular y a minimizar los impactos negativos sobre el ambiente</w:t>
      </w:r>
      <w:r w:rsidR="00953326" w:rsidRPr="00734D3B">
        <w:rPr>
          <w:rFonts w:ascii="Arial" w:hAnsi="Arial" w:cs="Arial"/>
          <w:sz w:val="22"/>
          <w:szCs w:val="22"/>
          <w:lang w:val="es-MX"/>
        </w:rPr>
        <w:t>.</w:t>
      </w:r>
    </w:p>
    <w:p w14:paraId="19B1F35C" w14:textId="7FF829D6" w:rsidR="00953326" w:rsidRPr="00734D3B" w:rsidRDefault="00953326"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 xml:space="preserve">Por otra </w:t>
      </w:r>
      <w:proofErr w:type="gramStart"/>
      <w:r w:rsidRPr="00734D3B">
        <w:rPr>
          <w:rFonts w:ascii="Arial" w:hAnsi="Arial" w:cs="Arial"/>
          <w:sz w:val="22"/>
          <w:szCs w:val="22"/>
          <w:lang w:val="es-MX"/>
        </w:rPr>
        <w:t>parte</w:t>
      </w:r>
      <w:proofErr w:type="gramEnd"/>
      <w:r w:rsidRPr="00734D3B">
        <w:rPr>
          <w:rFonts w:ascii="Arial" w:hAnsi="Arial" w:cs="Arial"/>
          <w:sz w:val="22"/>
          <w:szCs w:val="22"/>
          <w:lang w:val="es-MX"/>
        </w:rPr>
        <w:t xml:space="preserve"> la dimensión relacionada con los materiales se enfoca con el uso de insumos sostenibles y la optimización de los recursos empleados durante la ejecución del proyecto. En este sentido, se proponen indicadores que permiten analizar el porcentaje de materiales eléctricos que cuentan con certificaciones ambientales</w:t>
      </w:r>
      <w:r w:rsidR="00683E02" w:rsidRPr="00734D3B">
        <w:rPr>
          <w:rFonts w:ascii="Arial" w:hAnsi="Arial" w:cs="Arial"/>
          <w:sz w:val="22"/>
          <w:szCs w:val="22"/>
          <w:lang w:val="es-MX"/>
        </w:rPr>
        <w:t>, así como la reducción del desperdicio de materiales durante la instalación de la infraestructura eléctrica.</w:t>
      </w:r>
    </w:p>
    <w:p w14:paraId="5ED4A4FB" w14:textId="176063D6" w:rsidR="00AE671D" w:rsidRPr="00734D3B" w:rsidRDefault="00683E02" w:rsidP="00DA25B7">
      <w:pPr>
        <w:pStyle w:val="paragraph"/>
        <w:spacing w:before="0" w:beforeAutospacing="0" w:after="0" w:afterAutospacing="0" w:line="480" w:lineRule="auto"/>
        <w:ind w:firstLine="705"/>
        <w:textAlignment w:val="baseline"/>
        <w:rPr>
          <w:rFonts w:ascii="Arial" w:hAnsi="Arial" w:cs="Arial"/>
          <w:sz w:val="22"/>
          <w:szCs w:val="22"/>
          <w:lang w:val="es-MX"/>
        </w:rPr>
      </w:pPr>
      <w:r w:rsidRPr="00734D3B">
        <w:rPr>
          <w:rFonts w:ascii="Arial" w:hAnsi="Arial" w:cs="Arial"/>
          <w:sz w:val="22"/>
          <w:szCs w:val="22"/>
          <w:lang w:val="es-MX"/>
        </w:rPr>
        <w:t>Finalmente, se incorporan indicadores vinculados con la gestión ambiental y el cumplimiento normativo, los cuales permiten evaluar el grado en que los contratistas eléctricos cumplen con las regulaciones ambientales aplicables y adoptan prácticas</w:t>
      </w:r>
      <w:r w:rsidR="00736214" w:rsidRPr="00734D3B">
        <w:rPr>
          <w:rFonts w:ascii="Arial" w:hAnsi="Arial" w:cs="Arial"/>
          <w:sz w:val="22"/>
          <w:szCs w:val="22"/>
          <w:lang w:val="es-MX"/>
        </w:rPr>
        <w:t xml:space="preserve"> organizacionales orientadas a la sostenibilidad. Entre estos indicadores se encuentra la capacitación ambiental del personal, la realización de auditorías ambientales y la implementación de planes de mejora continua. Estos elementos resultan esenciales para fortalecer la cultura organizacional</w:t>
      </w:r>
      <w:r w:rsidR="00122368" w:rsidRPr="00734D3B">
        <w:rPr>
          <w:rFonts w:ascii="Arial" w:hAnsi="Arial" w:cs="Arial"/>
          <w:sz w:val="22"/>
          <w:szCs w:val="22"/>
          <w:lang w:val="es-MX"/>
        </w:rPr>
        <w:t xml:space="preserve"> en materia de sostenibilidad y garantizar que los proyectos eléctricos se desarrollen bajo criterios responsables y alineados con estándares ambientales.</w:t>
      </w:r>
    </w:p>
    <w:p w14:paraId="441BE6C0" w14:textId="096E12D2" w:rsidR="0075688A" w:rsidRPr="00734D3B" w:rsidRDefault="002F3F8C" w:rsidP="00DA25B7">
      <w:pPr>
        <w:pStyle w:val="paragraph"/>
        <w:spacing w:before="0" w:beforeAutospacing="0" w:after="0" w:afterAutospacing="0" w:line="480" w:lineRule="auto"/>
        <w:ind w:firstLine="705"/>
        <w:textAlignment w:val="baseline"/>
        <w:rPr>
          <w:rFonts w:ascii="Arial" w:hAnsi="Arial" w:cs="Arial"/>
          <w:sz w:val="22"/>
          <w:szCs w:val="22"/>
          <w:lang w:val="es-CR"/>
        </w:rPr>
      </w:pPr>
      <w:r w:rsidRPr="00734D3B">
        <w:rPr>
          <w:rFonts w:ascii="Arial" w:hAnsi="Arial" w:cs="Arial"/>
          <w:sz w:val="22"/>
          <w:szCs w:val="22"/>
          <w:lang w:val="es-CR"/>
        </w:rPr>
        <w:t xml:space="preserve">En cuanto a la evaluación del desempeño ambiental, el sistema de indicadores permite establecer niveles de desempeño ambiental, como se muestra en la siguiente tabla: </w:t>
      </w:r>
    </w:p>
    <w:p w14:paraId="0BF31033" w14:textId="25B899E3" w:rsidR="002F3F8C" w:rsidRPr="00734D3B" w:rsidRDefault="002F3F8C" w:rsidP="002F3F8C">
      <w:pPr>
        <w:pStyle w:val="ListParagraph"/>
        <w:spacing w:after="200"/>
        <w:ind w:left="720" w:firstLine="0"/>
        <w:rPr>
          <w:bCs/>
          <w:i/>
          <w:iCs/>
          <w:szCs w:val="18"/>
        </w:rPr>
      </w:pPr>
      <w:bookmarkStart w:id="364" w:name="_Toc228342099"/>
      <w:r w:rsidRPr="00734D3B">
        <w:rPr>
          <w:b/>
          <w:szCs w:val="18"/>
        </w:rPr>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7E63F5" w:rsidRPr="00734D3B">
        <w:rPr>
          <w:b/>
          <w:noProof/>
          <w:szCs w:val="18"/>
        </w:rPr>
        <w:t>19</w:t>
      </w:r>
      <w:r w:rsidRPr="00734D3B">
        <w:rPr>
          <w:b/>
          <w:szCs w:val="18"/>
        </w:rPr>
        <w:fldChar w:fldCharType="end"/>
      </w:r>
      <w:r w:rsidRPr="00734D3B">
        <w:rPr>
          <w:b/>
          <w:szCs w:val="18"/>
        </w:rPr>
        <w:t xml:space="preserve"> </w:t>
      </w:r>
      <w:r w:rsidRPr="00734D3B">
        <w:rPr>
          <w:b/>
          <w:szCs w:val="18"/>
        </w:rPr>
        <w:br/>
      </w:r>
      <w:r w:rsidRPr="00734D3B">
        <w:rPr>
          <w:bCs/>
          <w:i/>
          <w:iCs/>
          <w:szCs w:val="18"/>
        </w:rPr>
        <w:t>Niveles de desempeño ambiental</w:t>
      </w:r>
      <w:bookmarkEnd w:id="364"/>
      <w:r w:rsidRPr="00734D3B">
        <w:rPr>
          <w:bCs/>
          <w:i/>
          <w:iCs/>
          <w:szCs w:val="18"/>
        </w:rPr>
        <w:t xml:space="preserve"> </w:t>
      </w:r>
    </w:p>
    <w:tbl>
      <w:tblPr>
        <w:tblStyle w:val="PlainTable2"/>
        <w:tblW w:w="8882" w:type="dxa"/>
        <w:jc w:val="center"/>
        <w:tblLook w:val="04A0" w:firstRow="1" w:lastRow="0" w:firstColumn="1" w:lastColumn="0" w:noHBand="0" w:noVBand="1"/>
      </w:tblPr>
      <w:tblGrid>
        <w:gridCol w:w="927"/>
        <w:gridCol w:w="7955"/>
      </w:tblGrid>
      <w:tr w:rsidR="00734D3B" w:rsidRPr="00734D3B" w14:paraId="04CCFDDA" w14:textId="77777777" w:rsidTr="002F3F8C">
        <w:trPr>
          <w:cnfStyle w:val="100000000000" w:firstRow="1" w:lastRow="0" w:firstColumn="0" w:lastColumn="0" w:oddVBand="0" w:evenVBand="0" w:oddHBand="0"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A30893" w14:textId="77777777" w:rsidR="002F3F8C" w:rsidRPr="00734D3B" w:rsidRDefault="002F3F8C" w:rsidP="002F3F8C">
            <w:pPr>
              <w:spacing w:line="360" w:lineRule="auto"/>
              <w:ind w:firstLine="0"/>
              <w:jc w:val="center"/>
              <w:rPr>
                <w:rFonts w:cs="Arial"/>
                <w:szCs w:val="22"/>
                <w:lang w:eastAsia="en-US"/>
              </w:rPr>
            </w:pPr>
            <w:r w:rsidRPr="00734D3B">
              <w:rPr>
                <w:rFonts w:cs="Arial"/>
                <w:szCs w:val="22"/>
                <w:lang w:eastAsia="en-US"/>
              </w:rPr>
              <w:t>Nivel</w:t>
            </w:r>
          </w:p>
        </w:tc>
        <w:tc>
          <w:tcPr>
            <w:tcW w:w="0" w:type="auto"/>
            <w:hideMark/>
          </w:tcPr>
          <w:p w14:paraId="4E8CA619" w14:textId="77777777" w:rsidR="002F3F8C" w:rsidRPr="00734D3B" w:rsidRDefault="002F3F8C" w:rsidP="002F3F8C">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Interpretación</w:t>
            </w:r>
          </w:p>
        </w:tc>
      </w:tr>
      <w:tr w:rsidR="00734D3B" w:rsidRPr="00734D3B" w14:paraId="5851FC41" w14:textId="77777777" w:rsidTr="002F3F8C">
        <w:trPr>
          <w:cnfStyle w:val="000000100000" w:firstRow="0" w:lastRow="0" w:firstColumn="0" w:lastColumn="0" w:oddVBand="0" w:evenVBand="0" w:oddHBand="1"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3355D5" w14:textId="77777777" w:rsidR="002F3F8C" w:rsidRPr="00734D3B" w:rsidRDefault="002F3F8C" w:rsidP="002F3F8C">
            <w:pPr>
              <w:spacing w:line="360" w:lineRule="auto"/>
              <w:ind w:firstLine="0"/>
              <w:jc w:val="center"/>
              <w:rPr>
                <w:rFonts w:cs="Arial"/>
                <w:szCs w:val="22"/>
                <w:lang w:eastAsia="en-US"/>
              </w:rPr>
            </w:pPr>
            <w:r w:rsidRPr="00734D3B">
              <w:rPr>
                <w:rFonts w:cs="Arial"/>
                <w:szCs w:val="22"/>
                <w:lang w:eastAsia="en-US"/>
              </w:rPr>
              <w:t>Alto</w:t>
            </w:r>
          </w:p>
        </w:tc>
        <w:tc>
          <w:tcPr>
            <w:tcW w:w="0" w:type="auto"/>
            <w:hideMark/>
          </w:tcPr>
          <w:p w14:paraId="1770AAB7" w14:textId="77777777" w:rsidR="002F3F8C" w:rsidRPr="00734D3B" w:rsidRDefault="002F3F8C"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Implementación sólida de prácticas sostenibles y bajo impacto ambiental</w:t>
            </w:r>
          </w:p>
        </w:tc>
      </w:tr>
      <w:tr w:rsidR="00734D3B" w:rsidRPr="00734D3B" w14:paraId="46DF048E" w14:textId="77777777" w:rsidTr="002F3F8C">
        <w:trPr>
          <w:trHeight w:val="71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473848" w14:textId="77777777" w:rsidR="002F3F8C" w:rsidRPr="00734D3B" w:rsidRDefault="002F3F8C" w:rsidP="002F3F8C">
            <w:pPr>
              <w:spacing w:line="360" w:lineRule="auto"/>
              <w:ind w:firstLine="0"/>
              <w:jc w:val="center"/>
              <w:rPr>
                <w:rFonts w:cs="Arial"/>
                <w:szCs w:val="22"/>
                <w:lang w:eastAsia="en-US"/>
              </w:rPr>
            </w:pPr>
            <w:r w:rsidRPr="00734D3B">
              <w:rPr>
                <w:rFonts w:cs="Arial"/>
                <w:szCs w:val="22"/>
                <w:lang w:eastAsia="en-US"/>
              </w:rPr>
              <w:t>Medio</w:t>
            </w:r>
          </w:p>
        </w:tc>
        <w:tc>
          <w:tcPr>
            <w:tcW w:w="0" w:type="auto"/>
            <w:hideMark/>
          </w:tcPr>
          <w:p w14:paraId="334706DC" w14:textId="77777777" w:rsidR="002F3F8C" w:rsidRPr="00734D3B" w:rsidRDefault="002F3F8C" w:rsidP="002F3F8C">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734D3B">
              <w:rPr>
                <w:rFonts w:cs="Arial"/>
                <w:szCs w:val="22"/>
                <w:lang w:eastAsia="en-US"/>
              </w:rPr>
              <w:t>Cumplimiento parcial de criterios ambientales</w:t>
            </w:r>
          </w:p>
        </w:tc>
      </w:tr>
      <w:tr w:rsidR="00734D3B" w:rsidRPr="00734D3B" w14:paraId="35259F76" w14:textId="77777777" w:rsidTr="002F3F8C">
        <w:trPr>
          <w:cnfStyle w:val="000000100000" w:firstRow="0" w:lastRow="0" w:firstColumn="0" w:lastColumn="0" w:oddVBand="0" w:evenVBand="0" w:oddHBand="1"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BEA53B" w14:textId="77777777" w:rsidR="002F3F8C" w:rsidRPr="00734D3B" w:rsidRDefault="002F3F8C" w:rsidP="002F3F8C">
            <w:pPr>
              <w:spacing w:line="360" w:lineRule="auto"/>
              <w:ind w:firstLine="0"/>
              <w:jc w:val="center"/>
              <w:rPr>
                <w:rFonts w:cs="Arial"/>
                <w:szCs w:val="22"/>
                <w:lang w:eastAsia="en-US"/>
              </w:rPr>
            </w:pPr>
            <w:r w:rsidRPr="00734D3B">
              <w:rPr>
                <w:rFonts w:cs="Arial"/>
                <w:szCs w:val="22"/>
                <w:lang w:eastAsia="en-US"/>
              </w:rPr>
              <w:lastRenderedPageBreak/>
              <w:t>Bajo</w:t>
            </w:r>
          </w:p>
        </w:tc>
        <w:tc>
          <w:tcPr>
            <w:tcW w:w="0" w:type="auto"/>
            <w:hideMark/>
          </w:tcPr>
          <w:p w14:paraId="50D5CCFB" w14:textId="77777777" w:rsidR="002F3F8C" w:rsidRPr="00734D3B" w:rsidRDefault="002F3F8C" w:rsidP="002F3F8C">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cs="Arial"/>
                <w:szCs w:val="22"/>
                <w:lang w:eastAsia="en-US"/>
              </w:rPr>
            </w:pPr>
            <w:r w:rsidRPr="00734D3B">
              <w:rPr>
                <w:rFonts w:cs="Arial"/>
                <w:szCs w:val="22"/>
                <w:lang w:eastAsia="en-US"/>
              </w:rPr>
              <w:t>Escasa integración de sostenibilidad en el proyecto</w:t>
            </w:r>
          </w:p>
        </w:tc>
      </w:tr>
    </w:tbl>
    <w:p w14:paraId="4A2E6712" w14:textId="7A0196A8" w:rsidR="002F3F8C" w:rsidRPr="00734D3B" w:rsidRDefault="002F3F8C" w:rsidP="002F3F8C">
      <w:pPr>
        <w:spacing w:line="240" w:lineRule="auto"/>
        <w:ind w:firstLine="0"/>
        <w:contextualSpacing/>
        <w:rPr>
          <w:rFonts w:cs="Arial"/>
          <w:szCs w:val="22"/>
        </w:rPr>
      </w:pPr>
      <w:r w:rsidRPr="00734D3B">
        <w:rPr>
          <w:rFonts w:cs="Arial"/>
          <w:i/>
          <w:iCs/>
          <w:szCs w:val="22"/>
        </w:rPr>
        <w:t>Nota</w:t>
      </w:r>
      <w:r w:rsidRPr="00734D3B">
        <w:rPr>
          <w:rFonts w:cs="Arial"/>
          <w:szCs w:val="22"/>
        </w:rPr>
        <w:t>. La Tabla 1</w:t>
      </w:r>
      <w:r w:rsidR="007E63F5" w:rsidRPr="00734D3B">
        <w:rPr>
          <w:rFonts w:cs="Arial"/>
          <w:szCs w:val="22"/>
        </w:rPr>
        <w:t>9</w:t>
      </w:r>
      <w:r w:rsidRPr="00734D3B">
        <w:rPr>
          <w:rFonts w:cs="Arial"/>
          <w:szCs w:val="22"/>
        </w:rPr>
        <w:t xml:space="preserve"> muestra los niveles de desempeño ambiental. Autoría propia.</w:t>
      </w:r>
    </w:p>
    <w:p w14:paraId="254516DA" w14:textId="77777777" w:rsidR="002F3F8C" w:rsidRPr="00734D3B" w:rsidRDefault="002F3F8C" w:rsidP="002F3F8C">
      <w:pPr>
        <w:spacing w:line="240" w:lineRule="auto"/>
        <w:ind w:firstLine="0"/>
        <w:contextualSpacing/>
        <w:rPr>
          <w:rFonts w:cs="Arial"/>
          <w:szCs w:val="22"/>
        </w:rPr>
      </w:pPr>
    </w:p>
    <w:p w14:paraId="4060766D" w14:textId="372CC8BF" w:rsidR="00122368" w:rsidRPr="00734D3B" w:rsidRDefault="00F24966" w:rsidP="00DA25B7">
      <w:pPr>
        <w:ind w:firstLine="708"/>
        <w:contextualSpacing/>
        <w:rPr>
          <w:rFonts w:cs="Arial"/>
          <w:szCs w:val="22"/>
          <w:lang w:val="es-MX"/>
        </w:rPr>
      </w:pPr>
      <w:r w:rsidRPr="00734D3B">
        <w:rPr>
          <w:rFonts w:cs="Arial"/>
          <w:szCs w:val="22"/>
          <w:lang w:val="es-MX"/>
        </w:rPr>
        <w:t xml:space="preserve">La tabla de niveles de desempeño ambiental permite interpretar de forma sencilla el grado de sostenibilidad alcanzado en los proyectos eléctricos desarrollados por los contratistas. A partir de la evaluación de los indicadores ambientales, se clasifica el desempeño del proyecto en </w:t>
      </w:r>
      <w:r w:rsidR="004B3286" w:rsidRPr="00734D3B">
        <w:rPr>
          <w:rFonts w:cs="Arial"/>
          <w:szCs w:val="22"/>
          <w:lang w:val="es-MX"/>
        </w:rPr>
        <w:t>tres</w:t>
      </w:r>
      <w:r w:rsidRPr="00734D3B">
        <w:rPr>
          <w:rFonts w:cs="Arial"/>
          <w:szCs w:val="22"/>
          <w:lang w:val="es-MX"/>
        </w:rPr>
        <w:t xml:space="preserve"> niveles que reflejan el grado de integración de prácticas sostenibles durante su ejecución.</w:t>
      </w:r>
    </w:p>
    <w:p w14:paraId="5A41EFC6" w14:textId="62B98D62" w:rsidR="00F24966" w:rsidRPr="00734D3B" w:rsidRDefault="00F24966" w:rsidP="00DA25B7">
      <w:pPr>
        <w:ind w:firstLine="708"/>
        <w:contextualSpacing/>
        <w:rPr>
          <w:rFonts w:cs="Arial"/>
          <w:szCs w:val="22"/>
          <w:lang w:val="es-MX"/>
        </w:rPr>
      </w:pPr>
      <w:r w:rsidRPr="00734D3B">
        <w:rPr>
          <w:rFonts w:cs="Arial"/>
          <w:szCs w:val="22"/>
          <w:lang w:val="es-MX"/>
        </w:rPr>
        <w:t>El nivel alto indica que el proyecto presenta una implementación sólida de práctica sostenibles, evidenciando un adecuado manejo de los recursos, cumplimiento de criterios ambientales y una reducción significativa del impacto ambiental. Este nivel refleja que el contratista ha incorporado de manera efectiva estrategias de eficiencia energética, gestión de residuos y cumplimiento de lineamientos ambientales.</w:t>
      </w:r>
    </w:p>
    <w:p w14:paraId="4C5CC371" w14:textId="79B571F4" w:rsidR="00F24966" w:rsidRPr="00734D3B" w:rsidRDefault="00F24966" w:rsidP="00DA25B7">
      <w:pPr>
        <w:ind w:firstLine="708"/>
        <w:contextualSpacing/>
        <w:rPr>
          <w:rFonts w:cs="Arial"/>
          <w:szCs w:val="22"/>
          <w:lang w:val="es-MX"/>
        </w:rPr>
      </w:pPr>
      <w:r w:rsidRPr="00734D3B">
        <w:rPr>
          <w:rFonts w:cs="Arial"/>
          <w:szCs w:val="22"/>
          <w:lang w:val="es-MX"/>
        </w:rPr>
        <w:t>El nivel medio corresponde a aquellos proyectos en los que existe un conocimiento parcial de los criterios ambientales, aunque se han implementado algunas prácticas sostenibles, aún se identifican oportunidades de mejora en aspectos como la optimización de recursos y la reducción de emisiones o el fortalecimiento de la gestión ambiental.</w:t>
      </w:r>
    </w:p>
    <w:p w14:paraId="0BFC08FE" w14:textId="2D060DAA" w:rsidR="00A062A7" w:rsidRPr="00734D3B" w:rsidRDefault="00054C38" w:rsidP="00DA25B7">
      <w:pPr>
        <w:ind w:firstLine="708"/>
        <w:contextualSpacing/>
        <w:rPr>
          <w:rFonts w:cs="Arial"/>
          <w:szCs w:val="22"/>
          <w:lang w:val="es-MX"/>
        </w:rPr>
      </w:pPr>
      <w:r w:rsidRPr="00734D3B">
        <w:rPr>
          <w:rFonts w:cs="Arial"/>
          <w:szCs w:val="22"/>
          <w:lang w:val="es-MX"/>
        </w:rPr>
        <w:t>Por último, el nivel bajo señala una escasa integración de criterios de sostenibilidad dentro del proyecto</w:t>
      </w:r>
      <w:r w:rsidR="004B3286" w:rsidRPr="00734D3B">
        <w:rPr>
          <w:rFonts w:cs="Arial"/>
          <w:szCs w:val="22"/>
          <w:lang w:val="es-MX"/>
        </w:rPr>
        <w:t>. En estos casos las prácticas ambientales son limitadas o insuficientes, lo que puede generar mayores impactos ambientales y evidencia la necesidad de implementar medidas correctivas para mejorar la gestión sostenible del proyecto.</w:t>
      </w:r>
    </w:p>
    <w:p w14:paraId="29EF5B75" w14:textId="77777777" w:rsidR="004B3286" w:rsidRPr="00734D3B" w:rsidRDefault="004B3286" w:rsidP="00C63843">
      <w:pPr>
        <w:spacing w:line="240" w:lineRule="auto"/>
        <w:ind w:firstLine="0"/>
        <w:contextualSpacing/>
        <w:jc w:val="center"/>
        <w:rPr>
          <w:rFonts w:cs="Arial"/>
          <w:b/>
          <w:bCs/>
          <w:szCs w:val="22"/>
        </w:rPr>
      </w:pPr>
    </w:p>
    <w:p w14:paraId="12E8E8F0" w14:textId="77777777" w:rsidR="007D5E04" w:rsidRPr="00734D3B" w:rsidRDefault="007D5E04">
      <w:pPr>
        <w:spacing w:line="240" w:lineRule="auto"/>
        <w:ind w:firstLine="0"/>
        <w:rPr>
          <w:rFonts w:cs="Arial"/>
          <w:b/>
          <w:bCs/>
          <w:szCs w:val="22"/>
        </w:rPr>
      </w:pPr>
      <w:r w:rsidRPr="00734D3B">
        <w:rPr>
          <w:rFonts w:cs="Arial"/>
          <w:b/>
          <w:bCs/>
          <w:szCs w:val="22"/>
        </w:rPr>
        <w:br w:type="page"/>
      </w:r>
    </w:p>
    <w:p w14:paraId="15077D5F" w14:textId="0930097E" w:rsidR="00122368" w:rsidRPr="00734D3B" w:rsidRDefault="002F3F8C" w:rsidP="00C63843">
      <w:pPr>
        <w:spacing w:line="240" w:lineRule="auto"/>
        <w:ind w:firstLine="0"/>
        <w:contextualSpacing/>
        <w:jc w:val="center"/>
        <w:rPr>
          <w:rFonts w:cs="Arial"/>
          <w:b/>
          <w:bCs/>
          <w:szCs w:val="22"/>
        </w:rPr>
      </w:pPr>
      <w:r w:rsidRPr="00734D3B">
        <w:rPr>
          <w:rFonts w:cs="Arial"/>
          <w:b/>
          <w:bCs/>
          <w:szCs w:val="22"/>
        </w:rPr>
        <w:lastRenderedPageBreak/>
        <w:t xml:space="preserve">Guia metodológica de </w:t>
      </w:r>
      <w:r w:rsidR="00C63843" w:rsidRPr="00734D3B">
        <w:rPr>
          <w:rFonts w:cs="Arial"/>
          <w:b/>
          <w:bCs/>
          <w:szCs w:val="22"/>
        </w:rPr>
        <w:t>gestión</w:t>
      </w:r>
      <w:r w:rsidRPr="00734D3B">
        <w:rPr>
          <w:rFonts w:cs="Arial"/>
          <w:b/>
          <w:bCs/>
          <w:szCs w:val="22"/>
        </w:rPr>
        <w:t xml:space="preserve"> sostenible para contratistas eléctricos en proyectos de </w:t>
      </w:r>
    </w:p>
    <w:p w14:paraId="66AFF188" w14:textId="0DF1EC6B" w:rsidR="002F3F8C" w:rsidRPr="00734D3B" w:rsidRDefault="002F3F8C" w:rsidP="00C63843">
      <w:pPr>
        <w:spacing w:line="240" w:lineRule="auto"/>
        <w:ind w:firstLine="0"/>
        <w:contextualSpacing/>
        <w:jc w:val="center"/>
        <w:rPr>
          <w:rFonts w:cs="Arial"/>
          <w:b/>
          <w:bCs/>
          <w:szCs w:val="22"/>
        </w:rPr>
      </w:pPr>
      <w:r w:rsidRPr="00734D3B">
        <w:rPr>
          <w:rFonts w:cs="Arial"/>
          <w:b/>
          <w:bCs/>
          <w:szCs w:val="22"/>
        </w:rPr>
        <w:t>data centers</w:t>
      </w:r>
    </w:p>
    <w:p w14:paraId="0A19BF32" w14:textId="77777777" w:rsidR="00C63843" w:rsidRPr="00734D3B" w:rsidRDefault="00C63843" w:rsidP="00156E22">
      <w:pPr>
        <w:spacing w:line="360" w:lineRule="auto"/>
        <w:ind w:firstLine="0"/>
        <w:contextualSpacing/>
        <w:rPr>
          <w:rFonts w:cs="Arial"/>
          <w:szCs w:val="22"/>
        </w:rPr>
      </w:pPr>
    </w:p>
    <w:p w14:paraId="2C44AAF6" w14:textId="00361B1A" w:rsidR="002F3F8C" w:rsidRPr="00734D3B" w:rsidRDefault="002F3F8C" w:rsidP="00DA25B7">
      <w:pPr>
        <w:ind w:firstLine="708"/>
        <w:contextualSpacing/>
        <w:rPr>
          <w:rFonts w:cs="Arial"/>
          <w:szCs w:val="22"/>
          <w:lang w:val="es-MX"/>
        </w:rPr>
      </w:pPr>
      <w:r w:rsidRPr="00734D3B">
        <w:rPr>
          <w:rFonts w:cs="Arial"/>
          <w:szCs w:val="22"/>
        </w:rPr>
        <w:t xml:space="preserve">La guía metodología constituye </w:t>
      </w:r>
      <w:r w:rsidR="00C63843" w:rsidRPr="00734D3B">
        <w:rPr>
          <w:rFonts w:cs="Arial"/>
          <w:szCs w:val="22"/>
          <w:lang w:val="es-MX"/>
        </w:rPr>
        <w:t xml:space="preserve">una herramienta de gestión que orienta a los contratistas eléctricos en la integración de criterios de sostenibilidad ambiental durante el desarrollo de proyectos eléctricos en centros de datos. Su propósito es facilitar la planificación, ejecución y evaluación ambiental de los proyectos, mediante un modelo estructurado que integra diagnóstico ambiental, buenas prácticas, lineamientos operativos y un sistema de indicadores de desempeño ambiental. </w:t>
      </w:r>
    </w:p>
    <w:p w14:paraId="0799BDA8" w14:textId="77777777" w:rsidR="00156E22" w:rsidRPr="00734D3B" w:rsidRDefault="00156E22" w:rsidP="002F3F8C">
      <w:pPr>
        <w:spacing w:line="240" w:lineRule="auto"/>
        <w:ind w:firstLine="0"/>
        <w:contextualSpacing/>
        <w:rPr>
          <w:rFonts w:cs="Arial"/>
          <w:szCs w:val="22"/>
        </w:rPr>
      </w:pPr>
    </w:p>
    <w:p w14:paraId="4256EC8C" w14:textId="6F17DE7C" w:rsidR="002F3F8C" w:rsidRPr="00734D3B" w:rsidRDefault="00C63843" w:rsidP="002F3F8C">
      <w:pPr>
        <w:pStyle w:val="ListParagraph"/>
        <w:spacing w:after="200"/>
        <w:ind w:left="720" w:firstLine="0"/>
        <w:rPr>
          <w:b/>
          <w:szCs w:val="18"/>
          <w:lang w:val="es-MX"/>
        </w:rPr>
      </w:pPr>
      <w:r w:rsidRPr="00734D3B">
        <w:rPr>
          <w:b/>
          <w:szCs w:val="18"/>
          <w:lang w:val="es-MX"/>
        </w:rPr>
        <w:t xml:space="preserve">Estructura de la guía </w:t>
      </w:r>
      <w:r w:rsidR="00EE678F" w:rsidRPr="00734D3B">
        <w:rPr>
          <w:b/>
          <w:szCs w:val="18"/>
          <w:lang w:val="es-MX"/>
        </w:rPr>
        <w:t>metodológica</w:t>
      </w:r>
    </w:p>
    <w:p w14:paraId="15101DB4" w14:textId="1C8DE340" w:rsidR="00C63843" w:rsidRPr="00734D3B" w:rsidRDefault="00EE678F" w:rsidP="001D692F">
      <w:pPr>
        <w:pStyle w:val="ListParagraph"/>
        <w:numPr>
          <w:ilvl w:val="1"/>
          <w:numId w:val="35"/>
        </w:numPr>
        <w:spacing w:after="200"/>
        <w:rPr>
          <w:b/>
          <w:szCs w:val="18"/>
          <w:lang w:val="es-MX"/>
        </w:rPr>
      </w:pPr>
      <w:r w:rsidRPr="00734D3B">
        <w:rPr>
          <w:b/>
          <w:szCs w:val="18"/>
          <w:lang w:val="es-MX"/>
        </w:rPr>
        <w:t>D</w:t>
      </w:r>
      <w:r w:rsidR="00C63843" w:rsidRPr="00734D3B">
        <w:rPr>
          <w:b/>
          <w:szCs w:val="18"/>
          <w:lang w:val="es-MX"/>
        </w:rPr>
        <w:t>iagnóstico ambiental del proyecto</w:t>
      </w:r>
    </w:p>
    <w:p w14:paraId="379BBCA6" w14:textId="4A1686ED" w:rsidR="00C63843" w:rsidRPr="00734D3B" w:rsidRDefault="00EE678F" w:rsidP="00DA25B7">
      <w:pPr>
        <w:spacing w:after="200"/>
        <w:rPr>
          <w:bCs/>
          <w:szCs w:val="18"/>
          <w:lang w:val="es-MX"/>
        </w:rPr>
      </w:pPr>
      <w:r w:rsidRPr="00734D3B">
        <w:rPr>
          <w:bCs/>
          <w:szCs w:val="18"/>
          <w:lang w:val="es-MX"/>
        </w:rPr>
        <w:t>E</w:t>
      </w:r>
      <w:r w:rsidR="00C63843" w:rsidRPr="00734D3B">
        <w:rPr>
          <w:bCs/>
          <w:szCs w:val="18"/>
          <w:lang w:val="es-MX"/>
        </w:rPr>
        <w:t>l diagnóstico ambiental permite identificar las condiciones iniciales del entorno del proyecto y los posibles impactos asociados a la construcción y operación de la infraestructura eléctrica.</w:t>
      </w:r>
    </w:p>
    <w:p w14:paraId="2BF8EF1C" w14:textId="0F815784" w:rsidR="00C63843" w:rsidRPr="00734D3B" w:rsidRDefault="00C63843" w:rsidP="002F3F8C">
      <w:pPr>
        <w:pStyle w:val="ListParagraph"/>
        <w:spacing w:after="200"/>
        <w:ind w:left="720" w:firstLine="0"/>
        <w:rPr>
          <w:b/>
          <w:szCs w:val="18"/>
          <w:lang w:val="es-MX"/>
        </w:rPr>
      </w:pPr>
      <w:r w:rsidRPr="00734D3B">
        <w:rPr>
          <w:b/>
          <w:szCs w:val="18"/>
          <w:lang w:val="es-MX"/>
        </w:rPr>
        <w:t>Actividades</w:t>
      </w:r>
    </w:p>
    <w:p w14:paraId="5978DCB4" w14:textId="75166D85" w:rsidR="00C63843" w:rsidRPr="00734D3B" w:rsidRDefault="006142EA" w:rsidP="001D692F">
      <w:pPr>
        <w:pStyle w:val="ListParagraph"/>
        <w:numPr>
          <w:ilvl w:val="0"/>
          <w:numId w:val="47"/>
        </w:numPr>
        <w:spacing w:after="200"/>
        <w:rPr>
          <w:bCs/>
          <w:szCs w:val="18"/>
          <w:lang w:val="es-MX"/>
        </w:rPr>
      </w:pPr>
      <w:r w:rsidRPr="00734D3B">
        <w:rPr>
          <w:bCs/>
          <w:szCs w:val="18"/>
          <w:lang w:val="es-MX"/>
        </w:rPr>
        <w:t>Identificación del área de influencia del proyecto</w:t>
      </w:r>
    </w:p>
    <w:p w14:paraId="23A3299F" w14:textId="26C26A9F" w:rsidR="00C63843" w:rsidRPr="00734D3B" w:rsidRDefault="006142EA" w:rsidP="001D692F">
      <w:pPr>
        <w:pStyle w:val="ListParagraph"/>
        <w:numPr>
          <w:ilvl w:val="0"/>
          <w:numId w:val="47"/>
        </w:numPr>
        <w:spacing w:after="200"/>
        <w:rPr>
          <w:bCs/>
          <w:szCs w:val="18"/>
          <w:lang w:val="es-MX"/>
        </w:rPr>
      </w:pPr>
      <w:r w:rsidRPr="00734D3B">
        <w:rPr>
          <w:bCs/>
          <w:szCs w:val="18"/>
          <w:lang w:val="es-MX"/>
        </w:rPr>
        <w:t>Evaluación de recursos naturales disponibles</w:t>
      </w:r>
    </w:p>
    <w:p w14:paraId="2B8055A9" w14:textId="727FA17B" w:rsidR="00C63843" w:rsidRPr="00734D3B" w:rsidRDefault="006142EA" w:rsidP="001D692F">
      <w:pPr>
        <w:pStyle w:val="ListParagraph"/>
        <w:numPr>
          <w:ilvl w:val="0"/>
          <w:numId w:val="47"/>
        </w:numPr>
        <w:spacing w:after="200"/>
        <w:rPr>
          <w:bCs/>
          <w:szCs w:val="18"/>
          <w:lang w:val="es-MX"/>
        </w:rPr>
      </w:pPr>
      <w:r w:rsidRPr="00734D3B">
        <w:rPr>
          <w:bCs/>
          <w:szCs w:val="18"/>
          <w:lang w:val="es-MX"/>
        </w:rPr>
        <w:t>Identificación de impactos ambientales potenciales</w:t>
      </w:r>
    </w:p>
    <w:p w14:paraId="4B13D23C" w14:textId="5E9E799B" w:rsidR="00C63843" w:rsidRPr="00734D3B" w:rsidRDefault="006142EA" w:rsidP="001D692F">
      <w:pPr>
        <w:pStyle w:val="ListParagraph"/>
        <w:numPr>
          <w:ilvl w:val="0"/>
          <w:numId w:val="47"/>
        </w:numPr>
        <w:spacing w:after="200"/>
        <w:rPr>
          <w:bCs/>
          <w:szCs w:val="18"/>
          <w:lang w:val="es-MX"/>
        </w:rPr>
      </w:pPr>
      <w:r w:rsidRPr="00734D3B">
        <w:rPr>
          <w:bCs/>
          <w:szCs w:val="18"/>
          <w:lang w:val="es-MX"/>
        </w:rPr>
        <w:t>Análisis de normativas ambientales aplicables</w:t>
      </w:r>
    </w:p>
    <w:p w14:paraId="2DB6B9B2" w14:textId="264447E2" w:rsidR="00C63843" w:rsidRPr="00734D3B" w:rsidRDefault="006142EA" w:rsidP="002F3F8C">
      <w:pPr>
        <w:pStyle w:val="ListParagraph"/>
        <w:spacing w:after="200"/>
        <w:ind w:left="720" w:firstLine="0"/>
        <w:rPr>
          <w:b/>
          <w:szCs w:val="18"/>
          <w:lang w:val="es-MX"/>
        </w:rPr>
      </w:pPr>
      <w:r w:rsidRPr="00734D3B">
        <w:rPr>
          <w:b/>
          <w:szCs w:val="18"/>
          <w:lang w:val="es-MX"/>
        </w:rPr>
        <w:t>H</w:t>
      </w:r>
      <w:r w:rsidR="00C63843" w:rsidRPr="00734D3B">
        <w:rPr>
          <w:b/>
          <w:szCs w:val="18"/>
          <w:lang w:val="es-MX"/>
        </w:rPr>
        <w:t>erramientas</w:t>
      </w:r>
    </w:p>
    <w:p w14:paraId="4ACCA5C3" w14:textId="33B41155" w:rsidR="00C63843" w:rsidRPr="00734D3B" w:rsidRDefault="006142EA" w:rsidP="001D692F">
      <w:pPr>
        <w:pStyle w:val="ListParagraph"/>
        <w:numPr>
          <w:ilvl w:val="0"/>
          <w:numId w:val="48"/>
        </w:numPr>
        <w:spacing w:after="200"/>
        <w:rPr>
          <w:bCs/>
          <w:szCs w:val="18"/>
          <w:lang w:val="es-MX"/>
        </w:rPr>
      </w:pPr>
      <w:r w:rsidRPr="00734D3B">
        <w:rPr>
          <w:bCs/>
          <w:szCs w:val="18"/>
          <w:lang w:val="es-MX"/>
        </w:rPr>
        <w:t>Matriz de impactos ambientales</w:t>
      </w:r>
    </w:p>
    <w:p w14:paraId="756B0FA7" w14:textId="783E94A9" w:rsidR="00C63843" w:rsidRPr="00734D3B" w:rsidRDefault="006142EA" w:rsidP="001D692F">
      <w:pPr>
        <w:pStyle w:val="ListParagraph"/>
        <w:numPr>
          <w:ilvl w:val="0"/>
          <w:numId w:val="48"/>
        </w:numPr>
        <w:spacing w:after="200"/>
        <w:rPr>
          <w:bCs/>
          <w:szCs w:val="18"/>
          <w:lang w:val="es-MX"/>
        </w:rPr>
      </w:pPr>
      <w:r w:rsidRPr="00734D3B">
        <w:rPr>
          <w:bCs/>
          <w:szCs w:val="18"/>
          <w:lang w:val="es-MX"/>
        </w:rPr>
        <w:t>Revisión normativa</w:t>
      </w:r>
    </w:p>
    <w:p w14:paraId="47F9C03B" w14:textId="2CBA6918" w:rsidR="00C63843" w:rsidRPr="00734D3B" w:rsidRDefault="006142EA" w:rsidP="001D692F">
      <w:pPr>
        <w:pStyle w:val="ListParagraph"/>
        <w:numPr>
          <w:ilvl w:val="0"/>
          <w:numId w:val="48"/>
        </w:numPr>
        <w:spacing w:after="200"/>
        <w:rPr>
          <w:bCs/>
          <w:szCs w:val="18"/>
          <w:lang w:val="es-MX"/>
        </w:rPr>
      </w:pPr>
      <w:r w:rsidRPr="00734D3B">
        <w:rPr>
          <w:bCs/>
          <w:szCs w:val="18"/>
          <w:lang w:val="es-MX"/>
        </w:rPr>
        <w:lastRenderedPageBreak/>
        <w:t xml:space="preserve">Análisis </w:t>
      </w:r>
      <w:r w:rsidR="00C63843" w:rsidRPr="00734D3B">
        <w:rPr>
          <w:bCs/>
          <w:szCs w:val="18"/>
          <w:lang w:val="es-MX"/>
        </w:rPr>
        <w:t>comparativo de proyectos similares</w:t>
      </w:r>
    </w:p>
    <w:p w14:paraId="7A4D0840" w14:textId="4F563FE5" w:rsidR="004F26B6" w:rsidRPr="00734D3B" w:rsidRDefault="004F26B6" w:rsidP="004F26B6">
      <w:pPr>
        <w:spacing w:after="200"/>
        <w:rPr>
          <w:bCs/>
          <w:szCs w:val="18"/>
          <w:lang w:val="es-MX"/>
        </w:rPr>
      </w:pPr>
      <w:r w:rsidRPr="00734D3B">
        <w:rPr>
          <w:bCs/>
          <w:szCs w:val="18"/>
          <w:lang w:val="es-MX"/>
        </w:rPr>
        <w:t>El diagnóstico ambiental del proyecto permite identificar las condiciones iniciales del entorno y los posibles impactos derivados de la construcción y operación de la infraestructura eléctrica. Este proceso inicia con la delimitación del área de influencia, lo cual implica definir con precisión el espacio donde se desarrollará el proyecto y las zonas circundantes que podrían verse afectadas. Para llevar a cabo esta delimitación de forma efectiva, se recomienda el uso de planos técnicos, herramientas de georreferenciación o sistemas de información geográfica, así como la verificación en campo para validar las condiciones reales del sitio.</w:t>
      </w:r>
    </w:p>
    <w:p w14:paraId="72ECE4AA" w14:textId="15FD3EFA" w:rsidR="004F26B6" w:rsidRPr="00734D3B" w:rsidRDefault="004F26B6" w:rsidP="004F26B6">
      <w:pPr>
        <w:spacing w:after="200"/>
        <w:rPr>
          <w:bCs/>
          <w:szCs w:val="18"/>
          <w:lang w:val="es-MX"/>
        </w:rPr>
      </w:pPr>
      <w:r w:rsidRPr="00734D3B">
        <w:rPr>
          <w:bCs/>
          <w:szCs w:val="18"/>
          <w:lang w:val="es-MX"/>
        </w:rPr>
        <w:t>Seguidamente se realiza la evaluación de los recursos naturales disponibles, mediante el levantamiento de la línea base ambiental que contemple aspectos como calidad del aire, disponibilidad del agua, y características del suelo y presencia de biodiversidad. Este análisis debe desarrollarse a través de visitas técnicas, registros fotográficos y recopilación de información secundaria, procurando utilizar formatos estandarizados que faciliten la sistematización de datos. Como recomendación práctica, se puede apoyar en listas de chequeo que permitan asegurar que ninguna variable relevante quede fuera del análisis.</w:t>
      </w:r>
    </w:p>
    <w:p w14:paraId="6C84F5A1" w14:textId="06F4D950" w:rsidR="004F26B6" w:rsidRPr="00734D3B" w:rsidRDefault="004F26B6" w:rsidP="004F26B6">
      <w:pPr>
        <w:spacing w:after="200"/>
        <w:rPr>
          <w:bCs/>
          <w:szCs w:val="18"/>
          <w:lang w:val="es-MX"/>
        </w:rPr>
      </w:pPr>
      <w:r w:rsidRPr="00734D3B">
        <w:rPr>
          <w:bCs/>
          <w:szCs w:val="18"/>
          <w:lang w:val="es-MX"/>
        </w:rPr>
        <w:t>Posteriormente se procede a la identificación de los impactos ambientales potenciales, para lo cual se analizan detalladamente las actividades propias del proyecto eléctrico, tales como la instalación del cableado el montaje de equipos, la operación de sistemas energéticos y la generación de residuos. A partir de esta relación actividad impacto se sugiere utilizar matrices de impactos ambientales que permitan clasificar y priorizar los efectos según su magnitud, duración y nivel de afectación, facilitando así la toma de decisiones.</w:t>
      </w:r>
    </w:p>
    <w:p w14:paraId="41A0CECB" w14:textId="55917CE6" w:rsidR="004F26B6" w:rsidRPr="00734D3B" w:rsidRDefault="004F26B6" w:rsidP="004F26B6">
      <w:pPr>
        <w:spacing w:after="200"/>
        <w:rPr>
          <w:bCs/>
          <w:szCs w:val="18"/>
          <w:lang w:val="es-MX"/>
        </w:rPr>
      </w:pPr>
      <w:r w:rsidRPr="00734D3B">
        <w:rPr>
          <w:bCs/>
          <w:szCs w:val="18"/>
          <w:lang w:val="es-MX"/>
        </w:rPr>
        <w:t xml:space="preserve">Finalmente, se realiza el análisis de la normativa ambiental aplicable, identificando leyes reglamentos y permisos requeridos tanto a nivel local como internacional. En este punto, es </w:t>
      </w:r>
      <w:r w:rsidRPr="00734D3B">
        <w:rPr>
          <w:bCs/>
          <w:szCs w:val="18"/>
          <w:lang w:val="es-MX"/>
        </w:rPr>
        <w:lastRenderedPageBreak/>
        <w:t>recomendable elaborar un cuadro comparativo de cumplimiento normativo que permita verificar de forma clara las obligaciones legales del proyecto. Como buena práctica se sugiere además revisar experiencias de proyectos similares, lo cual puede aportar criterios adicionales para anticipar riesgos y fortalecer el diagnóstico.</w:t>
      </w:r>
    </w:p>
    <w:p w14:paraId="3BCEAC97" w14:textId="480F3690" w:rsidR="00C63843" w:rsidRPr="00734D3B" w:rsidRDefault="00C63843" w:rsidP="001D692F">
      <w:pPr>
        <w:pStyle w:val="ListParagraph"/>
        <w:numPr>
          <w:ilvl w:val="0"/>
          <w:numId w:val="34"/>
        </w:numPr>
        <w:spacing w:after="200"/>
        <w:rPr>
          <w:b/>
          <w:szCs w:val="18"/>
        </w:rPr>
      </w:pPr>
      <w:r w:rsidRPr="00734D3B">
        <w:rPr>
          <w:b/>
          <w:szCs w:val="18"/>
          <w:lang w:val="es-MX"/>
        </w:rPr>
        <w:t>identificación de buenas prácticas sostenibles</w:t>
      </w:r>
    </w:p>
    <w:p w14:paraId="2B536A5E" w14:textId="76D46472" w:rsidR="00C63843" w:rsidRPr="00734D3B" w:rsidRDefault="00C63843" w:rsidP="00DA25B7">
      <w:pPr>
        <w:spacing w:after="200"/>
        <w:ind w:left="360" w:firstLine="348"/>
        <w:rPr>
          <w:bCs/>
          <w:szCs w:val="18"/>
          <w:lang w:val="es-MX"/>
        </w:rPr>
      </w:pPr>
      <w:r w:rsidRPr="00734D3B">
        <w:rPr>
          <w:bCs/>
          <w:szCs w:val="18"/>
          <w:lang w:val="es-MX"/>
        </w:rPr>
        <w:t>En esta etapa se identifican y aplican prácticas que contribuyen a minimizar los impactos ambientales. Algun</w:t>
      </w:r>
      <w:r w:rsidR="00BE17A9" w:rsidRPr="00734D3B">
        <w:rPr>
          <w:bCs/>
          <w:szCs w:val="18"/>
          <w:lang w:val="es-MX"/>
        </w:rPr>
        <w:t>a</w:t>
      </w:r>
      <w:r w:rsidRPr="00734D3B">
        <w:rPr>
          <w:bCs/>
          <w:szCs w:val="18"/>
          <w:lang w:val="es-MX"/>
        </w:rPr>
        <w:t>s de l</w:t>
      </w:r>
      <w:r w:rsidR="00BE17A9" w:rsidRPr="00734D3B">
        <w:rPr>
          <w:bCs/>
          <w:szCs w:val="18"/>
          <w:lang w:val="es-MX"/>
        </w:rPr>
        <w:t>a</w:t>
      </w:r>
      <w:r w:rsidRPr="00734D3B">
        <w:rPr>
          <w:bCs/>
          <w:szCs w:val="18"/>
          <w:lang w:val="es-MX"/>
        </w:rPr>
        <w:t>s buen</w:t>
      </w:r>
      <w:r w:rsidR="00BE17A9" w:rsidRPr="00734D3B">
        <w:rPr>
          <w:bCs/>
          <w:szCs w:val="18"/>
          <w:lang w:val="es-MX"/>
        </w:rPr>
        <w:t>a</w:t>
      </w:r>
      <w:r w:rsidRPr="00734D3B">
        <w:rPr>
          <w:bCs/>
          <w:szCs w:val="18"/>
          <w:lang w:val="es-MX"/>
        </w:rPr>
        <w:t>s prácticas recomendadas son la eficiencia energética: que consiste en el uso de equipos eléctricos de alta eficiencia, integración de energías renovables, y optimización de sistemas de distribución eléctrica.</w:t>
      </w:r>
    </w:p>
    <w:p w14:paraId="14DAEEE4" w14:textId="261B4F89" w:rsidR="00C63843" w:rsidRPr="00734D3B" w:rsidRDefault="00C63843" w:rsidP="00C63843">
      <w:pPr>
        <w:spacing w:after="200"/>
        <w:ind w:left="360" w:firstLine="0"/>
        <w:rPr>
          <w:b/>
          <w:szCs w:val="18"/>
          <w:lang w:val="es-MX"/>
        </w:rPr>
      </w:pPr>
      <w:r w:rsidRPr="00734D3B">
        <w:rPr>
          <w:b/>
          <w:szCs w:val="18"/>
          <w:lang w:val="es-MX"/>
        </w:rPr>
        <w:t>La gestión del agua</w:t>
      </w:r>
    </w:p>
    <w:p w14:paraId="6C8BE317" w14:textId="12EE6A21" w:rsidR="00C63843" w:rsidRPr="00734D3B" w:rsidRDefault="00E202D6" w:rsidP="00C63843">
      <w:pPr>
        <w:spacing w:after="200"/>
        <w:ind w:left="360" w:firstLine="0"/>
        <w:rPr>
          <w:bCs/>
          <w:szCs w:val="18"/>
          <w:lang w:val="es-MX"/>
        </w:rPr>
      </w:pPr>
      <w:r w:rsidRPr="00734D3B">
        <w:rPr>
          <w:bCs/>
          <w:szCs w:val="18"/>
          <w:lang w:val="es-MX"/>
        </w:rPr>
        <w:t xml:space="preserve">Implementación </w:t>
      </w:r>
      <w:r w:rsidR="00C63843" w:rsidRPr="00734D3B">
        <w:rPr>
          <w:bCs/>
          <w:szCs w:val="18"/>
          <w:lang w:val="es-MX"/>
        </w:rPr>
        <w:t>de tecnologías de enfriamiento eficiente</w:t>
      </w:r>
    </w:p>
    <w:p w14:paraId="17888582" w14:textId="08C22390" w:rsidR="00C63843" w:rsidRPr="00734D3B" w:rsidRDefault="00E202D6" w:rsidP="00C63843">
      <w:pPr>
        <w:spacing w:after="200"/>
        <w:ind w:left="360" w:firstLine="0"/>
        <w:rPr>
          <w:bCs/>
          <w:szCs w:val="18"/>
          <w:lang w:val="es-MX"/>
        </w:rPr>
      </w:pPr>
      <w:r w:rsidRPr="00734D3B">
        <w:rPr>
          <w:bCs/>
          <w:szCs w:val="18"/>
          <w:lang w:val="es-MX"/>
        </w:rPr>
        <w:t xml:space="preserve">Reutilización </w:t>
      </w:r>
      <w:r w:rsidR="00C63843" w:rsidRPr="00734D3B">
        <w:rPr>
          <w:bCs/>
          <w:szCs w:val="18"/>
          <w:lang w:val="es-MX"/>
        </w:rPr>
        <w:t>del agua en sistemas industriales</w:t>
      </w:r>
    </w:p>
    <w:p w14:paraId="5452246F" w14:textId="5EF476FA" w:rsidR="00C63843" w:rsidRPr="00734D3B" w:rsidRDefault="00E202D6" w:rsidP="00C63843">
      <w:pPr>
        <w:spacing w:after="200"/>
        <w:ind w:left="360" w:firstLine="0"/>
        <w:rPr>
          <w:b/>
          <w:szCs w:val="18"/>
          <w:lang w:val="es-MX"/>
        </w:rPr>
      </w:pPr>
      <w:r w:rsidRPr="00734D3B">
        <w:rPr>
          <w:b/>
          <w:szCs w:val="18"/>
          <w:lang w:val="es-MX"/>
        </w:rPr>
        <w:t xml:space="preserve">Gestión </w:t>
      </w:r>
      <w:r w:rsidR="00C63843" w:rsidRPr="00734D3B">
        <w:rPr>
          <w:b/>
          <w:szCs w:val="18"/>
          <w:lang w:val="es-MX"/>
        </w:rPr>
        <w:t>de residuos</w:t>
      </w:r>
    </w:p>
    <w:p w14:paraId="5FA8F495" w14:textId="0868E699" w:rsidR="00AC0D80" w:rsidRPr="00734D3B" w:rsidRDefault="00E202D6" w:rsidP="007D5E04">
      <w:pPr>
        <w:spacing w:after="200"/>
        <w:ind w:left="360" w:firstLine="0"/>
        <w:rPr>
          <w:bCs/>
          <w:szCs w:val="18"/>
          <w:lang w:val="es-MX"/>
        </w:rPr>
      </w:pPr>
      <w:r w:rsidRPr="00734D3B">
        <w:rPr>
          <w:bCs/>
          <w:szCs w:val="18"/>
          <w:lang w:val="es-MX"/>
        </w:rPr>
        <w:t xml:space="preserve">Reciclaje </w:t>
      </w:r>
      <w:r w:rsidR="00C63843" w:rsidRPr="00734D3B">
        <w:rPr>
          <w:bCs/>
          <w:szCs w:val="18"/>
          <w:lang w:val="es-MX"/>
        </w:rPr>
        <w:t>de cableado y materiales eléctricos, así como el manejo adecuado de baterías y componentes electrónicos</w:t>
      </w:r>
      <w:r w:rsidR="00AC0D80" w:rsidRPr="00734D3B">
        <w:rPr>
          <w:bCs/>
          <w:szCs w:val="18"/>
          <w:lang w:val="es-MX"/>
        </w:rPr>
        <w:t>.</w:t>
      </w:r>
    </w:p>
    <w:p w14:paraId="5EC6AC0A" w14:textId="4F48769D" w:rsidR="00C63843" w:rsidRPr="00734D3B" w:rsidRDefault="00E202D6" w:rsidP="00C63843">
      <w:pPr>
        <w:spacing w:after="200"/>
        <w:ind w:left="360" w:firstLine="0"/>
        <w:rPr>
          <w:b/>
          <w:szCs w:val="18"/>
          <w:lang w:val="es-MX"/>
        </w:rPr>
      </w:pPr>
      <w:r w:rsidRPr="00734D3B">
        <w:rPr>
          <w:b/>
          <w:szCs w:val="18"/>
          <w:lang w:val="es-MX"/>
        </w:rPr>
        <w:t xml:space="preserve">Diseño </w:t>
      </w:r>
      <w:r w:rsidR="00C63843" w:rsidRPr="00734D3B">
        <w:rPr>
          <w:b/>
          <w:szCs w:val="18"/>
          <w:lang w:val="es-MX"/>
        </w:rPr>
        <w:t>sostenible</w:t>
      </w:r>
    </w:p>
    <w:p w14:paraId="05AB8CCA" w14:textId="2968295D" w:rsidR="00C63843" w:rsidRPr="00734D3B" w:rsidRDefault="00E202D6" w:rsidP="00C63843">
      <w:pPr>
        <w:spacing w:after="200"/>
        <w:ind w:left="360" w:firstLine="0"/>
        <w:rPr>
          <w:bCs/>
          <w:szCs w:val="18"/>
          <w:lang w:val="es-MX"/>
        </w:rPr>
      </w:pPr>
      <w:r w:rsidRPr="00734D3B">
        <w:rPr>
          <w:bCs/>
          <w:szCs w:val="18"/>
          <w:lang w:val="es-MX"/>
        </w:rPr>
        <w:t xml:space="preserve">La </w:t>
      </w:r>
      <w:r w:rsidR="00C63843" w:rsidRPr="00734D3B">
        <w:rPr>
          <w:bCs/>
          <w:szCs w:val="18"/>
          <w:lang w:val="es-MX"/>
        </w:rPr>
        <w:t>optimización del diseño eléctrico para reducir pérdidas energéticas y el uso de materiales con certificación ambiental.</w:t>
      </w:r>
    </w:p>
    <w:p w14:paraId="6EDAD887" w14:textId="0C8A4974" w:rsidR="00ED2601" w:rsidRPr="00734D3B" w:rsidRDefault="004F26B6" w:rsidP="00C63843">
      <w:pPr>
        <w:spacing w:after="200"/>
        <w:ind w:left="360" w:firstLine="0"/>
        <w:rPr>
          <w:bCs/>
          <w:szCs w:val="18"/>
          <w:lang w:val="es-MX"/>
        </w:rPr>
      </w:pPr>
      <w:r w:rsidRPr="00734D3B">
        <w:rPr>
          <w:bCs/>
          <w:szCs w:val="18"/>
          <w:lang w:val="es-MX"/>
        </w:rPr>
        <w:t xml:space="preserve">En esta etapa se identifican y seleccionan aquellas prácticas que permitan minimizar los impactos ambientales previamente detectados. Para ello, se inicia con una evaluación de alternativas tecnológicas disponibles en el mercado, comparando equipos y sistemas </w:t>
      </w:r>
      <w:r w:rsidRPr="00734D3B">
        <w:rPr>
          <w:bCs/>
          <w:szCs w:val="18"/>
          <w:lang w:val="es-MX"/>
        </w:rPr>
        <w:lastRenderedPageBreak/>
        <w:t>eléctricos en función de su eficiencia energética, vida útil y nivel de impacto ambiental. Este análisis debe considerar no sólo el costo inicial, sino también el costo operativo y el consumo energético a largo plazo, especialmente relevante en proyectos de centros de datos que operan de manera continua.</w:t>
      </w:r>
    </w:p>
    <w:p w14:paraId="56B92DC3" w14:textId="2F94AC06" w:rsidR="004F26B6" w:rsidRPr="00734D3B" w:rsidRDefault="004F26B6" w:rsidP="00C63843">
      <w:pPr>
        <w:spacing w:after="200"/>
        <w:ind w:left="360" w:firstLine="0"/>
        <w:rPr>
          <w:bCs/>
          <w:szCs w:val="18"/>
          <w:lang w:val="es-MX"/>
        </w:rPr>
      </w:pPr>
      <w:r w:rsidRPr="00734D3B">
        <w:rPr>
          <w:bCs/>
          <w:szCs w:val="18"/>
          <w:lang w:val="es-MX"/>
        </w:rPr>
        <w:t>Dentro de las principales buenas prácticas, destaca la eficiencia energética, la cual se logra mediante el uso de equipos de alta eficiencia, la optimización de los sistemas de distribución eléctrica y la integración de fuentes de energía renovables cuando sea visible. Como recomendación, se sugiere priorizar tecnologías certificadas y reducir las pérdidas energéticas mediante un diseño adecuado de circuitos eléctricos.</w:t>
      </w:r>
    </w:p>
    <w:p w14:paraId="688068CF" w14:textId="6BA6AC93" w:rsidR="004F26B6" w:rsidRPr="00734D3B" w:rsidRDefault="004F26B6" w:rsidP="00C63843">
      <w:pPr>
        <w:spacing w:after="200"/>
        <w:ind w:left="360" w:firstLine="0"/>
        <w:rPr>
          <w:bCs/>
          <w:szCs w:val="18"/>
          <w:lang w:val="es-MX"/>
        </w:rPr>
      </w:pPr>
      <w:r w:rsidRPr="00734D3B">
        <w:rPr>
          <w:bCs/>
          <w:szCs w:val="18"/>
          <w:lang w:val="es-MX"/>
        </w:rPr>
        <w:t>En cuanto a la gestión del agua, se promueve la implementación de tecnologías de enfriamiento eficiente y la reutilización del recurso en sistemas industriales. Una estrategia efectiva consiste en el uso de sistemas de recirculación o circuitos cerrados, que permiten disminuir significativamente el consumo hídrico.</w:t>
      </w:r>
    </w:p>
    <w:p w14:paraId="0E200152" w14:textId="5A51A8D7" w:rsidR="004F26B6" w:rsidRPr="00734D3B" w:rsidRDefault="004F26B6" w:rsidP="00C63843">
      <w:pPr>
        <w:spacing w:after="200"/>
        <w:ind w:left="360" w:firstLine="0"/>
        <w:rPr>
          <w:bCs/>
          <w:szCs w:val="18"/>
          <w:lang w:val="es-MX"/>
        </w:rPr>
      </w:pPr>
      <w:r w:rsidRPr="00734D3B">
        <w:rPr>
          <w:bCs/>
          <w:szCs w:val="18"/>
          <w:lang w:val="es-MX"/>
        </w:rPr>
        <w:t>La gestión de recursos se enfoca en la correcta clasificación, almacenamiento y disposición de materiales como cableado, componentes eléctricos y baterías. Para su adecuada implementación, se recomienda establecer puntos de acopio diferenciados dentro del sitio de obra y coordinar con gestores autorizados para el tratamiento de residuos peligrosos.</w:t>
      </w:r>
    </w:p>
    <w:p w14:paraId="383233F4" w14:textId="116ABA5E" w:rsidR="004F26B6" w:rsidRPr="00734D3B" w:rsidRDefault="004F26B6" w:rsidP="00C63843">
      <w:pPr>
        <w:spacing w:after="200"/>
        <w:ind w:left="360" w:firstLine="0"/>
        <w:rPr>
          <w:bCs/>
          <w:szCs w:val="18"/>
          <w:lang w:val="es-MX"/>
        </w:rPr>
      </w:pPr>
      <w:r w:rsidRPr="00734D3B">
        <w:rPr>
          <w:bCs/>
          <w:szCs w:val="18"/>
          <w:lang w:val="es-MX"/>
        </w:rPr>
        <w:t>Por su parte, el diseño sostenible busca optimizar el sistema eléctrico desde su concepción, reduciendo pérdidas energéticas y promoviendo el uso de materiales con certificación ambiental. Como buena práctica se recomienda minimizar las distancias de cableado y seleccionar materiales que cumplan con estándares internacionales de sostenibilidad.</w:t>
      </w:r>
    </w:p>
    <w:p w14:paraId="0317D48D" w14:textId="77777777" w:rsidR="007E63F5" w:rsidRPr="00734D3B" w:rsidRDefault="007E63F5" w:rsidP="00C63843">
      <w:pPr>
        <w:spacing w:after="200"/>
        <w:ind w:left="360" w:firstLine="0"/>
        <w:rPr>
          <w:bCs/>
          <w:szCs w:val="18"/>
          <w:lang w:val="es-MX"/>
        </w:rPr>
      </w:pPr>
    </w:p>
    <w:p w14:paraId="2D59BA3F" w14:textId="77777777" w:rsidR="007E63F5" w:rsidRPr="00734D3B" w:rsidRDefault="007E63F5" w:rsidP="00C63843">
      <w:pPr>
        <w:spacing w:after="200"/>
        <w:ind w:left="360" w:firstLine="0"/>
        <w:rPr>
          <w:bCs/>
          <w:szCs w:val="18"/>
          <w:lang w:val="es-MX"/>
        </w:rPr>
      </w:pPr>
    </w:p>
    <w:p w14:paraId="28ED2437" w14:textId="73A41A33" w:rsidR="00C63843" w:rsidRPr="00734D3B" w:rsidRDefault="00C63843" w:rsidP="001D692F">
      <w:pPr>
        <w:pStyle w:val="ListParagraph"/>
        <w:numPr>
          <w:ilvl w:val="0"/>
          <w:numId w:val="34"/>
        </w:numPr>
        <w:spacing w:after="200"/>
        <w:rPr>
          <w:b/>
          <w:szCs w:val="18"/>
        </w:rPr>
      </w:pPr>
      <w:r w:rsidRPr="00734D3B">
        <w:rPr>
          <w:b/>
          <w:szCs w:val="18"/>
          <w:lang w:val="es-MX"/>
        </w:rPr>
        <w:lastRenderedPageBreak/>
        <w:t>Lineamientos operativos de gestión sostenible</w:t>
      </w:r>
    </w:p>
    <w:p w14:paraId="594D49A6" w14:textId="458523E2" w:rsidR="00C63843" w:rsidRPr="00734D3B" w:rsidRDefault="00ED2601" w:rsidP="00DA25B7">
      <w:pPr>
        <w:spacing w:after="200"/>
        <w:rPr>
          <w:bCs/>
          <w:szCs w:val="18"/>
          <w:lang w:val="es-MX"/>
        </w:rPr>
      </w:pPr>
      <w:r w:rsidRPr="00734D3B">
        <w:rPr>
          <w:bCs/>
          <w:szCs w:val="18"/>
          <w:lang w:val="es-MX"/>
        </w:rPr>
        <w:t>L</w:t>
      </w:r>
      <w:r w:rsidR="00C63843" w:rsidRPr="00734D3B">
        <w:rPr>
          <w:bCs/>
          <w:szCs w:val="18"/>
          <w:lang w:val="es-MX"/>
        </w:rPr>
        <w:t xml:space="preserve">os lineamientos operativos establecen criterios que deben seguir los contratistas eléctricos para garantizar la sostenibilidad del proyecto. Dentro de los lineamientos técnicos se encuentra la implementación de sistemas eléctricos eficientes y la reducción de pérdidas energéticas en distribución. Por otro </w:t>
      </w:r>
      <w:proofErr w:type="gramStart"/>
      <w:r w:rsidR="00C63843" w:rsidRPr="00734D3B">
        <w:rPr>
          <w:bCs/>
          <w:szCs w:val="18"/>
          <w:lang w:val="es-MX"/>
        </w:rPr>
        <w:t>lado</w:t>
      </w:r>
      <w:proofErr w:type="gramEnd"/>
      <w:r w:rsidR="00C63843" w:rsidRPr="00734D3B">
        <w:rPr>
          <w:bCs/>
          <w:szCs w:val="18"/>
          <w:lang w:val="es-MX"/>
        </w:rPr>
        <w:t xml:space="preserve"> los lineamientos ambientales están relacionados con el cumplimiento de normativas ambientales federales y estatales, además, de la implementación de planes de manejo ambiental.</w:t>
      </w:r>
    </w:p>
    <w:p w14:paraId="1C48AE22" w14:textId="1322D62B" w:rsidR="00C63843" w:rsidRPr="00734D3B" w:rsidRDefault="00C63843" w:rsidP="00DA25B7">
      <w:pPr>
        <w:spacing w:after="200"/>
        <w:rPr>
          <w:bCs/>
          <w:szCs w:val="18"/>
          <w:lang w:val="es-MX"/>
        </w:rPr>
      </w:pPr>
      <w:r w:rsidRPr="00734D3B">
        <w:rPr>
          <w:bCs/>
          <w:szCs w:val="18"/>
          <w:lang w:val="es-MX"/>
        </w:rPr>
        <w:t xml:space="preserve">Los lineamientos de </w:t>
      </w:r>
      <w:r w:rsidR="00156E22" w:rsidRPr="00734D3B">
        <w:rPr>
          <w:bCs/>
          <w:szCs w:val="18"/>
          <w:lang w:val="es-MX"/>
        </w:rPr>
        <w:t>gestión</w:t>
      </w:r>
      <w:r w:rsidRPr="00734D3B">
        <w:rPr>
          <w:bCs/>
          <w:szCs w:val="18"/>
          <w:lang w:val="es-MX"/>
        </w:rPr>
        <w:t xml:space="preserve"> se enfocan en la capacitación del personal en sostenibilidad supervisión ambiental y durante la ejecución del proyecto.</w:t>
      </w:r>
    </w:p>
    <w:p w14:paraId="2D12EC71" w14:textId="0BADF0E6" w:rsidR="004F26B6" w:rsidRPr="00734D3B" w:rsidRDefault="004F26B6" w:rsidP="00DA25B7">
      <w:pPr>
        <w:spacing w:after="200"/>
        <w:rPr>
          <w:bCs/>
          <w:szCs w:val="18"/>
          <w:lang w:val="es-MX"/>
        </w:rPr>
      </w:pPr>
      <w:r w:rsidRPr="00734D3B">
        <w:rPr>
          <w:bCs/>
          <w:szCs w:val="18"/>
          <w:lang w:val="es-MX"/>
        </w:rPr>
        <w:t>En paralelo, se elaboran planes de gestión ambiental que incluyen, entre otros, el manejo de residuos, el control de emisiones y la gestión de sustancias peligrosas. Estos planes deben estar claramente documentados y alineados con la normativa vigente.</w:t>
      </w:r>
    </w:p>
    <w:p w14:paraId="20122211" w14:textId="493E603F" w:rsidR="004F26B6" w:rsidRPr="00734D3B" w:rsidRDefault="004F26B6" w:rsidP="00DA25B7">
      <w:pPr>
        <w:spacing w:after="200"/>
        <w:rPr>
          <w:bCs/>
          <w:szCs w:val="18"/>
          <w:lang w:val="es-MX"/>
        </w:rPr>
      </w:pPr>
      <w:r w:rsidRPr="00734D3B">
        <w:rPr>
          <w:bCs/>
          <w:szCs w:val="18"/>
          <w:lang w:val="es-MX"/>
        </w:rPr>
        <w:t>En elemento clave en esta etapa es la capacitación del personal, la cual debe enfocarse en la sensibilización sobre prácticas sostenibles y en la correcta aplicación de los procedimientos establecidos. Como recomendación, se sugiere realizar capacitaciones periódicas y charlas breves en sitio, qué refuerzo los conocimientos del equipo de trabajo.</w:t>
      </w:r>
    </w:p>
    <w:p w14:paraId="722D9B2F" w14:textId="151695E3" w:rsidR="004F26B6" w:rsidRPr="00734D3B" w:rsidRDefault="004F26B6" w:rsidP="00DA25B7">
      <w:pPr>
        <w:spacing w:after="200"/>
        <w:rPr>
          <w:bCs/>
          <w:szCs w:val="18"/>
          <w:lang w:val="es-MX"/>
        </w:rPr>
      </w:pPr>
      <w:r w:rsidRPr="00734D3B">
        <w:rPr>
          <w:bCs/>
          <w:szCs w:val="18"/>
          <w:lang w:val="es-MX"/>
        </w:rPr>
        <w:t xml:space="preserve">Asimismo, se establece un sistema de supervisión ambiental durante la ejecución del proyecto, asignando responsables específicos que velen por el cumplimiento de los </w:t>
      </w:r>
      <w:r w:rsidR="00AC0D80" w:rsidRPr="00734D3B">
        <w:rPr>
          <w:bCs/>
          <w:szCs w:val="18"/>
          <w:lang w:val="es-MX"/>
        </w:rPr>
        <w:t>l</w:t>
      </w:r>
      <w:r w:rsidRPr="00734D3B">
        <w:rPr>
          <w:bCs/>
          <w:szCs w:val="18"/>
          <w:lang w:val="es-MX"/>
        </w:rPr>
        <w:t>ineamientos. Como buena práctica resulta fundamental documentar todas las actividades realizadas, ya que esto facilita procesos de auditoría y evaluación posterior.</w:t>
      </w:r>
    </w:p>
    <w:p w14:paraId="5E67BB3F" w14:textId="77777777" w:rsidR="007E63F5" w:rsidRPr="00734D3B" w:rsidRDefault="007E63F5" w:rsidP="00DA25B7">
      <w:pPr>
        <w:spacing w:after="200"/>
        <w:rPr>
          <w:bCs/>
          <w:szCs w:val="18"/>
          <w:lang w:val="es-MX"/>
        </w:rPr>
      </w:pPr>
    </w:p>
    <w:p w14:paraId="7A3A2C30" w14:textId="77777777" w:rsidR="007E63F5" w:rsidRPr="00734D3B" w:rsidRDefault="007E63F5" w:rsidP="00DA25B7">
      <w:pPr>
        <w:spacing w:after="200"/>
        <w:rPr>
          <w:bCs/>
          <w:szCs w:val="18"/>
          <w:lang w:val="es-MX"/>
        </w:rPr>
      </w:pPr>
    </w:p>
    <w:p w14:paraId="4BD3674C" w14:textId="4A47B143" w:rsidR="00C63843" w:rsidRPr="00734D3B" w:rsidRDefault="00C63843" w:rsidP="001D692F">
      <w:pPr>
        <w:pStyle w:val="ListParagraph"/>
        <w:numPr>
          <w:ilvl w:val="0"/>
          <w:numId w:val="34"/>
        </w:numPr>
        <w:spacing w:after="200"/>
        <w:rPr>
          <w:b/>
          <w:szCs w:val="18"/>
        </w:rPr>
      </w:pPr>
      <w:r w:rsidRPr="00734D3B">
        <w:rPr>
          <w:b/>
          <w:szCs w:val="18"/>
          <w:lang w:val="es-MX"/>
        </w:rPr>
        <w:lastRenderedPageBreak/>
        <w:t>Implementación de sistema de indicadores (KPI)</w:t>
      </w:r>
    </w:p>
    <w:p w14:paraId="27F13AD9" w14:textId="5F510BD0" w:rsidR="00C63843" w:rsidRPr="00734D3B" w:rsidRDefault="00ED2601" w:rsidP="00DA25B7">
      <w:pPr>
        <w:spacing w:after="200"/>
        <w:rPr>
          <w:bCs/>
          <w:szCs w:val="18"/>
          <w:lang w:val="es-MX"/>
        </w:rPr>
      </w:pPr>
      <w:r w:rsidRPr="00734D3B">
        <w:rPr>
          <w:bCs/>
          <w:szCs w:val="18"/>
          <w:lang w:val="es-MX"/>
        </w:rPr>
        <w:t>E</w:t>
      </w:r>
      <w:r w:rsidR="00C63843" w:rsidRPr="00734D3B">
        <w:rPr>
          <w:bCs/>
          <w:szCs w:val="18"/>
          <w:lang w:val="es-MX"/>
        </w:rPr>
        <w:t xml:space="preserve">n esta etapa se aplican los indicadores para evaluar el desempeño ambiental del proyecto. Dentro de las actividades a seguir se encuentran las siguientes: </w:t>
      </w:r>
    </w:p>
    <w:p w14:paraId="757ACBFE" w14:textId="72013617" w:rsidR="00C63843" w:rsidRPr="00734D3B" w:rsidRDefault="00ED2601" w:rsidP="001D692F">
      <w:pPr>
        <w:pStyle w:val="ListParagraph"/>
        <w:numPr>
          <w:ilvl w:val="0"/>
          <w:numId w:val="49"/>
        </w:numPr>
        <w:spacing w:after="200"/>
        <w:rPr>
          <w:bCs/>
          <w:szCs w:val="18"/>
          <w:lang w:val="es-MX"/>
        </w:rPr>
      </w:pPr>
      <w:r w:rsidRPr="00734D3B">
        <w:rPr>
          <w:bCs/>
          <w:szCs w:val="18"/>
          <w:lang w:val="es-MX"/>
        </w:rPr>
        <w:t>Recolección de datos ambientales</w:t>
      </w:r>
    </w:p>
    <w:p w14:paraId="20D7EE46" w14:textId="12DECF71" w:rsidR="00C63843" w:rsidRPr="00734D3B" w:rsidRDefault="00ED2601" w:rsidP="001D692F">
      <w:pPr>
        <w:pStyle w:val="ListParagraph"/>
        <w:numPr>
          <w:ilvl w:val="0"/>
          <w:numId w:val="49"/>
        </w:numPr>
        <w:spacing w:after="200"/>
        <w:rPr>
          <w:bCs/>
          <w:szCs w:val="18"/>
          <w:lang w:val="es-MX"/>
        </w:rPr>
      </w:pPr>
      <w:r w:rsidRPr="00734D3B">
        <w:rPr>
          <w:bCs/>
          <w:szCs w:val="18"/>
          <w:lang w:val="es-MX"/>
        </w:rPr>
        <w:t>Evaluación periódica de los indicadores</w:t>
      </w:r>
    </w:p>
    <w:p w14:paraId="37DD958B" w14:textId="1B7250B1" w:rsidR="00C63843" w:rsidRPr="00734D3B" w:rsidRDefault="00ED2601" w:rsidP="001D692F">
      <w:pPr>
        <w:pStyle w:val="ListParagraph"/>
        <w:numPr>
          <w:ilvl w:val="0"/>
          <w:numId w:val="49"/>
        </w:numPr>
        <w:spacing w:after="200"/>
        <w:rPr>
          <w:bCs/>
          <w:szCs w:val="18"/>
          <w:lang w:val="es-MX"/>
        </w:rPr>
      </w:pPr>
      <w:r w:rsidRPr="00734D3B">
        <w:rPr>
          <w:bCs/>
          <w:szCs w:val="18"/>
          <w:lang w:val="es-MX"/>
        </w:rPr>
        <w:t>Elaboración de informes de desempeño ambiental</w:t>
      </w:r>
    </w:p>
    <w:p w14:paraId="59F527B6" w14:textId="6F54AA92" w:rsidR="00C63843" w:rsidRPr="00734D3B" w:rsidRDefault="00ED2601" w:rsidP="001D692F">
      <w:pPr>
        <w:pStyle w:val="ListParagraph"/>
        <w:numPr>
          <w:ilvl w:val="0"/>
          <w:numId w:val="49"/>
        </w:numPr>
        <w:spacing w:after="200"/>
        <w:rPr>
          <w:bCs/>
          <w:szCs w:val="18"/>
          <w:lang w:val="es-MX"/>
        </w:rPr>
      </w:pPr>
      <w:r w:rsidRPr="00734D3B">
        <w:rPr>
          <w:bCs/>
          <w:szCs w:val="18"/>
          <w:lang w:val="es-MX"/>
        </w:rPr>
        <w:t>Implementación de mejoras continuas</w:t>
      </w:r>
    </w:p>
    <w:p w14:paraId="6BA7EF0D" w14:textId="51CFD30C" w:rsidR="00C63843" w:rsidRPr="00734D3B" w:rsidRDefault="00ED2601" w:rsidP="001D692F">
      <w:pPr>
        <w:pStyle w:val="ListParagraph"/>
        <w:numPr>
          <w:ilvl w:val="0"/>
          <w:numId w:val="34"/>
        </w:numPr>
        <w:spacing w:after="200"/>
        <w:rPr>
          <w:b/>
          <w:szCs w:val="18"/>
          <w:lang w:val="es-MX"/>
        </w:rPr>
      </w:pPr>
      <w:r w:rsidRPr="00734D3B">
        <w:rPr>
          <w:b/>
          <w:szCs w:val="18"/>
          <w:lang w:val="es-MX"/>
        </w:rPr>
        <w:t xml:space="preserve">Monitoreo </w:t>
      </w:r>
      <w:r w:rsidR="00C63843" w:rsidRPr="00734D3B">
        <w:rPr>
          <w:b/>
          <w:szCs w:val="18"/>
          <w:lang w:val="es-MX"/>
        </w:rPr>
        <w:t>y mejora continua</w:t>
      </w:r>
    </w:p>
    <w:p w14:paraId="5888F3F0" w14:textId="650ACCA5" w:rsidR="00C63843" w:rsidRPr="00734D3B" w:rsidRDefault="00ED2601" w:rsidP="00C63843">
      <w:pPr>
        <w:spacing w:after="200"/>
        <w:rPr>
          <w:bCs/>
          <w:szCs w:val="18"/>
          <w:lang w:val="es-MX"/>
        </w:rPr>
      </w:pPr>
      <w:r w:rsidRPr="00734D3B">
        <w:rPr>
          <w:bCs/>
          <w:szCs w:val="18"/>
          <w:lang w:val="es-MX"/>
        </w:rPr>
        <w:t>E</w:t>
      </w:r>
      <w:r w:rsidR="00C63843" w:rsidRPr="00734D3B">
        <w:rPr>
          <w:bCs/>
          <w:szCs w:val="18"/>
          <w:lang w:val="es-MX"/>
        </w:rPr>
        <w:t>l monitoreo permite verificar el cumplimiento de los objetivos ambientales y fortalecer la gestión sostenible. Dentro de las acciones clave se encuentran las siguientes:</w:t>
      </w:r>
    </w:p>
    <w:p w14:paraId="1DEA2690" w14:textId="7610B698" w:rsidR="00C63843" w:rsidRPr="00734D3B" w:rsidRDefault="00ED2601" w:rsidP="001D692F">
      <w:pPr>
        <w:pStyle w:val="ListParagraph"/>
        <w:numPr>
          <w:ilvl w:val="0"/>
          <w:numId w:val="50"/>
        </w:numPr>
        <w:spacing w:after="200"/>
        <w:rPr>
          <w:bCs/>
          <w:szCs w:val="18"/>
          <w:lang w:val="es-MX"/>
        </w:rPr>
      </w:pPr>
      <w:r w:rsidRPr="00734D3B">
        <w:rPr>
          <w:bCs/>
          <w:szCs w:val="18"/>
          <w:lang w:val="es-MX"/>
        </w:rPr>
        <w:t>Auditorías ambientales periódic</w:t>
      </w:r>
      <w:r w:rsidR="00BE17A9" w:rsidRPr="00734D3B">
        <w:rPr>
          <w:bCs/>
          <w:szCs w:val="18"/>
          <w:lang w:val="es-MX"/>
        </w:rPr>
        <w:t>as</w:t>
      </w:r>
    </w:p>
    <w:p w14:paraId="797A7A0C" w14:textId="5FE6CAE4" w:rsidR="00C63843" w:rsidRPr="00734D3B" w:rsidRDefault="00ED2601" w:rsidP="001D692F">
      <w:pPr>
        <w:pStyle w:val="ListParagraph"/>
        <w:numPr>
          <w:ilvl w:val="0"/>
          <w:numId w:val="50"/>
        </w:numPr>
        <w:spacing w:after="200"/>
        <w:rPr>
          <w:bCs/>
          <w:szCs w:val="18"/>
          <w:lang w:val="es-MX"/>
        </w:rPr>
      </w:pPr>
      <w:r w:rsidRPr="00734D3B">
        <w:rPr>
          <w:bCs/>
          <w:szCs w:val="18"/>
          <w:lang w:val="es-MX"/>
        </w:rPr>
        <w:t>Evaluación del cumplimiento de KPI</w:t>
      </w:r>
    </w:p>
    <w:p w14:paraId="16EB890B" w14:textId="4D4521E6" w:rsidR="00C63843" w:rsidRPr="00734D3B" w:rsidRDefault="00ED2601" w:rsidP="001D692F">
      <w:pPr>
        <w:pStyle w:val="ListParagraph"/>
        <w:numPr>
          <w:ilvl w:val="0"/>
          <w:numId w:val="50"/>
        </w:numPr>
        <w:spacing w:after="200"/>
        <w:rPr>
          <w:bCs/>
          <w:szCs w:val="18"/>
          <w:lang w:val="es-MX"/>
        </w:rPr>
      </w:pPr>
      <w:r w:rsidRPr="00734D3B">
        <w:rPr>
          <w:bCs/>
          <w:szCs w:val="18"/>
          <w:lang w:val="es-MX"/>
        </w:rPr>
        <w:t>Ajustes en los procesos operativos</w:t>
      </w:r>
    </w:p>
    <w:p w14:paraId="0F888F8F" w14:textId="5712B20D" w:rsidR="00C63843" w:rsidRPr="00734D3B" w:rsidRDefault="00ED2601" w:rsidP="001D692F">
      <w:pPr>
        <w:pStyle w:val="ListParagraph"/>
        <w:numPr>
          <w:ilvl w:val="0"/>
          <w:numId w:val="50"/>
        </w:numPr>
        <w:spacing w:after="200"/>
        <w:rPr>
          <w:bCs/>
          <w:szCs w:val="18"/>
        </w:rPr>
      </w:pPr>
      <w:r w:rsidRPr="00734D3B">
        <w:rPr>
          <w:bCs/>
          <w:szCs w:val="18"/>
          <w:lang w:val="es-MX"/>
        </w:rPr>
        <w:t>Implementación de nuevas prácticas sostenibles</w:t>
      </w:r>
    </w:p>
    <w:p w14:paraId="05E18EE6" w14:textId="32718A3D" w:rsidR="004F26B6" w:rsidRPr="00734D3B" w:rsidRDefault="004F26B6" w:rsidP="004F26B6">
      <w:pPr>
        <w:spacing w:after="200"/>
        <w:rPr>
          <w:bCs/>
          <w:szCs w:val="18"/>
          <w:lang w:val="es-MX"/>
        </w:rPr>
      </w:pPr>
      <w:r w:rsidRPr="00734D3B">
        <w:rPr>
          <w:bCs/>
          <w:szCs w:val="18"/>
          <w:lang w:val="es-MX"/>
        </w:rPr>
        <w:t>La implementación de indicadores de desempeño ambiental permite medir y evaluar la efectividad de las acciones sostenibles aplicadas en el proyecto. Este proceso inicia con la definición de indicadores clave, tales como el consumo energético, la generación de residuos y el uso del agua, los cuales deben ser específicos, medibles y relevantes para el tipo de proyecto.</w:t>
      </w:r>
    </w:p>
    <w:p w14:paraId="18BCFD93" w14:textId="4DAC5C73" w:rsidR="004F26B6" w:rsidRPr="00734D3B" w:rsidRDefault="004F26B6" w:rsidP="004F26B6">
      <w:pPr>
        <w:spacing w:after="200"/>
        <w:rPr>
          <w:bCs/>
          <w:szCs w:val="18"/>
          <w:lang w:val="es-MX"/>
        </w:rPr>
      </w:pPr>
      <w:r w:rsidRPr="00734D3B">
        <w:rPr>
          <w:bCs/>
          <w:szCs w:val="18"/>
          <w:lang w:val="es-MX"/>
        </w:rPr>
        <w:lastRenderedPageBreak/>
        <w:t>Posteriormente, te sales en los métodos de medición, que pueden incluir el uso de sensores, registros manuales o análisis de facturación energética. Para garantizar la calidad de la información, se recomienda utilizar formatos estandarizados y cuando sea posible automatizar la recolección de datos.</w:t>
      </w:r>
    </w:p>
    <w:p w14:paraId="22CD6ECA" w14:textId="77777777" w:rsidR="004F26B6" w:rsidRPr="00734D3B" w:rsidRDefault="004F26B6" w:rsidP="004F26B6">
      <w:pPr>
        <w:spacing w:after="200"/>
        <w:rPr>
          <w:bCs/>
          <w:szCs w:val="18"/>
          <w:lang w:val="es-MX"/>
        </w:rPr>
      </w:pPr>
      <w:r w:rsidRPr="00734D3B">
        <w:rPr>
          <w:bCs/>
          <w:szCs w:val="18"/>
          <w:lang w:val="es-MX"/>
        </w:rPr>
        <w:t>La evaluación de los indicadores se realiza de forma periódica, comparando los resultados obtenidos con las metas establecidas. En función de esos resultados, se elaboran informes de desempeño ambiental que faciliten la toma de decisiones. Cómo recomendación práctica se sugiere trabajar con un número limitado de indicadores, priorizando aquellos que realmente aporten valor al análisis. Asimismo, la representación gráfica de los datos puede facilitar su interpretación y comunicación.</w:t>
      </w:r>
    </w:p>
    <w:p w14:paraId="12232B3A" w14:textId="18ED70D0" w:rsidR="004F26B6" w:rsidRPr="00734D3B" w:rsidRDefault="004F26B6" w:rsidP="004F26B6">
      <w:pPr>
        <w:spacing w:after="200"/>
        <w:rPr>
          <w:bCs/>
          <w:szCs w:val="18"/>
          <w:lang w:val="es-MX"/>
        </w:rPr>
      </w:pPr>
      <w:r w:rsidRPr="00734D3B">
        <w:rPr>
          <w:bCs/>
          <w:szCs w:val="18"/>
          <w:lang w:val="es-MX"/>
        </w:rPr>
        <w:t xml:space="preserve">El monitoreo y la mejora continua constituyen la fase final de la guía metodológica y tiene como objetivo verificar el cumplimiento de los objetivos ambientales y optimizar la gestión sostenible del proyecto. Este proceso se desarrolla mediante la realización de auditorías ambientales periódicas, las cuales permiten evaluar el nivel de cumplimiento de los lineamientos establecidos. </w:t>
      </w:r>
    </w:p>
    <w:p w14:paraId="7129B8C5" w14:textId="5FE0BF55" w:rsidR="00895A78" w:rsidRPr="00734D3B" w:rsidRDefault="00895A78" w:rsidP="004F26B6">
      <w:pPr>
        <w:spacing w:after="200"/>
        <w:rPr>
          <w:bCs/>
          <w:szCs w:val="18"/>
          <w:lang w:val="es-MX"/>
        </w:rPr>
      </w:pPr>
      <w:r w:rsidRPr="00734D3B">
        <w:rPr>
          <w:bCs/>
          <w:szCs w:val="18"/>
          <w:lang w:val="es-MX"/>
        </w:rPr>
        <w:t>A partir de los resultados obtenidos, se procede a la evaluación del desempeño de los indicadores, identificando posibles desviaciones o áreas de mejora. En función de este análisis, se implementan acciones correctivas orientadas a optimizar los procesos operativos y reducir los impactos ambientales.</w:t>
      </w:r>
    </w:p>
    <w:p w14:paraId="759574FC" w14:textId="34F07778" w:rsidR="00895A78" w:rsidRPr="00734D3B" w:rsidRDefault="00895A78" w:rsidP="004F26B6">
      <w:pPr>
        <w:spacing w:after="200"/>
        <w:rPr>
          <w:bCs/>
          <w:szCs w:val="18"/>
          <w:lang w:val="es-MX"/>
        </w:rPr>
      </w:pPr>
      <w:r w:rsidRPr="00734D3B">
        <w:rPr>
          <w:bCs/>
          <w:szCs w:val="18"/>
          <w:lang w:val="es-MX"/>
        </w:rPr>
        <w:t xml:space="preserve">Como parte del enfoque de mejora continua, se recomienda actualizar periódicamente los procedimientos y la guía metodológica, incorporando nuevas prácticas sostenibles y lecciones aprendidas durante la ejecución del proyecto. La aplicación del ciclo de mejora </w:t>
      </w:r>
      <w:r w:rsidRPr="00734D3B">
        <w:rPr>
          <w:bCs/>
          <w:szCs w:val="18"/>
          <w:lang w:val="es-MX"/>
        </w:rPr>
        <w:lastRenderedPageBreak/>
        <w:t xml:space="preserve">continua permite fortalecer progresivamente la gestión ambiental, promoviendo una cultura organizacional orientada a la sostenibilidad. </w:t>
      </w:r>
    </w:p>
    <w:p w14:paraId="19B8E5B2" w14:textId="77777777" w:rsidR="00F006D8" w:rsidRPr="00734D3B" w:rsidRDefault="00F006D8" w:rsidP="002F379A">
      <w:pPr>
        <w:ind w:firstLine="706"/>
        <w:rPr>
          <w:rFonts w:cs="Arial"/>
          <w:szCs w:val="22"/>
        </w:rPr>
      </w:pPr>
      <w:r w:rsidRPr="00734D3B">
        <w:rPr>
          <w:rFonts w:cs="Arial"/>
          <w:szCs w:val="22"/>
        </w:rPr>
        <w:t>Con el fin de asegurar la aplicabilidad práctica de la guía metodológica, se desarrollan una estructura en cinco fases secuenciales y se apoya en un conjunto de formularios y plantillas genéricas que permiten su aplicación práctica en proyectos eléctricos de centros de datos. Estas herramientas facilitan la estandarización de procesos, el control del desempeño ambiental y la trazabilidad de las acciones implementadas.</w:t>
      </w:r>
    </w:p>
    <w:p w14:paraId="35ADBBAB" w14:textId="77777777" w:rsidR="0084470D" w:rsidRPr="00734D3B" w:rsidRDefault="0084470D" w:rsidP="004F26B6">
      <w:pPr>
        <w:spacing w:after="200"/>
        <w:rPr>
          <w:bCs/>
          <w:szCs w:val="18"/>
          <w:lang w:val="es-MX"/>
        </w:rPr>
      </w:pPr>
    </w:p>
    <w:p w14:paraId="4A78F510" w14:textId="67436264" w:rsidR="0015670E" w:rsidRPr="00734D3B" w:rsidRDefault="000F4CB1" w:rsidP="000F4CB1">
      <w:pPr>
        <w:spacing w:after="200"/>
        <w:ind w:firstLine="0"/>
        <w:rPr>
          <w:bCs/>
          <w:i/>
          <w:iCs/>
          <w:szCs w:val="18"/>
        </w:rPr>
      </w:pPr>
      <w:bookmarkStart w:id="365" w:name="_Toc227937884"/>
      <w:r w:rsidRPr="00734D3B">
        <w:rPr>
          <w:b/>
          <w:szCs w:val="18"/>
        </w:rPr>
        <w:t xml:space="preserve">Figura </w:t>
      </w:r>
      <w:r w:rsidRPr="00734D3B">
        <w:rPr>
          <w:b/>
          <w:szCs w:val="18"/>
        </w:rPr>
        <w:fldChar w:fldCharType="begin"/>
      </w:r>
      <w:r w:rsidRPr="00734D3B">
        <w:rPr>
          <w:b/>
          <w:szCs w:val="18"/>
        </w:rPr>
        <w:instrText xml:space="preserve"> SEQ Figura \* ARABIC </w:instrText>
      </w:r>
      <w:r w:rsidRPr="00734D3B">
        <w:rPr>
          <w:b/>
          <w:szCs w:val="18"/>
        </w:rPr>
        <w:fldChar w:fldCharType="separate"/>
      </w:r>
      <w:r w:rsidR="007E63F5" w:rsidRPr="00734D3B">
        <w:rPr>
          <w:b/>
          <w:noProof/>
          <w:szCs w:val="18"/>
        </w:rPr>
        <w:t>30</w:t>
      </w:r>
      <w:r w:rsidRPr="00734D3B">
        <w:rPr>
          <w:b/>
          <w:noProof/>
          <w:szCs w:val="18"/>
        </w:rPr>
        <w:fldChar w:fldCharType="end"/>
      </w:r>
      <w:r w:rsidRPr="00734D3B">
        <w:rPr>
          <w:b/>
          <w:szCs w:val="18"/>
        </w:rPr>
        <w:t xml:space="preserve"> </w:t>
      </w:r>
      <w:r w:rsidRPr="00734D3B">
        <w:rPr>
          <w:b/>
          <w:szCs w:val="18"/>
        </w:rPr>
        <w:br/>
      </w:r>
      <w:r w:rsidR="0015670E" w:rsidRPr="00734D3B">
        <w:rPr>
          <w:bCs/>
          <w:i/>
          <w:iCs/>
          <w:szCs w:val="18"/>
        </w:rPr>
        <w:t>Diagrama general de la guía metodológica</w:t>
      </w:r>
      <w:r w:rsidRPr="00734D3B">
        <w:rPr>
          <w:bCs/>
          <w:i/>
          <w:iCs/>
          <w:szCs w:val="18"/>
        </w:rPr>
        <w:t>.</w:t>
      </w:r>
      <w:bookmarkEnd w:id="365"/>
    </w:p>
    <w:p w14:paraId="4F760290" w14:textId="5CB352C9" w:rsidR="000F4CB1" w:rsidRPr="00734D3B" w:rsidRDefault="0084470D" w:rsidP="004F26B6">
      <w:pPr>
        <w:spacing w:after="200"/>
        <w:rPr>
          <w:bCs/>
          <w:szCs w:val="18"/>
          <w:lang w:val="es-MX"/>
        </w:rPr>
      </w:pPr>
      <w:r w:rsidRPr="00734D3B">
        <w:rPr>
          <w:rFonts w:cs="Arial"/>
          <w:noProof/>
          <w:szCs w:val="22"/>
          <w14:ligatures w14:val="standardContextual"/>
        </w:rPr>
        <w:drawing>
          <wp:inline distT="0" distB="0" distL="0" distR="0" wp14:anchorId="667BC46E" wp14:editId="352BA0E1">
            <wp:extent cx="5629275" cy="3324225"/>
            <wp:effectExtent l="0" t="0" r="47625" b="0"/>
            <wp:docPr id="162485401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5D40F82C" w14:textId="77777777" w:rsidR="003403A1" w:rsidRPr="00734D3B" w:rsidRDefault="003403A1" w:rsidP="003403A1">
      <w:r w:rsidRPr="00734D3B">
        <w:rPr>
          <w:rFonts w:cs="Arial"/>
          <w:i/>
          <w:iCs/>
          <w:szCs w:val="22"/>
        </w:rPr>
        <w:t>Nota</w:t>
      </w:r>
      <w:r w:rsidRPr="00734D3B">
        <w:rPr>
          <w:rFonts w:cs="Arial"/>
          <w:szCs w:val="22"/>
        </w:rPr>
        <w:t xml:space="preserve">: </w:t>
      </w:r>
      <w:r w:rsidRPr="00734D3B">
        <w:rPr>
          <w:i/>
          <w:iCs/>
          <w:szCs w:val="22"/>
        </w:rPr>
        <w:t>Elaboración propia</w:t>
      </w:r>
    </w:p>
    <w:p w14:paraId="4EA91D4B" w14:textId="77777777" w:rsidR="003403A1" w:rsidRPr="00734D3B" w:rsidRDefault="003403A1" w:rsidP="003507A6">
      <w:pPr>
        <w:pStyle w:val="ListParagraph"/>
        <w:spacing w:after="200"/>
        <w:ind w:left="720" w:firstLine="0"/>
        <w:rPr>
          <w:b/>
          <w:szCs w:val="18"/>
        </w:rPr>
      </w:pPr>
    </w:p>
    <w:p w14:paraId="46B31A6E" w14:textId="206F0B22" w:rsidR="003403A1" w:rsidRPr="00734D3B" w:rsidRDefault="003403A1" w:rsidP="00015AAF">
      <w:pPr>
        <w:spacing w:after="200"/>
        <w:ind w:left="708" w:firstLine="708"/>
        <w:rPr>
          <w:bCs/>
          <w:szCs w:val="18"/>
        </w:rPr>
      </w:pPr>
      <w:r w:rsidRPr="00734D3B">
        <w:rPr>
          <w:bCs/>
          <w:szCs w:val="18"/>
        </w:rPr>
        <w:lastRenderedPageBreak/>
        <w:t xml:space="preserve">El diagrama anterior representa un proceso estructurado y secuencial para la </w:t>
      </w:r>
      <w:r w:rsidR="00DF535B" w:rsidRPr="00734D3B">
        <w:rPr>
          <w:bCs/>
          <w:szCs w:val="18"/>
        </w:rPr>
        <w:t>gestión</w:t>
      </w:r>
      <w:r w:rsidRPr="00734D3B">
        <w:rPr>
          <w:bCs/>
          <w:szCs w:val="18"/>
        </w:rPr>
        <w:t xml:space="preserve"> sostenible de proyectos eléctricos </w:t>
      </w:r>
      <w:r w:rsidR="00DF7BB4" w:rsidRPr="00734D3B">
        <w:rPr>
          <w:bCs/>
          <w:szCs w:val="18"/>
        </w:rPr>
        <w:t xml:space="preserve">de centros de datos. Inicia con el diagnostico ambiental </w:t>
      </w:r>
      <w:r w:rsidR="00B009F7" w:rsidRPr="00734D3B">
        <w:rPr>
          <w:bCs/>
          <w:szCs w:val="18"/>
        </w:rPr>
        <w:t xml:space="preserve">del proyecto, seguido de la identificación de buenas </w:t>
      </w:r>
      <w:r w:rsidR="00015AAF" w:rsidRPr="00734D3B">
        <w:rPr>
          <w:bCs/>
          <w:szCs w:val="18"/>
        </w:rPr>
        <w:t>prácticas</w:t>
      </w:r>
      <w:r w:rsidR="00B009F7" w:rsidRPr="00734D3B">
        <w:rPr>
          <w:bCs/>
          <w:szCs w:val="18"/>
        </w:rPr>
        <w:t xml:space="preserve"> sostenible y la definición de lineamientos operativos. Posteriormente, se implementa un sistema de indicadores de desempeño </w:t>
      </w:r>
      <w:r w:rsidR="00616DAE" w:rsidRPr="00734D3B">
        <w:rPr>
          <w:bCs/>
          <w:szCs w:val="18"/>
        </w:rPr>
        <w:t>ambiental (KPI) que permite medir los resultados obtenidos. Finalmente, el proceso culmina con la etapa de monitoreo y mejora continua, la cual retroalimenta las fases anteriores, generando un ciclo dinámico orientado a la optimización constante del desempeño ambiental.</w:t>
      </w:r>
    </w:p>
    <w:p w14:paraId="491F12B3" w14:textId="087B6C8A" w:rsidR="00616DAE" w:rsidRPr="00734D3B" w:rsidRDefault="00757604" w:rsidP="00015AAF">
      <w:pPr>
        <w:pStyle w:val="ListParagraph"/>
        <w:spacing w:after="200"/>
        <w:ind w:left="720" w:firstLine="696"/>
        <w:rPr>
          <w:bCs/>
          <w:szCs w:val="18"/>
        </w:rPr>
      </w:pPr>
      <w:r w:rsidRPr="00734D3B">
        <w:rPr>
          <w:bCs/>
          <w:szCs w:val="18"/>
        </w:rPr>
        <w:t xml:space="preserve">En este mismo sentido, la tabla 12 presenta la estructura de la guía metodológica para la gestión sostenible en proyectos eléctricos de centros de datos, relacionado cada fase del proceso con su respectivo instrumento, finalidad y aplicación práctica. En primer lugar, el diagnostico ambiental permite identificar las condiciones iniciales y los posibles impactos del proyecto. Seguidamente, la identificación de buenas </w:t>
      </w:r>
      <w:r w:rsidR="00015AAF" w:rsidRPr="00734D3B">
        <w:rPr>
          <w:bCs/>
          <w:szCs w:val="18"/>
        </w:rPr>
        <w:t>prácticas</w:t>
      </w:r>
      <w:r w:rsidRPr="00734D3B">
        <w:rPr>
          <w:bCs/>
          <w:szCs w:val="18"/>
        </w:rPr>
        <w:t xml:space="preserve"> orienta la adopción de estrategias sostenibles. Posteriormente, los lineamientos operativos establecen los criterios para una adecuada gestión ambiental durante la ejecución. Luego, la implementación e indicadores (KPI) permite medir el desempeño ambiental mediante datos cuantificables. </w:t>
      </w:r>
      <w:proofErr w:type="gramStart"/>
      <w:r w:rsidRPr="00734D3B">
        <w:rPr>
          <w:bCs/>
          <w:szCs w:val="18"/>
        </w:rPr>
        <w:t>Finalmente</w:t>
      </w:r>
      <w:proofErr w:type="gramEnd"/>
      <w:r w:rsidRPr="00734D3B">
        <w:rPr>
          <w:bCs/>
          <w:szCs w:val="18"/>
        </w:rPr>
        <w:t xml:space="preserve"> el monitoreo y la mejora continua facilitan la evaluación de resultados y la optimización del proceso, promoviendo la sostenibilidad a lo largo del tiempo. </w:t>
      </w:r>
    </w:p>
    <w:p w14:paraId="256269CC" w14:textId="77777777" w:rsidR="00757604" w:rsidRPr="00734D3B" w:rsidRDefault="00757604">
      <w:pPr>
        <w:spacing w:line="240" w:lineRule="auto"/>
        <w:ind w:firstLine="0"/>
        <w:rPr>
          <w:b/>
          <w:szCs w:val="18"/>
        </w:rPr>
      </w:pPr>
      <w:r w:rsidRPr="00734D3B">
        <w:rPr>
          <w:b/>
          <w:szCs w:val="18"/>
        </w:rPr>
        <w:br w:type="page"/>
      </w:r>
    </w:p>
    <w:p w14:paraId="2B73055F" w14:textId="107FF6C9" w:rsidR="00A40A31" w:rsidRPr="00734D3B" w:rsidRDefault="002C0622" w:rsidP="003507A6">
      <w:pPr>
        <w:pStyle w:val="ListParagraph"/>
        <w:spacing w:after="200"/>
        <w:ind w:left="720" w:firstLine="0"/>
        <w:rPr>
          <w:bCs/>
          <w:i/>
          <w:iCs/>
          <w:szCs w:val="18"/>
        </w:rPr>
      </w:pPr>
      <w:bookmarkStart w:id="366" w:name="_Toc228342100"/>
      <w:r w:rsidRPr="00734D3B">
        <w:rPr>
          <w:b/>
          <w:szCs w:val="18"/>
        </w:rPr>
        <w:lastRenderedPageBreak/>
        <w:t xml:space="preserve">Tabla </w:t>
      </w:r>
      <w:r w:rsidRPr="00734D3B">
        <w:rPr>
          <w:b/>
          <w:szCs w:val="18"/>
        </w:rPr>
        <w:fldChar w:fldCharType="begin"/>
      </w:r>
      <w:r w:rsidRPr="00734D3B">
        <w:rPr>
          <w:b/>
          <w:szCs w:val="18"/>
        </w:rPr>
        <w:instrText xml:space="preserve"> SEQ Tabla \* ARABIC </w:instrText>
      </w:r>
      <w:r w:rsidRPr="00734D3B">
        <w:rPr>
          <w:b/>
          <w:szCs w:val="18"/>
        </w:rPr>
        <w:fldChar w:fldCharType="separate"/>
      </w:r>
      <w:r w:rsidR="007E63F5" w:rsidRPr="00734D3B">
        <w:rPr>
          <w:b/>
          <w:noProof/>
          <w:szCs w:val="18"/>
        </w:rPr>
        <w:t>20</w:t>
      </w:r>
      <w:r w:rsidRPr="00734D3B">
        <w:rPr>
          <w:b/>
          <w:szCs w:val="18"/>
        </w:rPr>
        <w:fldChar w:fldCharType="end"/>
      </w:r>
      <w:r w:rsidRPr="00734D3B">
        <w:rPr>
          <w:b/>
          <w:szCs w:val="18"/>
        </w:rPr>
        <w:t xml:space="preserve"> </w:t>
      </w:r>
      <w:r w:rsidRPr="00734D3B">
        <w:rPr>
          <w:b/>
          <w:szCs w:val="18"/>
        </w:rPr>
        <w:br/>
      </w:r>
      <w:r w:rsidR="00E53001" w:rsidRPr="00734D3B">
        <w:rPr>
          <w:bCs/>
          <w:i/>
          <w:iCs/>
          <w:szCs w:val="18"/>
        </w:rPr>
        <w:t>Fases de la guía metodológica</w:t>
      </w:r>
      <w:bookmarkEnd w:id="366"/>
    </w:p>
    <w:tbl>
      <w:tblPr>
        <w:tblStyle w:val="PlainTable2"/>
        <w:tblW w:w="0" w:type="auto"/>
        <w:tblLook w:val="04A0" w:firstRow="1" w:lastRow="0" w:firstColumn="1" w:lastColumn="0" w:noHBand="0" w:noVBand="1"/>
      </w:tblPr>
      <w:tblGrid>
        <w:gridCol w:w="2160"/>
        <w:gridCol w:w="2234"/>
        <w:gridCol w:w="2160"/>
        <w:gridCol w:w="2160"/>
      </w:tblGrid>
      <w:tr w:rsidR="00734D3B" w:rsidRPr="00734D3B" w14:paraId="058D9840" w14:textId="77777777" w:rsidTr="00111F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6615A9" w14:textId="77777777" w:rsidR="00A40A31" w:rsidRPr="00734D3B" w:rsidRDefault="00A40A31" w:rsidP="00141B50">
            <w:pPr>
              <w:spacing w:line="240" w:lineRule="auto"/>
              <w:ind w:firstLine="0"/>
              <w:jc w:val="center"/>
              <w:rPr>
                <w:b w:val="0"/>
                <w:bCs w:val="0"/>
              </w:rPr>
            </w:pPr>
            <w:r w:rsidRPr="00734D3B">
              <w:rPr>
                <w:b w:val="0"/>
                <w:bCs w:val="0"/>
              </w:rPr>
              <w:t>Fase de la guía metodológica</w:t>
            </w:r>
          </w:p>
        </w:tc>
        <w:tc>
          <w:tcPr>
            <w:tcW w:w="2234" w:type="dxa"/>
          </w:tcPr>
          <w:p w14:paraId="6059D041" w14:textId="77777777" w:rsidR="00A40A31" w:rsidRPr="00734D3B" w:rsidRDefault="00A40A31" w:rsidP="00141B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734D3B">
              <w:rPr>
                <w:b w:val="0"/>
                <w:bCs w:val="0"/>
              </w:rPr>
              <w:t>Instrumento metodológico</w:t>
            </w:r>
          </w:p>
        </w:tc>
        <w:tc>
          <w:tcPr>
            <w:tcW w:w="2160" w:type="dxa"/>
          </w:tcPr>
          <w:p w14:paraId="709741F9" w14:textId="77777777" w:rsidR="00A40A31" w:rsidRPr="00734D3B" w:rsidRDefault="00A40A31" w:rsidP="00141B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734D3B">
              <w:rPr>
                <w:b w:val="0"/>
                <w:bCs w:val="0"/>
              </w:rPr>
              <w:t>Finalidad</w:t>
            </w:r>
          </w:p>
        </w:tc>
        <w:tc>
          <w:tcPr>
            <w:tcW w:w="2160" w:type="dxa"/>
          </w:tcPr>
          <w:p w14:paraId="75CAF107" w14:textId="77777777" w:rsidR="00A40A31" w:rsidRPr="00734D3B" w:rsidRDefault="00A40A31" w:rsidP="00141B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734D3B">
              <w:rPr>
                <w:b w:val="0"/>
                <w:bCs w:val="0"/>
              </w:rPr>
              <w:t>Aplicación en proyectos de data centers</w:t>
            </w:r>
          </w:p>
        </w:tc>
      </w:tr>
      <w:tr w:rsidR="00734D3B" w:rsidRPr="00734D3B" w14:paraId="5BD12C11" w14:textId="77777777" w:rsidTr="00111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41688B9" w14:textId="77777777" w:rsidR="00A40A31" w:rsidRPr="00734D3B" w:rsidRDefault="00A40A31" w:rsidP="0016245E">
            <w:pPr>
              <w:spacing w:line="240" w:lineRule="auto"/>
              <w:ind w:firstLine="0"/>
            </w:pPr>
            <w:r w:rsidRPr="00734D3B">
              <w:t>1. Diagnóstico ambiental</w:t>
            </w:r>
          </w:p>
        </w:tc>
        <w:tc>
          <w:tcPr>
            <w:tcW w:w="2234" w:type="dxa"/>
          </w:tcPr>
          <w:p w14:paraId="0F87E0E6"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Formulario de Diagnóstico Ambiental del Proyecto Eléctrico</w:t>
            </w:r>
          </w:p>
        </w:tc>
        <w:tc>
          <w:tcPr>
            <w:tcW w:w="2160" w:type="dxa"/>
          </w:tcPr>
          <w:p w14:paraId="6ACB9A2A"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Identificar condiciones iniciales, impactos y riesgos ambientales asociados a las actividades eléctricas</w:t>
            </w:r>
          </w:p>
        </w:tc>
        <w:tc>
          <w:tcPr>
            <w:tcW w:w="2160" w:type="dxa"/>
          </w:tcPr>
          <w:p w14:paraId="1FE62975"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Permite reconocer residuos eléctricos, normativa EPA/ADEQ y riesgos ambientales desde el inicio del proyecto</w:t>
            </w:r>
          </w:p>
        </w:tc>
      </w:tr>
      <w:tr w:rsidR="00734D3B" w:rsidRPr="00734D3B" w14:paraId="468DEA06" w14:textId="77777777" w:rsidTr="00111F6E">
        <w:tc>
          <w:tcPr>
            <w:cnfStyle w:val="001000000000" w:firstRow="0" w:lastRow="0" w:firstColumn="1" w:lastColumn="0" w:oddVBand="0" w:evenVBand="0" w:oddHBand="0" w:evenHBand="0" w:firstRowFirstColumn="0" w:firstRowLastColumn="0" w:lastRowFirstColumn="0" w:lastRowLastColumn="0"/>
            <w:tcW w:w="2160" w:type="dxa"/>
          </w:tcPr>
          <w:p w14:paraId="02947BB8" w14:textId="77777777" w:rsidR="00A40A31" w:rsidRPr="00734D3B" w:rsidRDefault="00A40A31" w:rsidP="0016245E">
            <w:pPr>
              <w:spacing w:line="240" w:lineRule="auto"/>
              <w:ind w:firstLine="0"/>
            </w:pPr>
            <w:r w:rsidRPr="00734D3B">
              <w:t>2. Identificación de buenas prácticas sostenibles</w:t>
            </w:r>
          </w:p>
          <w:p w14:paraId="155AF8C5" w14:textId="77777777" w:rsidR="00A40A31" w:rsidRPr="00734D3B" w:rsidRDefault="00A40A31" w:rsidP="0016245E">
            <w:pPr>
              <w:spacing w:line="240" w:lineRule="auto"/>
            </w:pPr>
          </w:p>
        </w:tc>
        <w:tc>
          <w:tcPr>
            <w:tcW w:w="2234" w:type="dxa"/>
          </w:tcPr>
          <w:p w14:paraId="5E065683"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Lista de Buenas Prácticas Sostenibles en Instalaciones Eléctricas</w:t>
            </w:r>
          </w:p>
          <w:p w14:paraId="3431D23B" w14:textId="77777777" w:rsidR="00A40A31" w:rsidRPr="00734D3B" w:rsidRDefault="00A40A31" w:rsidP="00111F6E">
            <w:pPr>
              <w:spacing w:line="240" w:lineRule="auto"/>
              <w:cnfStyle w:val="000000000000" w:firstRow="0" w:lastRow="0" w:firstColumn="0" w:lastColumn="0" w:oddVBand="0" w:evenVBand="0" w:oddHBand="0" w:evenHBand="0" w:firstRowFirstColumn="0" w:firstRowLastColumn="0" w:lastRowFirstColumn="0" w:lastRowLastColumn="0"/>
            </w:pPr>
          </w:p>
        </w:tc>
        <w:tc>
          <w:tcPr>
            <w:tcW w:w="2160" w:type="dxa"/>
          </w:tcPr>
          <w:p w14:paraId="765AF7D3"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Reconocer y documentar prácticas sostenibles aplicables al alcance eléctrico del proyecto</w:t>
            </w:r>
          </w:p>
          <w:p w14:paraId="1AE2440E" w14:textId="77777777" w:rsidR="00A40A31" w:rsidRPr="00734D3B" w:rsidRDefault="00A40A31" w:rsidP="00111F6E">
            <w:pPr>
              <w:spacing w:line="240" w:lineRule="auto"/>
              <w:cnfStyle w:val="000000000000" w:firstRow="0" w:lastRow="0" w:firstColumn="0" w:lastColumn="0" w:oddVBand="0" w:evenVBand="0" w:oddHBand="0" w:evenHBand="0" w:firstRowFirstColumn="0" w:firstRowLastColumn="0" w:lastRowFirstColumn="0" w:lastRowLastColumn="0"/>
            </w:pPr>
          </w:p>
        </w:tc>
        <w:tc>
          <w:tcPr>
            <w:tcW w:w="2160" w:type="dxa"/>
          </w:tcPr>
          <w:p w14:paraId="75597DDD"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Facilita la adopción de economía circular, reciclaje de materiales eléctricos, reducción de desperdicios y optimización de recursos</w:t>
            </w:r>
          </w:p>
          <w:p w14:paraId="053E6AA5" w14:textId="77777777" w:rsidR="00A40A31" w:rsidRPr="00734D3B" w:rsidRDefault="00A40A31" w:rsidP="00111F6E">
            <w:pPr>
              <w:spacing w:line="240" w:lineRule="auto"/>
              <w:cnfStyle w:val="000000000000" w:firstRow="0" w:lastRow="0" w:firstColumn="0" w:lastColumn="0" w:oddVBand="0" w:evenVBand="0" w:oddHBand="0" w:evenHBand="0" w:firstRowFirstColumn="0" w:firstRowLastColumn="0" w:lastRowFirstColumn="0" w:lastRowLastColumn="0"/>
            </w:pPr>
          </w:p>
        </w:tc>
      </w:tr>
      <w:tr w:rsidR="00734D3B" w:rsidRPr="00734D3B" w14:paraId="6AF74E92" w14:textId="77777777" w:rsidTr="00111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57B6DB" w14:textId="77777777" w:rsidR="00A40A31" w:rsidRPr="00734D3B" w:rsidRDefault="00A40A31" w:rsidP="0016245E">
            <w:pPr>
              <w:spacing w:line="240" w:lineRule="auto"/>
              <w:ind w:firstLine="0"/>
            </w:pPr>
            <w:r w:rsidRPr="00734D3B">
              <w:t>3. Lineamientos operativos de gestión sostenible</w:t>
            </w:r>
          </w:p>
          <w:p w14:paraId="390EBEC2" w14:textId="77777777" w:rsidR="00A40A31" w:rsidRPr="00734D3B" w:rsidRDefault="00A40A31" w:rsidP="0016245E">
            <w:pPr>
              <w:spacing w:line="240" w:lineRule="auto"/>
            </w:pPr>
          </w:p>
        </w:tc>
        <w:tc>
          <w:tcPr>
            <w:tcW w:w="2234" w:type="dxa"/>
          </w:tcPr>
          <w:p w14:paraId="05B8F218"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Lineamientos Operativos de Gestión Ambiental y Sostenible</w:t>
            </w:r>
          </w:p>
        </w:tc>
        <w:tc>
          <w:tcPr>
            <w:tcW w:w="2160" w:type="dxa"/>
          </w:tcPr>
          <w:p w14:paraId="232C3F7D"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Establecer criterios operativos para la gestión de residuos, materiales, energía y control ambiental durante la ejecución</w:t>
            </w:r>
          </w:p>
        </w:tc>
        <w:tc>
          <w:tcPr>
            <w:tcW w:w="2160" w:type="dxa"/>
          </w:tcPr>
          <w:p w14:paraId="738C5DCC"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Asegura una gestión estandarizada de residuos eléctricos, RAEE, materiales reciclables y cumplimiento ambiental en obra</w:t>
            </w:r>
          </w:p>
        </w:tc>
      </w:tr>
      <w:tr w:rsidR="00734D3B" w:rsidRPr="00734D3B" w14:paraId="5BFE52F2" w14:textId="77777777" w:rsidTr="00111F6E">
        <w:tc>
          <w:tcPr>
            <w:cnfStyle w:val="001000000000" w:firstRow="0" w:lastRow="0" w:firstColumn="1" w:lastColumn="0" w:oddVBand="0" w:evenVBand="0" w:oddHBand="0" w:evenHBand="0" w:firstRowFirstColumn="0" w:firstRowLastColumn="0" w:lastRowFirstColumn="0" w:lastRowLastColumn="0"/>
            <w:tcW w:w="2160" w:type="dxa"/>
          </w:tcPr>
          <w:p w14:paraId="2C8E33CC" w14:textId="77777777" w:rsidR="00A40A31" w:rsidRPr="00734D3B" w:rsidRDefault="00A40A31" w:rsidP="0016245E">
            <w:pPr>
              <w:spacing w:line="240" w:lineRule="auto"/>
              <w:ind w:firstLine="0"/>
            </w:pPr>
            <w:r w:rsidRPr="00734D3B">
              <w:t>4. Implementación de indicadores (KPI)</w:t>
            </w:r>
          </w:p>
          <w:p w14:paraId="6665DD38" w14:textId="77777777" w:rsidR="00A40A31" w:rsidRPr="00734D3B" w:rsidRDefault="00A40A31" w:rsidP="0016245E">
            <w:pPr>
              <w:spacing w:line="240" w:lineRule="auto"/>
            </w:pPr>
          </w:p>
        </w:tc>
        <w:tc>
          <w:tcPr>
            <w:tcW w:w="2234" w:type="dxa"/>
          </w:tcPr>
          <w:p w14:paraId="6CE48B74"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Formato de Indicadores Ambientales y de Sostenibilidad (KPI)</w:t>
            </w:r>
          </w:p>
        </w:tc>
        <w:tc>
          <w:tcPr>
            <w:tcW w:w="2160" w:type="dxa"/>
          </w:tcPr>
          <w:p w14:paraId="16C6C061"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Medir el desempeño ambiental del proyecto mediante indicadores cuantificables</w:t>
            </w:r>
          </w:p>
        </w:tc>
        <w:tc>
          <w:tcPr>
            <w:tcW w:w="2160" w:type="dxa"/>
          </w:tcPr>
          <w:p w14:paraId="61CEF79E" w14:textId="77777777" w:rsidR="00A40A31" w:rsidRPr="00734D3B" w:rsidRDefault="00A40A31" w:rsidP="00111F6E">
            <w:pPr>
              <w:spacing w:line="240" w:lineRule="auto"/>
              <w:ind w:firstLine="0"/>
              <w:cnfStyle w:val="000000000000" w:firstRow="0" w:lastRow="0" w:firstColumn="0" w:lastColumn="0" w:oddVBand="0" w:evenVBand="0" w:oddHBand="0" w:evenHBand="0" w:firstRowFirstColumn="0" w:firstRowLastColumn="0" w:lastRowFirstColumn="0" w:lastRowLastColumn="0"/>
            </w:pPr>
            <w:r w:rsidRPr="00734D3B">
              <w:t>Permite evaluar reciclaje, recuperación económica por residuos eléctricos, reducción de impactos y desempeño sostenible del proyecto</w:t>
            </w:r>
          </w:p>
        </w:tc>
      </w:tr>
      <w:tr w:rsidR="00734D3B" w:rsidRPr="00734D3B" w14:paraId="6883DCAF" w14:textId="77777777" w:rsidTr="00111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6C0F2FE" w14:textId="77777777" w:rsidR="00A40A31" w:rsidRPr="00734D3B" w:rsidRDefault="00A40A31" w:rsidP="0016245E">
            <w:pPr>
              <w:spacing w:line="240" w:lineRule="auto"/>
              <w:ind w:firstLine="0"/>
            </w:pPr>
            <w:r w:rsidRPr="00734D3B">
              <w:t>5.</w:t>
            </w:r>
            <w:r w:rsidRPr="00734D3B">
              <w:rPr>
                <w:rFonts w:ascii="Segoe UI" w:hAnsi="Segoe UI" w:cs="Segoe UI"/>
                <w:sz w:val="21"/>
                <w:szCs w:val="21"/>
              </w:rPr>
              <w:t xml:space="preserve"> </w:t>
            </w:r>
            <w:r w:rsidRPr="00734D3B">
              <w:t>Monitoreo y mejora continua</w:t>
            </w:r>
          </w:p>
          <w:p w14:paraId="7336D562" w14:textId="77777777" w:rsidR="00A40A31" w:rsidRPr="00734D3B" w:rsidRDefault="00A40A31" w:rsidP="0016245E">
            <w:pPr>
              <w:spacing w:line="240" w:lineRule="auto"/>
            </w:pPr>
          </w:p>
        </w:tc>
        <w:tc>
          <w:tcPr>
            <w:tcW w:w="2234" w:type="dxa"/>
          </w:tcPr>
          <w:p w14:paraId="19A50C03"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Registro de Monitoreo Ambiental y Lecciones Aprendidas</w:t>
            </w:r>
          </w:p>
        </w:tc>
        <w:tc>
          <w:tcPr>
            <w:tcW w:w="2160" w:type="dxa"/>
          </w:tcPr>
          <w:p w14:paraId="6BCA88DB"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t xml:space="preserve">Verificar resultados, documentar desviaciones y generar </w:t>
            </w:r>
            <w:r w:rsidRPr="00734D3B">
              <w:lastRenderedPageBreak/>
              <w:t>oportunidades de mejora continua</w:t>
            </w:r>
          </w:p>
        </w:tc>
        <w:tc>
          <w:tcPr>
            <w:tcW w:w="2160" w:type="dxa"/>
          </w:tcPr>
          <w:p w14:paraId="53F13B7C" w14:textId="77777777" w:rsidR="00A40A31" w:rsidRPr="00734D3B" w:rsidRDefault="00A40A31" w:rsidP="00111F6E">
            <w:pPr>
              <w:spacing w:line="240" w:lineRule="auto"/>
              <w:ind w:firstLine="0"/>
              <w:cnfStyle w:val="000000100000" w:firstRow="0" w:lastRow="0" w:firstColumn="0" w:lastColumn="0" w:oddVBand="0" w:evenVBand="0" w:oddHBand="1" w:evenHBand="0" w:firstRowFirstColumn="0" w:firstRowLastColumn="0" w:lastRowFirstColumn="0" w:lastRowLastColumn="0"/>
            </w:pPr>
            <w:r w:rsidRPr="00734D3B">
              <w:lastRenderedPageBreak/>
              <w:t xml:space="preserve">Facilita la mejora progresiva del desempeño ambiental y la replicabilidad de la metodología en </w:t>
            </w:r>
            <w:r w:rsidRPr="00734D3B">
              <w:lastRenderedPageBreak/>
              <w:t>futuros proyectos de data centers</w:t>
            </w:r>
          </w:p>
        </w:tc>
      </w:tr>
    </w:tbl>
    <w:p w14:paraId="19941581" w14:textId="359341A4" w:rsidR="003507A6" w:rsidRPr="00734D3B" w:rsidRDefault="003507A6" w:rsidP="003507A6">
      <w:pPr>
        <w:spacing w:line="240" w:lineRule="auto"/>
        <w:ind w:firstLine="0"/>
        <w:contextualSpacing/>
        <w:rPr>
          <w:rFonts w:cs="Arial"/>
          <w:szCs w:val="22"/>
        </w:rPr>
      </w:pPr>
      <w:r w:rsidRPr="00734D3B">
        <w:rPr>
          <w:rFonts w:cs="Arial"/>
          <w:i/>
          <w:iCs/>
          <w:szCs w:val="22"/>
        </w:rPr>
        <w:lastRenderedPageBreak/>
        <w:t>Nota</w:t>
      </w:r>
      <w:r w:rsidRPr="00734D3B">
        <w:rPr>
          <w:rFonts w:cs="Arial"/>
          <w:szCs w:val="22"/>
        </w:rPr>
        <w:t xml:space="preserve">. La Tabla </w:t>
      </w:r>
      <w:r w:rsidR="007E63F5" w:rsidRPr="00734D3B">
        <w:rPr>
          <w:rFonts w:cs="Arial"/>
          <w:szCs w:val="22"/>
        </w:rPr>
        <w:t>20</w:t>
      </w:r>
      <w:r w:rsidRPr="00734D3B">
        <w:rPr>
          <w:rFonts w:cs="Arial"/>
          <w:szCs w:val="22"/>
        </w:rPr>
        <w:t xml:space="preserve"> muestra </w:t>
      </w:r>
      <w:r w:rsidR="00E75F36" w:rsidRPr="00734D3B">
        <w:rPr>
          <w:rFonts w:cs="Arial"/>
          <w:szCs w:val="22"/>
        </w:rPr>
        <w:t>las fases de la guía metodológica</w:t>
      </w:r>
      <w:r w:rsidRPr="00734D3B">
        <w:rPr>
          <w:rFonts w:cs="Arial"/>
          <w:szCs w:val="22"/>
        </w:rPr>
        <w:t>. Autoría propia.</w:t>
      </w:r>
    </w:p>
    <w:p w14:paraId="3A9CAFC2" w14:textId="77777777" w:rsidR="00A40A31" w:rsidRPr="00734D3B" w:rsidRDefault="00A40A31" w:rsidP="004F26B6">
      <w:pPr>
        <w:spacing w:after="200"/>
        <w:rPr>
          <w:bCs/>
          <w:szCs w:val="18"/>
          <w:lang w:val="es-MX"/>
        </w:rPr>
      </w:pPr>
    </w:p>
    <w:p w14:paraId="64A81224" w14:textId="1FD73A5F" w:rsidR="000276D8" w:rsidRPr="00734D3B" w:rsidRDefault="000276D8" w:rsidP="001B0BF8">
      <w:r w:rsidRPr="00734D3B">
        <w:t xml:space="preserve">Aunado a lo anterior, </w:t>
      </w:r>
      <w:r w:rsidR="007A6E0C" w:rsidRPr="00734D3B">
        <w:t xml:space="preserve">los formatos incluidos en el anexo 6, conforman un sistema integrado de instrumentos metodológicos que permiten operacionalizar la </w:t>
      </w:r>
      <w:r w:rsidR="00015AAF" w:rsidRPr="00734D3B">
        <w:t>gestión</w:t>
      </w:r>
      <w:r w:rsidR="007A6E0C" w:rsidRPr="00734D3B">
        <w:t xml:space="preserve"> sostenible en proyectos eléctricos de centros de datos a lo largo de todas sus fases. Estos instrumentos no funcionan de manera aislada, sino que se articulan entre </w:t>
      </w:r>
      <w:proofErr w:type="spellStart"/>
      <w:r w:rsidR="007A6E0C" w:rsidRPr="00734D3B">
        <w:t>si</w:t>
      </w:r>
      <w:proofErr w:type="spellEnd"/>
      <w:r w:rsidR="007A6E0C" w:rsidRPr="00734D3B">
        <w:t xml:space="preserve"> para garantizar una gestión ambiental estructurada, trazable y orientada a la mejora continua.</w:t>
      </w:r>
    </w:p>
    <w:p w14:paraId="791EEB4F" w14:textId="0CE54E95" w:rsidR="007A6E0C" w:rsidRPr="00734D3B" w:rsidRDefault="007A6E0C" w:rsidP="001B0BF8">
      <w:r w:rsidRPr="00734D3B">
        <w:t xml:space="preserve">El proceso inicia con la recopilación de información </w:t>
      </w:r>
      <w:r w:rsidR="00663945" w:rsidRPr="00734D3B">
        <w:t xml:space="preserve">base del proyecto, donde se identifican las condiciones iniciales del entorno, los recursos naturales sensibles y las regulaciones aplicables. Esta información permite establecer un </w:t>
      </w:r>
      <w:r w:rsidR="00F73122" w:rsidRPr="00734D3B">
        <w:t xml:space="preserve">diagnóstico (F-DA-01 – </w:t>
      </w:r>
      <w:proofErr w:type="spellStart"/>
      <w:r w:rsidR="00F73122" w:rsidRPr="00734D3B">
        <w:t>Environmental</w:t>
      </w:r>
      <w:proofErr w:type="spellEnd"/>
      <w:r w:rsidR="00F73122" w:rsidRPr="00734D3B">
        <w:t xml:space="preserve"> Diagnosis / Diagnóstico Ambiental)</w:t>
      </w:r>
      <w:r w:rsidR="00663945" w:rsidRPr="00734D3B">
        <w:t xml:space="preserve"> claro que sirve como punto de partida para la evaluación de los impactos ambientales asociados a las actividades eléctricas, los cuales son analizados en función de su tipo, magnitud y nivel de afectación, facilitando la definición de medidas de mitigación adecuadas</w:t>
      </w:r>
      <w:r w:rsidR="00CC6CE6" w:rsidRPr="00734D3B">
        <w:t xml:space="preserve"> (F-IA-02 – </w:t>
      </w:r>
      <w:proofErr w:type="spellStart"/>
      <w:r w:rsidR="00CC6CE6" w:rsidRPr="00734D3B">
        <w:t>Environmental</w:t>
      </w:r>
      <w:proofErr w:type="spellEnd"/>
      <w:r w:rsidR="00CC6CE6" w:rsidRPr="00734D3B">
        <w:t xml:space="preserve"> </w:t>
      </w:r>
      <w:proofErr w:type="spellStart"/>
      <w:r w:rsidR="00CC6CE6" w:rsidRPr="00734D3B">
        <w:t>Impact</w:t>
      </w:r>
      <w:proofErr w:type="spellEnd"/>
      <w:r w:rsidR="00CC6CE6" w:rsidRPr="00734D3B">
        <w:t xml:space="preserve"> Matrix / Matriz de Impactos Ambientales)</w:t>
      </w:r>
      <w:r w:rsidR="00663945" w:rsidRPr="00734D3B">
        <w:t>.</w:t>
      </w:r>
    </w:p>
    <w:p w14:paraId="76DBABB2" w14:textId="44C18BF4" w:rsidR="00663945" w:rsidRPr="00734D3B" w:rsidRDefault="00663945" w:rsidP="001B0BF8">
      <w:r w:rsidRPr="00734D3B">
        <w:t xml:space="preserve">A partir de este análisis, se integran herramientas que permiten verificar la aplicación de </w:t>
      </w:r>
      <w:r w:rsidR="00EF60D9" w:rsidRPr="00734D3B">
        <w:t>prácticas</w:t>
      </w:r>
      <w:r w:rsidRPr="00734D3B">
        <w:t xml:space="preserve"> </w:t>
      </w:r>
      <w:proofErr w:type="gramStart"/>
      <w:r w:rsidRPr="00734D3B">
        <w:t xml:space="preserve">sostenibles </w:t>
      </w:r>
      <w:r w:rsidR="00EF60D9" w:rsidRPr="00734D3B">
        <w:t xml:space="preserve"> (</w:t>
      </w:r>
      <w:proofErr w:type="gramEnd"/>
      <w:r w:rsidR="00EF60D9" w:rsidRPr="00734D3B">
        <w:t xml:space="preserve">F-BP-03 – </w:t>
      </w:r>
      <w:proofErr w:type="spellStart"/>
      <w:r w:rsidR="00EF60D9" w:rsidRPr="00734D3B">
        <w:t>Sustainable</w:t>
      </w:r>
      <w:proofErr w:type="spellEnd"/>
      <w:r w:rsidR="00EF60D9" w:rsidRPr="00734D3B">
        <w:t xml:space="preserve"> </w:t>
      </w:r>
      <w:proofErr w:type="spellStart"/>
      <w:r w:rsidR="00EF60D9" w:rsidRPr="00734D3B">
        <w:t>Practices</w:t>
      </w:r>
      <w:proofErr w:type="spellEnd"/>
      <w:r w:rsidR="00EF60D9" w:rsidRPr="00734D3B">
        <w:t xml:space="preserve"> </w:t>
      </w:r>
      <w:proofErr w:type="spellStart"/>
      <w:r w:rsidR="00EF60D9" w:rsidRPr="00734D3B">
        <w:t>Checklist</w:t>
      </w:r>
      <w:proofErr w:type="spellEnd"/>
      <w:r w:rsidR="00EF60D9" w:rsidRPr="00734D3B">
        <w:t xml:space="preserve"> / Lista de Buenas Prácticas)</w:t>
      </w:r>
      <w:r w:rsidR="0042567C" w:rsidRPr="00734D3B">
        <w:t xml:space="preserve"> </w:t>
      </w:r>
      <w:r w:rsidRPr="00734D3B">
        <w:t xml:space="preserve">durante la ejecución del proyecto, promoviendo el uso eficiente de los recursos, la reducción de residuos y la incorporación de criterios de </w:t>
      </w:r>
      <w:r w:rsidR="000E4963" w:rsidRPr="00734D3B">
        <w:t>sostenibilidad</w:t>
      </w:r>
      <w:r w:rsidRPr="00734D3B">
        <w:t xml:space="preserve"> en las actividades operativas. </w:t>
      </w:r>
      <w:r w:rsidR="00E76C73" w:rsidRPr="00734D3B">
        <w:t>Paralelamente, se implementan registros específicos que permiten controlar la generación y disposición de residuos eléctricos</w:t>
      </w:r>
      <w:r w:rsidR="003E763F" w:rsidRPr="00734D3B">
        <w:t xml:space="preserve"> (F-RS-04 – </w:t>
      </w:r>
      <w:proofErr w:type="spellStart"/>
      <w:r w:rsidR="003E763F" w:rsidRPr="00734D3B">
        <w:t>Electrical</w:t>
      </w:r>
      <w:proofErr w:type="spellEnd"/>
      <w:r w:rsidR="003E763F" w:rsidRPr="00734D3B">
        <w:t xml:space="preserve"> Waste Register (RAEE) / Registro de Residuos Eléctricos)</w:t>
      </w:r>
      <w:r w:rsidR="00E76C73" w:rsidRPr="00734D3B">
        <w:t xml:space="preserve">, asegurando su adecuada segregación, almacenamiento temporal y entrega a gestores autorizados, lo que contribuye al cumplimiento normativo y a la </w:t>
      </w:r>
      <w:r w:rsidR="00015AAF" w:rsidRPr="00734D3B">
        <w:t>economía</w:t>
      </w:r>
      <w:r w:rsidR="00E76C73" w:rsidRPr="00734D3B">
        <w:t xml:space="preserve"> circular.</w:t>
      </w:r>
    </w:p>
    <w:p w14:paraId="6CF3200F" w14:textId="1E4301E2" w:rsidR="00E76C73" w:rsidRPr="00734D3B" w:rsidRDefault="00E76C73" w:rsidP="001B0BF8">
      <w:r w:rsidRPr="00734D3B">
        <w:lastRenderedPageBreak/>
        <w:t xml:space="preserve">Durante la fase de ejecución, se incorporan mecanismos de seguimiento continuo mediante el registro de hallazgos ambientales, no conformidades y oportunidades de mejora, lo que permite tomar acciones </w:t>
      </w:r>
      <w:r w:rsidR="009C2E6E" w:rsidRPr="00734D3B">
        <w:t xml:space="preserve">correctivas y preventivas en tiempo real. Asimismo, se fortalece la </w:t>
      </w:r>
      <w:r w:rsidR="00015AAF" w:rsidRPr="00734D3B">
        <w:t>gestión</w:t>
      </w:r>
      <w:r w:rsidR="009C2E6E" w:rsidRPr="00734D3B">
        <w:t xml:space="preserve"> mediante la </w:t>
      </w:r>
      <w:r w:rsidR="00015AAF" w:rsidRPr="00734D3B">
        <w:t>capacitación</w:t>
      </w:r>
      <w:r w:rsidR="009C2E6E" w:rsidRPr="00734D3B">
        <w:t xml:space="preserve"> del personal</w:t>
      </w:r>
      <w:r w:rsidR="002D745B" w:rsidRPr="00734D3B">
        <w:t xml:space="preserve"> (F-CA-06 – </w:t>
      </w:r>
      <w:proofErr w:type="spellStart"/>
      <w:r w:rsidR="002D745B" w:rsidRPr="00734D3B">
        <w:t>Environmental</w:t>
      </w:r>
      <w:proofErr w:type="spellEnd"/>
      <w:r w:rsidR="002D745B" w:rsidRPr="00734D3B">
        <w:t xml:space="preserve"> Training Record / Registro de Capacitación Ambiental)</w:t>
      </w:r>
      <w:r w:rsidR="009C2E6E" w:rsidRPr="00734D3B">
        <w:t>, garantizando que los colaboradores cuenten con los conocimientos necesarios para aplicar correctamente las practicas sostenibles establecidas.</w:t>
      </w:r>
    </w:p>
    <w:p w14:paraId="1E2CB171" w14:textId="099509CE" w:rsidR="009C2E6E" w:rsidRPr="00734D3B" w:rsidRDefault="009C2E6E" w:rsidP="001B0BF8">
      <w:r w:rsidRPr="00734D3B">
        <w:t xml:space="preserve">En cuanto a la evaluación del desempeño, el sistema incluye instrumentos que permiten medir de forma cuantificable los resultados ambientales del proyecto, </w:t>
      </w:r>
      <w:r w:rsidR="00015AAF" w:rsidRPr="00734D3B">
        <w:t>facilitando</w:t>
      </w:r>
      <w:r w:rsidRPr="00734D3B">
        <w:t xml:space="preserve"> el análisis de indicadores clave relacionados con el consumo de recursos, la </w:t>
      </w:r>
      <w:r w:rsidR="00015AAF" w:rsidRPr="00734D3B">
        <w:t>gestión</w:t>
      </w:r>
      <w:r w:rsidRPr="00734D3B">
        <w:t xml:space="preserve"> de residuos y la eficiencia operativa. Este enfoque no lo permite evaluar el cumplimiento de los objetivos ambientales, sino </w:t>
      </w:r>
      <w:r w:rsidR="00015AAF" w:rsidRPr="00734D3B">
        <w:t>también</w:t>
      </w:r>
      <w:r w:rsidRPr="00734D3B">
        <w:t xml:space="preserve"> identificar beneficios adicionales, como la recuperación económica derivada del reciclaje de materiales eléctricos</w:t>
      </w:r>
      <w:r w:rsidR="008E2D1A" w:rsidRPr="00734D3B">
        <w:t xml:space="preserve"> (F-BA-05 – </w:t>
      </w:r>
      <w:proofErr w:type="spellStart"/>
      <w:r w:rsidR="008E2D1A" w:rsidRPr="00734D3B">
        <w:t>Environmental</w:t>
      </w:r>
      <w:proofErr w:type="spellEnd"/>
      <w:r w:rsidR="008E2D1A" w:rsidRPr="00734D3B">
        <w:t xml:space="preserve"> </w:t>
      </w:r>
      <w:proofErr w:type="spellStart"/>
      <w:r w:rsidR="008E2D1A" w:rsidRPr="00734D3B">
        <w:t>Logbook</w:t>
      </w:r>
      <w:proofErr w:type="spellEnd"/>
      <w:r w:rsidR="008E2D1A" w:rsidRPr="00734D3B">
        <w:t xml:space="preserve"> / Bitácora Ambiental)</w:t>
      </w:r>
      <w:r w:rsidRPr="00734D3B">
        <w:t xml:space="preserve">. </w:t>
      </w:r>
    </w:p>
    <w:p w14:paraId="2CC724B4" w14:textId="490C043F" w:rsidR="009C2E6E" w:rsidRPr="00734D3B" w:rsidRDefault="009C2E6E" w:rsidP="001B0BF8">
      <w:proofErr w:type="gramStart"/>
      <w:r w:rsidRPr="00734D3B">
        <w:t>Finalmente ,</w:t>
      </w:r>
      <w:proofErr w:type="gramEnd"/>
      <w:r w:rsidRPr="00734D3B">
        <w:t xml:space="preserve"> el proceso culmina con la consolidación de resultados, donde se documenta el nivel de cumplimiento alcanzado, las lecciones aprendidas y las oportunidades de mejora para fututos proyectos. Esta </w:t>
      </w:r>
      <w:r w:rsidR="007E63F5" w:rsidRPr="00734D3B">
        <w:t>última</w:t>
      </w:r>
      <w:r w:rsidRPr="00734D3B">
        <w:t xml:space="preserve"> fase cierra el ciclo metodológico, y al mismo tiempo, alimenta un proceso de mejora continua que permite optimizar progresivamente la gestión sostenible en proyectos de centros de datos</w:t>
      </w:r>
      <w:r w:rsidR="00277BBF" w:rsidRPr="00734D3B">
        <w:t xml:space="preserve"> (F-CE-08 – </w:t>
      </w:r>
      <w:proofErr w:type="spellStart"/>
      <w:r w:rsidR="00277BBF" w:rsidRPr="00734D3B">
        <w:t>Environmental</w:t>
      </w:r>
      <w:proofErr w:type="spellEnd"/>
      <w:r w:rsidR="00277BBF" w:rsidRPr="00734D3B">
        <w:t xml:space="preserve"> </w:t>
      </w:r>
      <w:proofErr w:type="spellStart"/>
      <w:r w:rsidR="00277BBF" w:rsidRPr="00734D3B">
        <w:t>Closure</w:t>
      </w:r>
      <w:proofErr w:type="spellEnd"/>
      <w:r w:rsidR="00277BBF" w:rsidRPr="00734D3B">
        <w:t xml:space="preserve"> </w:t>
      </w:r>
      <w:proofErr w:type="spellStart"/>
      <w:r w:rsidR="00277BBF" w:rsidRPr="00734D3B">
        <w:t>Report</w:t>
      </w:r>
      <w:proofErr w:type="spellEnd"/>
      <w:r w:rsidR="00277BBF" w:rsidRPr="00734D3B">
        <w:t xml:space="preserve"> / Informe de Cierre Ambiental)</w:t>
      </w:r>
      <w:r w:rsidRPr="00734D3B">
        <w:t xml:space="preserve">. </w:t>
      </w:r>
    </w:p>
    <w:p w14:paraId="082673DD" w14:textId="1BDF6811" w:rsidR="00285B3C" w:rsidRPr="00734D3B" w:rsidRDefault="00285B3C" w:rsidP="00387D90">
      <w:pPr>
        <w:pStyle w:val="Heading1"/>
        <w:numPr>
          <w:ilvl w:val="0"/>
          <w:numId w:val="0"/>
        </w:numPr>
        <w:ind w:left="360"/>
      </w:pPr>
      <w:r w:rsidRPr="00734D3B">
        <w:br w:type="page"/>
      </w:r>
      <w:bookmarkStart w:id="367" w:name="_Toc211465612"/>
      <w:bookmarkStart w:id="368" w:name="_Toc227936434"/>
      <w:bookmarkEnd w:id="361"/>
      <w:r w:rsidRPr="00734D3B">
        <w:lastRenderedPageBreak/>
        <w:t>Conclusiones</w:t>
      </w:r>
      <w:bookmarkEnd w:id="367"/>
      <w:bookmarkEnd w:id="368"/>
    </w:p>
    <w:p w14:paraId="41FFC672" w14:textId="0A1E5228" w:rsidR="00285B3C" w:rsidRPr="00734D3B" w:rsidRDefault="005E4E52" w:rsidP="001D692F">
      <w:pPr>
        <w:pStyle w:val="ListParagraph"/>
        <w:numPr>
          <w:ilvl w:val="0"/>
          <w:numId w:val="54"/>
        </w:numPr>
        <w:contextualSpacing/>
        <w:rPr>
          <w:rFonts w:cs="Arial"/>
          <w:szCs w:val="22"/>
        </w:rPr>
      </w:pPr>
      <w:r w:rsidRPr="00734D3B">
        <w:rPr>
          <w:rFonts w:cs="Arial"/>
          <w:szCs w:val="22"/>
          <w:lang w:val="es-MX"/>
        </w:rPr>
        <w:t>En relación con el diagnóstico del estado actual de la sostenibilidad en los contratistas eléctricos</w:t>
      </w:r>
      <w:r w:rsidR="00BD41EF" w:rsidRPr="00734D3B">
        <w:rPr>
          <w:rFonts w:cs="Arial"/>
          <w:szCs w:val="22"/>
          <w:lang w:val="es-MX"/>
        </w:rPr>
        <w:t>, se concluye que, aunque algunas empresas aplican prácticas ambientales básicas, la gestión sostenible aún no se implementa de manera sistemática en los proyectos eléctricos asociados a centros de datos. Se identificaron debilidades principalmente en el seguimiento del desempeño ambiental</w:t>
      </w:r>
      <w:r w:rsidR="0046524A" w:rsidRPr="00734D3B">
        <w:rPr>
          <w:rFonts w:cs="Arial"/>
          <w:szCs w:val="22"/>
          <w:lang w:val="es-MX"/>
        </w:rPr>
        <w:t xml:space="preserve">, la medición de indicadores y la formalización de procesos de gestión ambiental durante la ejecución de los proyectos. </w:t>
      </w:r>
    </w:p>
    <w:p w14:paraId="7117730B" w14:textId="702F820A" w:rsidR="0046524A" w:rsidRPr="00734D3B" w:rsidRDefault="0046524A" w:rsidP="001D692F">
      <w:pPr>
        <w:pStyle w:val="ListParagraph"/>
        <w:numPr>
          <w:ilvl w:val="0"/>
          <w:numId w:val="54"/>
        </w:numPr>
        <w:contextualSpacing/>
        <w:rPr>
          <w:rFonts w:cs="Arial"/>
          <w:szCs w:val="22"/>
        </w:rPr>
      </w:pPr>
      <w:r w:rsidRPr="00734D3B">
        <w:rPr>
          <w:rFonts w:cs="Arial"/>
          <w:szCs w:val="22"/>
          <w:lang w:val="es-MX"/>
        </w:rPr>
        <w:t xml:space="preserve">Respecto al análisis de normativas y buenas prácticas internacionales, se determinó que existen </w:t>
      </w:r>
      <w:r w:rsidR="00BE71E4" w:rsidRPr="00734D3B">
        <w:rPr>
          <w:rFonts w:cs="Arial"/>
          <w:szCs w:val="22"/>
          <w:lang w:val="es-MX"/>
        </w:rPr>
        <w:t>m</w:t>
      </w:r>
      <w:r w:rsidRPr="00734D3B">
        <w:rPr>
          <w:rFonts w:cs="Arial"/>
          <w:szCs w:val="22"/>
          <w:lang w:val="es-MX"/>
        </w:rPr>
        <w:t>arcos de referencia ampliamente reconocidos</w:t>
      </w:r>
      <w:r w:rsidR="00E11312" w:rsidRPr="00734D3B">
        <w:rPr>
          <w:rFonts w:cs="Arial"/>
          <w:szCs w:val="22"/>
          <w:lang w:val="es-MX"/>
        </w:rPr>
        <w:t xml:space="preserve">, cómo estándares ambientales, lineamientos de sostenibilidad y buenas prácticas en gestión energética y de residuos, que pueden ser aplicados en proyectos eléctricos de centros de datos. </w:t>
      </w:r>
      <w:r w:rsidR="00002E2A" w:rsidRPr="00734D3B">
        <w:rPr>
          <w:rFonts w:cs="Arial"/>
          <w:szCs w:val="22"/>
          <w:lang w:val="es-MX"/>
        </w:rPr>
        <w:t>Es</w:t>
      </w:r>
      <w:r w:rsidR="00BE71E4" w:rsidRPr="00734D3B">
        <w:rPr>
          <w:rFonts w:cs="Arial"/>
          <w:szCs w:val="22"/>
          <w:lang w:val="es-MX"/>
        </w:rPr>
        <w:t>tos m</w:t>
      </w:r>
      <w:r w:rsidR="00002E2A" w:rsidRPr="00734D3B">
        <w:rPr>
          <w:rFonts w:cs="Arial"/>
          <w:szCs w:val="22"/>
          <w:lang w:val="es-MX"/>
        </w:rPr>
        <w:t>arcos proporcionan criterios técnicos que facilitan la planificación y el control ambiental de los proyectos.</w:t>
      </w:r>
    </w:p>
    <w:p w14:paraId="6BF0A452" w14:textId="1B6785EE" w:rsidR="00002E2A" w:rsidRPr="00734D3B" w:rsidRDefault="00002E2A" w:rsidP="001D692F">
      <w:pPr>
        <w:pStyle w:val="ListParagraph"/>
        <w:numPr>
          <w:ilvl w:val="0"/>
          <w:numId w:val="54"/>
        </w:numPr>
        <w:contextualSpacing/>
        <w:rPr>
          <w:rFonts w:cs="Arial"/>
          <w:szCs w:val="22"/>
        </w:rPr>
      </w:pPr>
      <w:r w:rsidRPr="00734D3B">
        <w:rPr>
          <w:rFonts w:cs="Arial"/>
          <w:szCs w:val="22"/>
          <w:lang w:val="es-MX"/>
        </w:rPr>
        <w:t xml:space="preserve">En relación con la gestión de residuos eléctricos y electrónicos, se concluye que este tipo de proyecto genera una cantidad significativa de residuos asociados a cableado, </w:t>
      </w:r>
      <w:r w:rsidR="0036338D" w:rsidRPr="00734D3B">
        <w:rPr>
          <w:rFonts w:cs="Arial"/>
          <w:szCs w:val="22"/>
          <w:lang w:val="es-MX"/>
        </w:rPr>
        <w:t>componentes eléctricos, baterías y equipos electrónicos. Por lo tanto, resulta fundamental establecer lineamientos operativos que permitan una adecuada clasificación, almacenamiento, reciclaje y disposición final de estos residuos promoviendo principios de economía circular y reducción de impactos ambientales</w:t>
      </w:r>
      <w:r w:rsidR="008A3AF5" w:rsidRPr="00734D3B">
        <w:rPr>
          <w:rFonts w:cs="Arial"/>
          <w:szCs w:val="22"/>
          <w:lang w:val="es-MX"/>
        </w:rPr>
        <w:t>.</w:t>
      </w:r>
    </w:p>
    <w:p w14:paraId="56F4B441" w14:textId="66B12C2A" w:rsidR="008A3AF5" w:rsidRPr="00734D3B" w:rsidRDefault="008A3AF5" w:rsidP="001D692F">
      <w:pPr>
        <w:pStyle w:val="ListParagraph"/>
        <w:numPr>
          <w:ilvl w:val="0"/>
          <w:numId w:val="54"/>
        </w:numPr>
        <w:contextualSpacing/>
        <w:rPr>
          <w:rFonts w:cs="Arial"/>
          <w:szCs w:val="22"/>
        </w:rPr>
      </w:pPr>
      <w:r w:rsidRPr="00734D3B">
        <w:rPr>
          <w:rFonts w:cs="Arial"/>
          <w:szCs w:val="22"/>
          <w:lang w:val="es-MX"/>
        </w:rPr>
        <w:t>Con respecto al diseño del sistema de indicadores de desempeño ambiental (KPI) se concluye que estos indicadores constituyen una herramienta efectiva para monitorear y medir el desempeño ambiental de los contratistas eléctricos</w:t>
      </w:r>
      <w:r w:rsidR="00D37141" w:rsidRPr="00734D3B">
        <w:rPr>
          <w:rFonts w:cs="Arial"/>
          <w:szCs w:val="22"/>
          <w:lang w:val="es-MX"/>
        </w:rPr>
        <w:t xml:space="preserve">. Los indicadores propuestos permiten evaluar aspectos claves como el consumo energético, el uso del </w:t>
      </w:r>
      <w:r w:rsidR="00D37141" w:rsidRPr="00734D3B">
        <w:rPr>
          <w:rFonts w:cs="Arial"/>
          <w:szCs w:val="22"/>
          <w:lang w:val="es-MX"/>
        </w:rPr>
        <w:lastRenderedPageBreak/>
        <w:t>agua, emisiones de carbono, gestión de residuos y cumplimiento ambiental, facilitando la toma de decisiones orientadas a la mejora continua.</w:t>
      </w:r>
    </w:p>
    <w:p w14:paraId="0B56EB0B" w14:textId="0F8A3A06" w:rsidR="00D37141" w:rsidRPr="00734D3B" w:rsidRDefault="009F2C61" w:rsidP="001D692F">
      <w:pPr>
        <w:pStyle w:val="ListParagraph"/>
        <w:numPr>
          <w:ilvl w:val="0"/>
          <w:numId w:val="52"/>
        </w:numPr>
        <w:contextualSpacing/>
        <w:rPr>
          <w:rFonts w:cs="Arial"/>
          <w:szCs w:val="22"/>
        </w:rPr>
      </w:pPr>
      <w:r w:rsidRPr="00734D3B">
        <w:rPr>
          <w:rFonts w:cs="Arial"/>
          <w:szCs w:val="22"/>
          <w:lang w:val="es-MX"/>
        </w:rPr>
        <w:t>Final</w:t>
      </w:r>
      <w:r w:rsidR="00D37141" w:rsidRPr="00734D3B">
        <w:rPr>
          <w:rFonts w:cs="Arial"/>
          <w:szCs w:val="22"/>
          <w:lang w:val="es-MX"/>
        </w:rPr>
        <w:t>mente, en relación con el diseño de la guía metodológica de gestión sostenible, se concluye que la integración de diagnóstico ambiental, buenas prácticas sostenibles, lineamientos operativos y un sistema de indicadores permite estructurar un modelo aplicable y replicable en los proyectos eléctricos de centros de datos. Esta guía constituye una herramienta que puede contribuir a mejorar la planificación ambiental</w:t>
      </w:r>
      <w:r w:rsidR="00AB45A0" w:rsidRPr="00734D3B">
        <w:rPr>
          <w:rFonts w:cs="Arial"/>
          <w:szCs w:val="22"/>
          <w:lang w:val="es-MX"/>
        </w:rPr>
        <w:t>, reducir impactos ambientales y fortalecer la cultura de sostenibilidad dentro de las empresas contratistas del sector eléctrico.</w:t>
      </w:r>
    </w:p>
    <w:p w14:paraId="04B2855F" w14:textId="3CBF3128" w:rsidR="00895A78" w:rsidRPr="00734D3B" w:rsidRDefault="003E2EC9" w:rsidP="001D692F">
      <w:pPr>
        <w:pStyle w:val="ListParagraph"/>
        <w:numPr>
          <w:ilvl w:val="0"/>
          <w:numId w:val="52"/>
        </w:numPr>
        <w:contextualSpacing/>
        <w:rPr>
          <w:rFonts w:cs="Arial"/>
          <w:szCs w:val="22"/>
        </w:rPr>
      </w:pPr>
      <w:r w:rsidRPr="00734D3B">
        <w:rPr>
          <w:rFonts w:cs="Arial"/>
          <w:szCs w:val="22"/>
          <w:lang w:val="es-MX"/>
        </w:rPr>
        <w:t>De manera general, se concluye que la sostenibilidad en proyectos eléctricos asociados a centros de datos no debe abordarse como un elemento complementario, sino como un eje transversal en todas las etapas del proyecto. La investigación y evidencia que integrar criterios ambientales desde la fase de planificación permite anticipar riesgos</w:t>
      </w:r>
      <w:r w:rsidR="00B35D71" w:rsidRPr="00734D3B">
        <w:rPr>
          <w:rFonts w:cs="Arial"/>
          <w:szCs w:val="22"/>
          <w:lang w:val="es-MX"/>
        </w:rPr>
        <w:t>, optimizar recursos y reducir costos operativos a largo plazo, lo cual genera beneficios tanto ambientales como económicos para las empresas contratistas.</w:t>
      </w:r>
    </w:p>
    <w:p w14:paraId="0521695F" w14:textId="697D5BA9" w:rsidR="00B35D71" w:rsidRPr="00734D3B" w:rsidRDefault="00B35D71" w:rsidP="001D692F">
      <w:pPr>
        <w:pStyle w:val="ListParagraph"/>
        <w:numPr>
          <w:ilvl w:val="0"/>
          <w:numId w:val="52"/>
        </w:numPr>
        <w:contextualSpacing/>
        <w:rPr>
          <w:rFonts w:cs="Arial"/>
          <w:szCs w:val="22"/>
        </w:rPr>
      </w:pPr>
      <w:r w:rsidRPr="00734D3B">
        <w:rPr>
          <w:rFonts w:cs="Arial"/>
          <w:szCs w:val="22"/>
          <w:lang w:val="es-MX"/>
        </w:rPr>
        <w:t xml:space="preserve">Asimismo, </w:t>
      </w:r>
      <w:r w:rsidR="000644D8" w:rsidRPr="00734D3B">
        <w:rPr>
          <w:rFonts w:cs="Arial"/>
          <w:szCs w:val="22"/>
          <w:lang w:val="es-MX"/>
        </w:rPr>
        <w:t xml:space="preserve">se determina que </w:t>
      </w:r>
      <w:r w:rsidR="007900CB" w:rsidRPr="00734D3B">
        <w:rPr>
          <w:rFonts w:cs="Arial"/>
          <w:szCs w:val="22"/>
          <w:lang w:val="es-MX"/>
        </w:rPr>
        <w:t>la ausencia de metodologías estructuradas dificulta</w:t>
      </w:r>
      <w:r w:rsidR="000644D8" w:rsidRPr="00734D3B">
        <w:rPr>
          <w:rFonts w:cs="Arial"/>
          <w:szCs w:val="22"/>
          <w:lang w:val="es-MX"/>
        </w:rPr>
        <w:t xml:space="preserve"> la implementación efectiva de prácticas sostenibles en el sector eléctrico, en este sentido, la guía metodológica propuesta responde a esta necesidad</w:t>
      </w:r>
      <w:r w:rsidR="00BB4C0B" w:rsidRPr="00734D3B">
        <w:rPr>
          <w:rFonts w:cs="Arial"/>
          <w:szCs w:val="22"/>
          <w:lang w:val="es-MX"/>
        </w:rPr>
        <w:t>, al proporcionar un enfoque sistemático que facilita la toma de decisiones, la estandarización de procesos y la mejora del desempeño ambiental en proyectos de alta demanda energética como los centros de datos.</w:t>
      </w:r>
    </w:p>
    <w:p w14:paraId="3C257E02" w14:textId="25F21924" w:rsidR="00BB4C0B" w:rsidRPr="00734D3B" w:rsidRDefault="00BB4C0B" w:rsidP="001D692F">
      <w:pPr>
        <w:pStyle w:val="ListParagraph"/>
        <w:numPr>
          <w:ilvl w:val="0"/>
          <w:numId w:val="52"/>
        </w:numPr>
        <w:contextualSpacing/>
        <w:rPr>
          <w:rFonts w:cs="Arial"/>
          <w:szCs w:val="22"/>
        </w:rPr>
      </w:pPr>
      <w:r w:rsidRPr="00734D3B">
        <w:rPr>
          <w:rFonts w:cs="Arial"/>
          <w:szCs w:val="22"/>
          <w:lang w:val="es-MX"/>
        </w:rPr>
        <w:t xml:space="preserve">Se concluye también que el uso de indicadores de desempeño ambiental no sólo permite medir resultados, sino que constituye una herramienta estratégica para la gestión empresarial, ya que facilita la identificación de oportunidades de mejora, la optimización de recursos y el cumplimiento de estándares internacionales. Esto resulta </w:t>
      </w:r>
      <w:r w:rsidRPr="00734D3B">
        <w:rPr>
          <w:rFonts w:cs="Arial"/>
          <w:szCs w:val="22"/>
          <w:lang w:val="es-MX"/>
        </w:rPr>
        <w:lastRenderedPageBreak/>
        <w:t>especialmente relevante en un contexto donde la sostenibilidad es cada vez más valorada por inversionistas y clientes.</w:t>
      </w:r>
    </w:p>
    <w:p w14:paraId="6032A982" w14:textId="567C6E3C" w:rsidR="00285B3C" w:rsidRPr="00734D3B" w:rsidRDefault="00BB4C0B" w:rsidP="001D692F">
      <w:pPr>
        <w:pStyle w:val="ListParagraph"/>
        <w:numPr>
          <w:ilvl w:val="0"/>
          <w:numId w:val="52"/>
        </w:numPr>
        <w:contextualSpacing/>
        <w:rPr>
          <w:rFonts w:cs="Arial"/>
          <w:szCs w:val="22"/>
        </w:rPr>
      </w:pPr>
      <w:r w:rsidRPr="00734D3B">
        <w:rPr>
          <w:rFonts w:cs="Arial"/>
          <w:szCs w:val="22"/>
          <w:lang w:val="es-MX"/>
        </w:rPr>
        <w:t>Otro aspecto relevante es que la gestión adecuada de residuos eléctricos y electrónicos representa uno de los principales retos ambientales en este tipo de proyectos</w:t>
      </w:r>
      <w:r w:rsidR="00F55B68" w:rsidRPr="00734D3B">
        <w:rPr>
          <w:rFonts w:cs="Arial"/>
          <w:szCs w:val="22"/>
          <w:lang w:val="es-MX"/>
        </w:rPr>
        <w:t xml:space="preserve">. La investigación demuestra que la falta de control en esta área puede generar impactos negativos significativos, por lo que su adecuada gestión no sólo es una obligación normativa, sino también una oportunidad para implementar prácticas de economía circular. </w:t>
      </w:r>
    </w:p>
    <w:p w14:paraId="1C7935D1" w14:textId="77777777" w:rsidR="009F2C61" w:rsidRPr="00734D3B" w:rsidRDefault="009F2C61">
      <w:pPr>
        <w:spacing w:line="240" w:lineRule="auto"/>
        <w:ind w:firstLine="0"/>
        <w:rPr>
          <w:highlight w:val="lightGray"/>
        </w:rPr>
      </w:pPr>
      <w:bookmarkStart w:id="369" w:name="_Toc211465613"/>
      <w:r w:rsidRPr="00734D3B">
        <w:rPr>
          <w:b/>
          <w:bCs/>
          <w:highlight w:val="lightGray"/>
        </w:rPr>
        <w:br w:type="page"/>
      </w:r>
    </w:p>
    <w:p w14:paraId="4DD6D8D6" w14:textId="50E450FC" w:rsidR="00285B3C" w:rsidRPr="00734D3B" w:rsidRDefault="00285B3C" w:rsidP="00387D90">
      <w:pPr>
        <w:pStyle w:val="Heading1"/>
        <w:numPr>
          <w:ilvl w:val="0"/>
          <w:numId w:val="0"/>
        </w:numPr>
        <w:ind w:left="720"/>
        <w:rPr>
          <w:b w:val="0"/>
          <w:bCs w:val="0"/>
        </w:rPr>
      </w:pPr>
      <w:bookmarkStart w:id="370" w:name="_Toc227936435"/>
      <w:r w:rsidRPr="00734D3B">
        <w:lastRenderedPageBreak/>
        <w:t>Recomendaciones</w:t>
      </w:r>
      <w:bookmarkEnd w:id="369"/>
      <w:bookmarkEnd w:id="370"/>
    </w:p>
    <w:p w14:paraId="53BDE833" w14:textId="75E0BEAB" w:rsidR="00285B3C" w:rsidRPr="00734D3B" w:rsidRDefault="00B44C07" w:rsidP="001D692F">
      <w:pPr>
        <w:pStyle w:val="ListParagraph"/>
        <w:numPr>
          <w:ilvl w:val="0"/>
          <w:numId w:val="55"/>
        </w:numPr>
        <w:contextualSpacing/>
        <w:rPr>
          <w:rFonts w:cs="Arial"/>
          <w:szCs w:val="22"/>
        </w:rPr>
      </w:pPr>
      <w:r w:rsidRPr="00734D3B">
        <w:rPr>
          <w:rFonts w:cs="Arial"/>
          <w:szCs w:val="22"/>
          <w:lang w:val="es-MX"/>
        </w:rPr>
        <w:t>A</w:t>
      </w:r>
      <w:r w:rsidR="00AB45A0" w:rsidRPr="00734D3B">
        <w:rPr>
          <w:rFonts w:cs="Arial"/>
          <w:szCs w:val="22"/>
          <w:lang w:val="es-MX"/>
        </w:rPr>
        <w:t xml:space="preserve"> los contratistas eléctricos que participan en proyectos de centros de datos</w:t>
      </w:r>
      <w:r w:rsidR="0009505A" w:rsidRPr="00734D3B">
        <w:rPr>
          <w:rFonts w:cs="Arial"/>
          <w:szCs w:val="22"/>
          <w:lang w:val="es-MX"/>
        </w:rPr>
        <w:t>, se recomienda adoptar la guía metodológica propuesta como herramienta de gestión ambiental, con el fin de fortalecer la integración de criterios de sostenibilidad durante la planificación, ejecución y cierre de los proyectos eléctricos.</w:t>
      </w:r>
    </w:p>
    <w:p w14:paraId="54319588" w14:textId="06D0C3F2" w:rsidR="0009505A" w:rsidRPr="00734D3B" w:rsidRDefault="0009505A" w:rsidP="001D692F">
      <w:pPr>
        <w:pStyle w:val="ListParagraph"/>
        <w:numPr>
          <w:ilvl w:val="0"/>
          <w:numId w:val="55"/>
        </w:numPr>
        <w:contextualSpacing/>
        <w:rPr>
          <w:rFonts w:cs="Arial"/>
          <w:szCs w:val="22"/>
        </w:rPr>
      </w:pPr>
      <w:r w:rsidRPr="00734D3B">
        <w:rPr>
          <w:rFonts w:cs="Arial"/>
          <w:szCs w:val="22"/>
          <w:lang w:val="es-MX"/>
        </w:rPr>
        <w:t>A las empresas desarrolladoras de centros de datos, se les recomienda incorporar requisitos de sostenibilidad ambiental dentro de los procesos de contratación de proveedores y contratistas eléctrico, promoviendo el uso de indicadores ambientales, buenas prácticas sostenibles y sistema de monitoreo del desempeño ambiental.</w:t>
      </w:r>
    </w:p>
    <w:p w14:paraId="39BCE97D" w14:textId="22DED739" w:rsidR="0009505A" w:rsidRPr="00734D3B" w:rsidRDefault="002164E0" w:rsidP="001D692F">
      <w:pPr>
        <w:pStyle w:val="ListParagraph"/>
        <w:numPr>
          <w:ilvl w:val="0"/>
          <w:numId w:val="55"/>
        </w:numPr>
        <w:contextualSpacing/>
        <w:rPr>
          <w:rFonts w:cs="Arial"/>
          <w:szCs w:val="22"/>
        </w:rPr>
      </w:pPr>
      <w:r w:rsidRPr="00734D3B">
        <w:rPr>
          <w:rFonts w:cs="Arial"/>
          <w:szCs w:val="22"/>
          <w:lang w:val="es-MX"/>
        </w:rPr>
        <w:t>A las autoridades regulatorias y organismos ambientales,</w:t>
      </w:r>
      <w:r w:rsidR="00EF0982" w:rsidRPr="00734D3B">
        <w:rPr>
          <w:rFonts w:cs="Arial"/>
          <w:szCs w:val="22"/>
          <w:lang w:val="es-MX"/>
        </w:rPr>
        <w:t xml:space="preserve"> se </w:t>
      </w:r>
      <w:r w:rsidRPr="00734D3B">
        <w:rPr>
          <w:rFonts w:cs="Arial"/>
          <w:szCs w:val="22"/>
          <w:lang w:val="es-MX"/>
        </w:rPr>
        <w:t>recomiend</w:t>
      </w:r>
      <w:r w:rsidR="00EF0982" w:rsidRPr="00734D3B">
        <w:rPr>
          <w:rFonts w:cs="Arial"/>
          <w:szCs w:val="22"/>
          <w:lang w:val="es-MX"/>
        </w:rPr>
        <w:t>a</w:t>
      </w:r>
      <w:r w:rsidRPr="00734D3B">
        <w:rPr>
          <w:rFonts w:cs="Arial"/>
          <w:szCs w:val="22"/>
          <w:lang w:val="es-MX"/>
        </w:rPr>
        <w:t xml:space="preserve"> fortalecer los mecanismos de supervisión y control ambiental en proyectos de infraestructura tecnológica, incentivando la adopción de estándares internacionales de sostenibilidad y la implementación de sistemas de gestión ambiental.</w:t>
      </w:r>
    </w:p>
    <w:p w14:paraId="5026C51F" w14:textId="01FF9529" w:rsidR="002164E0" w:rsidRPr="00734D3B" w:rsidRDefault="00DD477A" w:rsidP="001D692F">
      <w:pPr>
        <w:pStyle w:val="ListParagraph"/>
        <w:numPr>
          <w:ilvl w:val="0"/>
          <w:numId w:val="55"/>
        </w:numPr>
        <w:contextualSpacing/>
        <w:rPr>
          <w:rFonts w:cs="Arial"/>
          <w:szCs w:val="22"/>
        </w:rPr>
      </w:pPr>
      <w:r w:rsidRPr="00734D3B">
        <w:rPr>
          <w:rFonts w:cs="Arial"/>
          <w:szCs w:val="22"/>
          <w:lang w:val="es-MX"/>
        </w:rPr>
        <w:t>A las empresas contratistas del sector eléctrico, se recomienda promover programas de capacitación continua en gestión ambiental y sostenibilidad para su personal técnico y operativo, con el propósito de mejorar la implementación de prácticas responsables en el manejo de recursos, residuos y emisiones.</w:t>
      </w:r>
    </w:p>
    <w:p w14:paraId="29C4CDCB" w14:textId="0B7DBF9F" w:rsidR="00DD477A" w:rsidRPr="00734D3B" w:rsidRDefault="00B44C07" w:rsidP="001D692F">
      <w:pPr>
        <w:pStyle w:val="ListParagraph"/>
        <w:numPr>
          <w:ilvl w:val="0"/>
          <w:numId w:val="55"/>
        </w:numPr>
        <w:contextualSpacing/>
        <w:rPr>
          <w:rFonts w:cs="Arial"/>
          <w:szCs w:val="22"/>
        </w:rPr>
      </w:pPr>
      <w:r w:rsidRPr="00734D3B">
        <w:rPr>
          <w:rFonts w:cs="Arial"/>
          <w:szCs w:val="22"/>
          <w:lang w:val="es-MX"/>
        </w:rPr>
        <w:t>Para futuras investigaciones se recomienda ampliar el análisis del impacto ambiental de los centros de datos incorporando variables adicionales como eficiencia en sistemas de enfriamiento, integración de energías renovables y análisis del ciclo de vida de los equipos eléctricos utilizados en este tipo de infraestructura tecnol</w:t>
      </w:r>
      <w:r w:rsidR="00EF0982" w:rsidRPr="00734D3B">
        <w:rPr>
          <w:rFonts w:cs="Arial"/>
          <w:szCs w:val="22"/>
          <w:lang w:val="es-MX"/>
        </w:rPr>
        <w:t>ó</w:t>
      </w:r>
      <w:r w:rsidRPr="00734D3B">
        <w:rPr>
          <w:rFonts w:cs="Arial"/>
          <w:szCs w:val="22"/>
          <w:lang w:val="es-MX"/>
        </w:rPr>
        <w:t>g</w:t>
      </w:r>
      <w:r w:rsidR="00EF0982" w:rsidRPr="00734D3B">
        <w:rPr>
          <w:rFonts w:cs="Arial"/>
          <w:szCs w:val="22"/>
          <w:lang w:val="es-MX"/>
        </w:rPr>
        <w:t>ica.</w:t>
      </w:r>
    </w:p>
    <w:p w14:paraId="1941AA41" w14:textId="77777777" w:rsidR="00895A78" w:rsidRPr="00734D3B" w:rsidRDefault="00895A78" w:rsidP="001D692F">
      <w:pPr>
        <w:pStyle w:val="ListParagraph"/>
        <w:numPr>
          <w:ilvl w:val="0"/>
          <w:numId w:val="55"/>
        </w:numPr>
        <w:contextualSpacing/>
        <w:rPr>
          <w:rFonts w:cs="Arial"/>
          <w:szCs w:val="22"/>
        </w:rPr>
      </w:pPr>
      <w:bookmarkStart w:id="371" w:name="_Toc211465614"/>
      <w:r w:rsidRPr="00734D3B">
        <w:rPr>
          <w:rFonts w:cs="Arial"/>
          <w:szCs w:val="22"/>
          <w:lang w:val="es-MX"/>
        </w:rPr>
        <w:t>Se recomienda a los contratistas eléctricos de establecer sistemas formales de gestión ambiental dentro de sus organizaciones, integrando políticas, procedimientos y mecanismos de control que permitan dar seguimiento continuo al desempeño ambiental de sus proyectos, más allá del cumplimiento mínimo de la normativa vigente.</w:t>
      </w:r>
    </w:p>
    <w:p w14:paraId="072D42F1" w14:textId="77777777" w:rsidR="00895A78" w:rsidRPr="00734D3B" w:rsidRDefault="00895A78" w:rsidP="001D692F">
      <w:pPr>
        <w:pStyle w:val="ListParagraph"/>
        <w:numPr>
          <w:ilvl w:val="0"/>
          <w:numId w:val="55"/>
        </w:numPr>
        <w:contextualSpacing/>
        <w:rPr>
          <w:rFonts w:cs="Arial"/>
          <w:szCs w:val="22"/>
        </w:rPr>
      </w:pPr>
      <w:r w:rsidRPr="00734D3B">
        <w:rPr>
          <w:rFonts w:cs="Arial"/>
          <w:szCs w:val="22"/>
          <w:lang w:val="es-MX"/>
        </w:rPr>
        <w:lastRenderedPageBreak/>
        <w:t>Se sugiere a las empresas del sector incorporar herramientas tecnológicas para el monitoreo en tiempo real del consumo energético, uso del agua y generación de residuos, lo cual permitirá mejorar la precisión en la toma de decisiones y optimizar la eficiencia operativa en proyectos de centros de datos.</w:t>
      </w:r>
    </w:p>
    <w:p w14:paraId="6E6DBFAC" w14:textId="77777777" w:rsidR="00895A78" w:rsidRPr="00734D3B" w:rsidRDefault="00895A78" w:rsidP="001D692F">
      <w:pPr>
        <w:pStyle w:val="ListParagraph"/>
        <w:numPr>
          <w:ilvl w:val="0"/>
          <w:numId w:val="55"/>
        </w:numPr>
        <w:contextualSpacing/>
        <w:rPr>
          <w:rFonts w:cs="Arial"/>
          <w:szCs w:val="22"/>
        </w:rPr>
      </w:pPr>
      <w:r w:rsidRPr="00734D3B">
        <w:rPr>
          <w:rFonts w:cs="Arial"/>
          <w:szCs w:val="22"/>
          <w:lang w:val="es-MX"/>
        </w:rPr>
        <w:t>A las organizaciones involucradas en este tipo de proyectos se les recomienda fomentar la innovación en soluciones sostenibles, promoviendo la investigación y adopción de nuevas tecnologías, cómo sistemas de enfriamiento más eficientes, energías renovables y materiales de menor impacto ambiental.</w:t>
      </w:r>
    </w:p>
    <w:p w14:paraId="035F20D0" w14:textId="77777777" w:rsidR="00895A78" w:rsidRPr="00734D3B" w:rsidRDefault="00895A78" w:rsidP="001D692F">
      <w:pPr>
        <w:pStyle w:val="ListParagraph"/>
        <w:numPr>
          <w:ilvl w:val="0"/>
          <w:numId w:val="55"/>
        </w:numPr>
        <w:contextualSpacing/>
        <w:rPr>
          <w:rFonts w:cs="Arial"/>
          <w:szCs w:val="22"/>
        </w:rPr>
      </w:pPr>
      <w:r w:rsidRPr="00734D3B">
        <w:rPr>
          <w:rFonts w:cs="Arial"/>
          <w:szCs w:val="22"/>
          <w:lang w:val="es-MX"/>
        </w:rPr>
        <w:t xml:space="preserve">Se recomienda fortalecer la colaboración entre el sector público, privado y académico, con el fin de generar espacios de intercambio de conocimiento, desarrollo de buenas prácticas y actualización constante en temas de sostenibilidad aplicados en la infraestructura tecnológica. </w:t>
      </w:r>
    </w:p>
    <w:p w14:paraId="3C16DB7A" w14:textId="77777777" w:rsidR="009F2C61" w:rsidRPr="00734D3B" w:rsidRDefault="009F2C61">
      <w:pPr>
        <w:spacing w:line="240" w:lineRule="auto"/>
        <w:ind w:firstLine="0"/>
        <w:rPr>
          <w:b/>
          <w:bCs/>
        </w:rPr>
      </w:pPr>
      <w:r w:rsidRPr="00734D3B">
        <w:br w:type="page"/>
      </w:r>
    </w:p>
    <w:p w14:paraId="46FF0A3C" w14:textId="6D82557F" w:rsidR="00264EEB" w:rsidRPr="00734D3B" w:rsidRDefault="00264EEB" w:rsidP="001D692F">
      <w:pPr>
        <w:pStyle w:val="Heading1"/>
        <w:numPr>
          <w:ilvl w:val="0"/>
          <w:numId w:val="53"/>
        </w:numPr>
      </w:pPr>
      <w:bookmarkStart w:id="372" w:name="_Toc227936436"/>
      <w:r w:rsidRPr="00734D3B">
        <w:lastRenderedPageBreak/>
        <w:t>Validación del trabajo en el campo del desarrollo regenerativo y/o sostenible</w:t>
      </w:r>
      <w:bookmarkEnd w:id="371"/>
      <w:bookmarkEnd w:id="372"/>
    </w:p>
    <w:p w14:paraId="1BC3B41A" w14:textId="6F5BE5C6" w:rsidR="00FA0F8C" w:rsidRPr="00734D3B" w:rsidRDefault="006A11C0" w:rsidP="00FA0F8C">
      <w:r w:rsidRPr="00734D3B">
        <w:t>El desarrollo sostenible se ha convertido en una guía importante para que gobiernos y empresas tomen decisiones equilibradas entre el progreso económico, el bienestar social y el cuidado del ambiente. Según el Informe Brundtland (WCED, 1987), el desarrollo sostenible es aquel que satisface las necesidades del presente sin poner en riesgo las de las generaciones futuras. Esto significa usar los recursos naturales de manera responsable y pensar en el bienestar de quienes vendrán después. Con el paso del tiempo, esta idea se ha transformado en políticas, normas e indicadores que ayudan a incluir aspectos ambientales y sociales en la planificación y ejecución de los proyectos, especialmente en los de infraestructura tecnológica, como los centros de datos, que consumen mucha energía y materiales.</w:t>
      </w:r>
    </w:p>
    <w:p w14:paraId="1FFF2422" w14:textId="69CEBB99" w:rsidR="006A11C0" w:rsidRPr="00734D3B" w:rsidRDefault="00DA1ACF" w:rsidP="00FA0F8C">
      <w:r w:rsidRPr="00734D3B">
        <w:t>Por otro lado, el desarrollo regenerativo va más allá de solo reducir los impactos negativos. Su objetivo es restaurar y mejorar los ecosistemas y las comunidades donde se desarrollan los proyectos. Este enfoque entiende que los territorios, las personas y las cadenas de valor forman parte de un mismo sistema, por lo que busca acciones que fortalezcan la naturaleza y a las comunidades locales (Mang y Reed, 2012). En lugar de solo compensar los daños, la regeneración busca dejar resultados positivos, como el uso más eficiente de los materiales, la reducción de residuos, la mejora del entorno y la creación de relaciones de colaboración entre empresas y comunidades.</w:t>
      </w:r>
    </w:p>
    <w:p w14:paraId="3BBEDD36" w14:textId="48FBBAAF" w:rsidR="00A544DF" w:rsidRPr="00734D3B" w:rsidRDefault="00A544DF" w:rsidP="00FA0F8C">
      <w:r w:rsidRPr="00734D3B">
        <w:t xml:space="preserve">En la gestión de proyectos, ambos enfoques pueden aplicarse a través de buenas prácticas, herramientas y decisiones responsables en cada etapa del trabajo. El Project Management Institute (PMI, 2021) explica que crear valor en un proyecto implica integrar la sostenibilidad desde la definición del producto, la planificación de compras, la gestión de la calidad y el seguimiento del desempeño. Otros autores, como Silvius y Schipper (2019), destacan que la sostenibilidad también requiere mirar más allá de los aspectos tradicionales de </w:t>
      </w:r>
      <w:r w:rsidRPr="00734D3B">
        <w:lastRenderedPageBreak/>
        <w:t>tiempo, costo y alcance, incorporando medidas ambientales y sociales que reflejen los impactos reales del proyecto.</w:t>
      </w:r>
    </w:p>
    <w:p w14:paraId="1436E10F" w14:textId="0DF97F78" w:rsidR="00295B05" w:rsidRPr="00734D3B" w:rsidRDefault="00F15F82" w:rsidP="00FA0F8C">
      <w:r w:rsidRPr="00734D3B">
        <w:t>El desarrollo sostenible, aplicado</w:t>
      </w:r>
      <w:r w:rsidR="0028435D" w:rsidRPr="00734D3B">
        <w:t xml:space="preserve"> en los </w:t>
      </w:r>
      <w:r w:rsidRPr="00734D3B">
        <w:t xml:space="preserve">centros de datos, implica decisiones racionales y conscientes en cada fase del ciclo de vida: planificación, construcción, operación y mantenimiento. Estas decisiones se traducen en prácticas específicas, </w:t>
      </w:r>
      <w:r w:rsidR="00A23C53" w:rsidRPr="00734D3B">
        <w:t>como usar materiales y empaques con menor impacto ambiental, aplicar métodos de prefabricación para reducir desperdicios, manejar correctamente los residuos eléctricos y registrar indicadores ambientales como la eficiencia en el uso de materiales y la cantidad de desechos reciclados.</w:t>
      </w:r>
    </w:p>
    <w:p w14:paraId="2A206ECD" w14:textId="6AF71F39" w:rsidR="00FA0F8C" w:rsidRPr="00734D3B" w:rsidRDefault="00BE116D" w:rsidP="00FA0F8C">
      <w:r w:rsidRPr="00734D3B">
        <w:t>La importancia de estos enfoques en la industria eléctrica es grande. Por un lado, los centros de datos usan muchos recursos como metales, plásticos y madera, que pueden convertirse en residuos si no se gestionan correctamente. Por otro lado, el trabajo de construcción eléctrica requiere una gran coordinación y precisión, lo que ofrece oportunidades para mejorar los procesos, reducir errores y aprovechar mejor los materiales. Además, los Objetivos de Desarrollo Sostenible (ODS) de la ONU, especialmente los números 7, 9, 11, 12 y 13, sirven como guía internacional para definir metas, priorizar acciones y comunicar resultados de forma clara y verificable (ONU, 2023).</w:t>
      </w:r>
    </w:p>
    <w:p w14:paraId="530DE6BD" w14:textId="27479C50" w:rsidR="008832B9" w:rsidRPr="00734D3B" w:rsidRDefault="002E4D19" w:rsidP="00FA0F8C">
      <w:r w:rsidRPr="00734D3B">
        <w:t>Esta parte del trabajo</w:t>
      </w:r>
      <w:r w:rsidR="008627A3" w:rsidRPr="00734D3B">
        <w:t xml:space="preserve"> </w:t>
      </w:r>
      <w:r w:rsidRPr="00734D3B">
        <w:t xml:space="preserve">analiza los impactos que tienen los proyectos eléctricos </w:t>
      </w:r>
      <w:r w:rsidR="00375088" w:rsidRPr="00734D3B">
        <w:t xml:space="preserve">durante la construcción </w:t>
      </w:r>
      <w:r w:rsidRPr="00734D3B">
        <w:t xml:space="preserve">y la operación de los centros de datos en el desarrollo sostenible y regenerativo. Durante la construcción, los efectos positivos incluyen la reducción de desperdicios mediante la prefabricación, la separación de materiales en el sitio y los acuerdos con proveedores para devolver o reciclar materiales. También se promueve la reutilización de componentes, como bandejas o carretes, lo que aumenta el valor ambiental del proyecto. Los efectos negativos pueden aparecer por compras excesivas, uso de empaques no reciclables o falta de orden en la clasificación de residuos. Estos problemas pueden evitarse aplicando planes de manejo de </w:t>
      </w:r>
      <w:r w:rsidRPr="00734D3B">
        <w:lastRenderedPageBreak/>
        <w:t>residuos, capacitando al personal y estableciendo metas e indicadores de sostenibilidad (PMI, 2021; Silvius y Schipper, 2019).</w:t>
      </w:r>
    </w:p>
    <w:p w14:paraId="163F80C5" w14:textId="23B47A84" w:rsidR="008264A6" w:rsidRPr="00734D3B" w:rsidRDefault="00B0261B" w:rsidP="00FA0F8C">
      <w:r w:rsidRPr="00734D3B">
        <w:t>Aunque e</w:t>
      </w:r>
      <w:r w:rsidR="00BB62FC" w:rsidRPr="00734D3B">
        <w:t xml:space="preserve">l PFG, </w:t>
      </w:r>
      <w:r w:rsidRPr="00734D3B">
        <w:t>se centra en la fase de construcción de los proyectos eléctricos, es importante reconocer que muchas de las decisiones tomadas en esta etapa tienen un impacto directo en el funcionamiento sostenible y regenerativo del centro de datos cuando entra en operación</w:t>
      </w:r>
      <w:r w:rsidR="005A4151" w:rsidRPr="00734D3B">
        <w:t xml:space="preserve"> y su respectivo mantenimiento</w:t>
      </w:r>
      <w:r w:rsidRPr="00734D3B">
        <w:t>. Las prácticas de construcción responsable, como elegir materiales más eficientes, manejar correctamente los residuos eléctricos y aplicar medidas de ahorro de energía, ayudan a que la infraestructura final sea más duradera, eficiente y amigable con el ambiente. De esta manera, aunque la validación se enfoca en la parte constructiva, también se toma en cuenta el efecto positivo que estas acciones generan durante todo el ciclo de vida del proyecto</w:t>
      </w:r>
      <w:r w:rsidR="008264A6" w:rsidRPr="00734D3B">
        <w:t>.</w:t>
      </w:r>
    </w:p>
    <w:p w14:paraId="3E8A5D54" w14:textId="77777777" w:rsidR="0098769C" w:rsidRPr="00734D3B" w:rsidRDefault="0098769C" w:rsidP="0098769C">
      <w:r w:rsidRPr="00734D3B">
        <w:t>En resumen, aplicar el desarrollo sostenible en los proyectos eléctricos de centros de datos ayuda a reducir los impactos negativos y a generar beneficios reales durante la construcción y la operación. Además, incorporar los principios del desarrollo regenerativo busca que estos proyectos no solo eviten daños, sino que también mejoren el entorno, fortalezcan las capacidades locales y promuevan una cultura de trabajo que aprende y mejora con el tiempo.</w:t>
      </w:r>
    </w:p>
    <w:p w14:paraId="559985B7" w14:textId="7B2A496E" w:rsidR="00DD0538" w:rsidRPr="00734D3B" w:rsidRDefault="00AB39DC" w:rsidP="001D692F">
      <w:pPr>
        <w:pStyle w:val="Heading2"/>
        <w:numPr>
          <w:ilvl w:val="1"/>
          <w:numId w:val="53"/>
        </w:numPr>
      </w:pPr>
      <w:bookmarkStart w:id="373" w:name="_Toc211465615"/>
      <w:bookmarkStart w:id="374" w:name="_Toc227936437"/>
      <w:r w:rsidRPr="00734D3B">
        <w:t>Relación del proyecto con los objetivos de Desarrollo Sostenible</w:t>
      </w:r>
      <w:bookmarkEnd w:id="373"/>
      <w:bookmarkEnd w:id="374"/>
    </w:p>
    <w:p w14:paraId="41423FDB" w14:textId="49ADC8C3" w:rsidR="00B238E5" w:rsidRPr="00734D3B" w:rsidRDefault="00B238E5" w:rsidP="00B238E5">
      <w:r w:rsidRPr="00734D3B">
        <w:t xml:space="preserve">Los Objetivos de Desarrollo Sostenible (ODS) fueron creados en el año 2015 por la Organización de las Naciones Unidas (ONU) como parte del plan mundial llamado Agenda 2030. Estos 17 objetivos buscan eliminar la pobreza, cuidar el planeta y asegurar el bienestar de todas las personas, con la idea de que nadie quede atrás. Los ODS incluyen tres áreas importantes del desarrollo sostenible: la económica, la social y la ambiental. Además, sirven como una guía para que gobiernos, empresas y organizaciones trabajen en conjunto para lograr </w:t>
      </w:r>
      <w:r w:rsidR="00182E06" w:rsidRPr="00734D3B">
        <w:t>ansiado</w:t>
      </w:r>
      <w:r w:rsidRPr="00734D3B">
        <w:t xml:space="preserve"> equilibrio entre el crecimiento, el bienestar humano y la protección del medio ambiente (ONU, 2023).</w:t>
      </w:r>
    </w:p>
    <w:p w14:paraId="452B6A67" w14:textId="5EAECB31" w:rsidR="005A4151" w:rsidRPr="00734D3B" w:rsidRDefault="00E11BD0" w:rsidP="00B238E5">
      <w:r w:rsidRPr="00734D3B">
        <w:lastRenderedPageBreak/>
        <w:t xml:space="preserve">Este Proyecto Final de Graduación (PFG), llamado “Diseño de una guía metodológica de gestión sostenible para contratistas eléctricos que ejecutan proyectos de centros de datos en Arizona, Estados Unidos”, está directamente relacionado con los Objetivos de Desarrollo Sostenible (ODS) de la Organización de las Naciones Unidas. Aunque se enfoca principalmente en la fase de construcción eléctrica, las prácticas y recomendaciones desarrolladas también tienen efectos positivos en las etapas de implementación, operación y mantenimiento de los centros de datos. </w:t>
      </w:r>
      <w:r w:rsidR="007A41A6" w:rsidRPr="00734D3B">
        <w:t>Esto permite que</w:t>
      </w:r>
      <w:r w:rsidRPr="00734D3B">
        <w:t xml:space="preserve">, las acciones sostenibles aplicadas durante la construcción ayudan a mejorar el desempeño ambiental, social y económico de toda la infraestructura a lo largo de su vida útil. </w:t>
      </w:r>
    </w:p>
    <w:p w14:paraId="2B1BF95A" w14:textId="458CA40E" w:rsidR="0076492F" w:rsidRPr="00734D3B" w:rsidRDefault="0076492F" w:rsidP="00B238E5">
      <w:r w:rsidRPr="00734D3B">
        <w:t>A continuación, se detalla la relación más relevante entre los ODS y el proyecto, considerando las tres etapas del ciclo de vida de los centros de datos (construcción, operación y mantenimiento):</w:t>
      </w:r>
    </w:p>
    <w:p w14:paraId="1E1A5254" w14:textId="3E7D1699" w:rsidR="00AB3D96" w:rsidRPr="00734D3B" w:rsidRDefault="00D41463" w:rsidP="00AB3D96">
      <w:pPr>
        <w:ind w:firstLine="706"/>
        <w:rPr>
          <w:b/>
          <w:bCs/>
        </w:rPr>
      </w:pPr>
      <w:r w:rsidRPr="00734D3B">
        <w:rPr>
          <w:b/>
          <w:bCs/>
        </w:rPr>
        <w:t xml:space="preserve">Objetivo </w:t>
      </w:r>
      <w:r w:rsidR="00BF0D6F" w:rsidRPr="00734D3B">
        <w:rPr>
          <w:b/>
          <w:bCs/>
        </w:rPr>
        <w:t>7. Energía asequible y no contaminante</w:t>
      </w:r>
    </w:p>
    <w:p w14:paraId="1F3AA50B" w14:textId="77777777" w:rsidR="006D1E52" w:rsidRPr="00734D3B" w:rsidRDefault="006D1E52" w:rsidP="00BF0D6F">
      <w:r w:rsidRPr="00734D3B">
        <w:t>Los proyectos eléctricos en centros de datos están muy relacionados con este objetivo, ya que la eficiencia energética es clave para lograr una operación más sostenible. Durante la construcción, la elección de materiales y equipos de bajo consumo, junto con una buena planificación de los circuitos eléctricos, ayuda a reducir las pérdidas de energía. En la etapa de operación, el mantenimiento correcto de los sistemas eléctricos y de respaldo, como los UPS, tableros de distribución y generadores, mejora el rendimiento general y disminuye el uso de energía. Además, el aprovechamiento de fuentes renovables y el uso de sistemas que permiten medir y controlar el consumo apoyan la creación de centros de datos más limpios y responsables con el ambiente.</w:t>
      </w:r>
    </w:p>
    <w:p w14:paraId="38E839C6" w14:textId="2F147299" w:rsidR="00AB3D96" w:rsidRPr="00734D3B" w:rsidRDefault="00D41463" w:rsidP="00BF0D6F">
      <w:pPr>
        <w:rPr>
          <w:b/>
          <w:bCs/>
        </w:rPr>
      </w:pPr>
      <w:r w:rsidRPr="00734D3B">
        <w:rPr>
          <w:b/>
          <w:bCs/>
        </w:rPr>
        <w:t xml:space="preserve">Objetivo </w:t>
      </w:r>
      <w:r w:rsidR="00BF0D6F" w:rsidRPr="00734D3B">
        <w:rPr>
          <w:b/>
          <w:bCs/>
        </w:rPr>
        <w:t>8. Trabajo decente y crecimiento económico</w:t>
      </w:r>
    </w:p>
    <w:p w14:paraId="6F5E38CF" w14:textId="77777777" w:rsidR="00C87D48" w:rsidRPr="00734D3B" w:rsidRDefault="00C87D48" w:rsidP="00C87D48">
      <w:r w:rsidRPr="00734D3B">
        <w:t xml:space="preserve">Durante la construcción eléctrica se generan empleos calificados, se impulsa la capacitación técnica en normas de seguridad y sostenibilidad, y se promueve la inclusión </w:t>
      </w:r>
      <w:r w:rsidRPr="00734D3B">
        <w:lastRenderedPageBreak/>
        <w:t>laboral dentro del sector. La guía metodológica ayuda a aplicar prácticas que fortalecen la cultura de seguridad, reducen los riesgos y mejoran la productividad del personal.</w:t>
      </w:r>
    </w:p>
    <w:p w14:paraId="0CB648A6" w14:textId="77777777" w:rsidR="00C87D48" w:rsidRPr="00734D3B" w:rsidRDefault="00C87D48" w:rsidP="00C87D48">
      <w:r w:rsidRPr="00734D3B">
        <w:t>En la etapa de mantenimiento, se crean empleos permanentes relacionados con la operación técnica, el control del consumo energético y la gestión ambiental. Esto impulsa el crecimiento económico local y fomenta la formación de trabajadores más especializados y preparados para los nuevos retos del sector eléctrico.</w:t>
      </w:r>
    </w:p>
    <w:p w14:paraId="1B39DD79" w14:textId="2EDB5339" w:rsidR="005638B4" w:rsidRPr="00734D3B" w:rsidRDefault="00D41463" w:rsidP="00BF0D6F">
      <w:pPr>
        <w:rPr>
          <w:b/>
          <w:bCs/>
        </w:rPr>
      </w:pPr>
      <w:r w:rsidRPr="00734D3B">
        <w:rPr>
          <w:b/>
          <w:bCs/>
        </w:rPr>
        <w:t xml:space="preserve">Objetivo </w:t>
      </w:r>
      <w:r w:rsidR="00BF0D6F" w:rsidRPr="00734D3B">
        <w:rPr>
          <w:b/>
          <w:bCs/>
        </w:rPr>
        <w:t>9. Industria, innovación e infraestructura</w:t>
      </w:r>
    </w:p>
    <w:p w14:paraId="217C6A2E" w14:textId="77B30A27" w:rsidR="004531BB" w:rsidRPr="00734D3B" w:rsidRDefault="004531BB" w:rsidP="00BF0D6F">
      <w:r w:rsidRPr="00734D3B">
        <w:t>Este objetivo se refleja en la mejora y modernización de la infraestructura eléctrica mediante el uso de tecnologías sostenibles, como cableado más eficiente, tableros inteligentes, sistemas automáticos de control y equipos de enfriamiento de bajo consumo. Durante la construcción, se impulsa la innovación tecnológica con procesos eléctricos más ordenados y precisos. En la etapa de operación y mantenimiento, se aplican mejoras continúas basadas en el uso eficiente de la energía, el control del enfriamiento y el fortalecimiento de la seguridad eléctrica. En general, el proyecto apoya el desarrollo de una industria eléctrica más moderna, innovadora y responsable con el ambiente.</w:t>
      </w:r>
    </w:p>
    <w:p w14:paraId="5DC83026" w14:textId="63D2F3AE" w:rsidR="00586209" w:rsidRPr="00734D3B" w:rsidRDefault="00D41463" w:rsidP="00BF0D6F">
      <w:r w:rsidRPr="00734D3B">
        <w:rPr>
          <w:b/>
          <w:bCs/>
        </w:rPr>
        <w:t xml:space="preserve">Objetivo </w:t>
      </w:r>
      <w:r w:rsidR="00BF0D6F" w:rsidRPr="00734D3B">
        <w:rPr>
          <w:b/>
          <w:bCs/>
        </w:rPr>
        <w:t>11. Ciudades y comunidades sostenibles</w:t>
      </w:r>
      <w:r w:rsidR="00BF0D6F" w:rsidRPr="00734D3B">
        <w:br/>
      </w:r>
      <w:r w:rsidR="00586209" w:rsidRPr="00734D3B">
        <w:t>El crecimiento de los centros de datos influye en cómo se desarrollan las ciudades y las comunidades. Una construcción eléctrica responsable ayuda a cuidar el ambiente al manejar bien los desechos, usar materiales que se puedan reciclar y reducir la contaminación. Cuando los centros de datos están en uso, una instalación eficiente gasta menos energía y evita sobrecargar las redes eléctricas. Además, enseñar a los contratistas eléctricos sobre sostenibilidad ayuda a crear comunidades más conscientes y comprometidas con el cuidado del planeta.</w:t>
      </w:r>
    </w:p>
    <w:p w14:paraId="0AC6CC36" w14:textId="77777777" w:rsidR="00F31E96" w:rsidRPr="00734D3B" w:rsidRDefault="00F31E96" w:rsidP="00BF0D6F"/>
    <w:p w14:paraId="74A0AA57" w14:textId="77777777" w:rsidR="00F31E96" w:rsidRPr="00734D3B" w:rsidRDefault="00F31E96" w:rsidP="00BF0D6F"/>
    <w:p w14:paraId="0879EF77" w14:textId="31DF6FDB" w:rsidR="003962A7" w:rsidRPr="00734D3B" w:rsidRDefault="00D41463" w:rsidP="00BF0D6F">
      <w:pPr>
        <w:rPr>
          <w:b/>
          <w:bCs/>
        </w:rPr>
      </w:pPr>
      <w:r w:rsidRPr="00734D3B">
        <w:rPr>
          <w:b/>
          <w:bCs/>
        </w:rPr>
        <w:lastRenderedPageBreak/>
        <w:t xml:space="preserve">Objetivo </w:t>
      </w:r>
      <w:r w:rsidR="00BF0D6F" w:rsidRPr="00734D3B">
        <w:rPr>
          <w:b/>
          <w:bCs/>
        </w:rPr>
        <w:t>12. Producción y consumo responsables</w:t>
      </w:r>
    </w:p>
    <w:p w14:paraId="576D4718" w14:textId="0CA6E9F4" w:rsidR="00BF0D6F" w:rsidRPr="00734D3B" w:rsidRDefault="003962A7" w:rsidP="00BF0D6F">
      <w:r w:rsidRPr="00734D3B">
        <w:t xml:space="preserve">Este objetivo </w:t>
      </w:r>
      <w:r w:rsidR="00890D1F" w:rsidRPr="00734D3B">
        <w:t>se encuentra</w:t>
      </w:r>
      <w:r w:rsidRPr="00734D3B">
        <w:t xml:space="preserve"> presente en todas las etapas del proyecto. Durante la construcción, es muy importante usar bien los materiales eléctricos, reciclar el cobre y el aluminio, y evitar el desperdicio. En la fase de operación y mantenimiento, aprovechar mejor los recursos, cambiar las piezas a tiempo y reutilizar los equipos ayuda a que los sistemas eléctricos duren más y contaminen menos. En general, el proyecto busca crear una cultura de consumo responsable dentro del sector eléctrico.</w:t>
      </w:r>
    </w:p>
    <w:p w14:paraId="0C4E016A" w14:textId="1CFD0617" w:rsidR="00E30DEA" w:rsidRPr="00734D3B" w:rsidRDefault="00D41463" w:rsidP="00BF0D6F">
      <w:pPr>
        <w:rPr>
          <w:b/>
          <w:bCs/>
        </w:rPr>
      </w:pPr>
      <w:r w:rsidRPr="00734D3B">
        <w:rPr>
          <w:b/>
          <w:bCs/>
        </w:rPr>
        <w:t xml:space="preserve">Objetivo </w:t>
      </w:r>
      <w:r w:rsidR="00BF0D6F" w:rsidRPr="00734D3B">
        <w:rPr>
          <w:b/>
          <w:bCs/>
        </w:rPr>
        <w:t>13. Acción por el clima</w:t>
      </w:r>
    </w:p>
    <w:p w14:paraId="1E40F9E5" w14:textId="77777777" w:rsidR="00E30DEA" w:rsidRPr="00734D3B" w:rsidRDefault="00E30DEA" w:rsidP="00BF0D6F">
      <w:r w:rsidRPr="00734D3B">
        <w:t>El trabajo eléctrico en los centros de datos genera muchas emisiones que afectan el clima. Por eso, aplicar prácticas sostenibles durante la construcción, como usar equipos que gasten menos energía y evitar traslados innecesarios, ayuda a reducir la contaminación. En la etapa de uso, dar mantenimiento a los equipos, controlar el consumo de electricidad y usar energías limpias permite disminuir el impacto ambiental y hacer que las instalaciones sean más resistentes. De esta manera, el proyecto apoya los esfuerzos para frenar el cambio climático.</w:t>
      </w:r>
    </w:p>
    <w:p w14:paraId="35CF41BD" w14:textId="598D4E2D" w:rsidR="004479DC" w:rsidRPr="00734D3B" w:rsidRDefault="00D41463" w:rsidP="00BF0D6F">
      <w:pPr>
        <w:rPr>
          <w:b/>
          <w:bCs/>
        </w:rPr>
      </w:pPr>
      <w:r w:rsidRPr="00734D3B">
        <w:rPr>
          <w:b/>
          <w:bCs/>
        </w:rPr>
        <w:t xml:space="preserve">Objetivo </w:t>
      </w:r>
      <w:r w:rsidR="00BF0D6F" w:rsidRPr="00734D3B">
        <w:rPr>
          <w:b/>
          <w:bCs/>
        </w:rPr>
        <w:t>17. Alianzas para lograr los objetivos</w:t>
      </w:r>
    </w:p>
    <w:p w14:paraId="006AD246" w14:textId="77777777" w:rsidR="00DA63BF" w:rsidRPr="00734D3B" w:rsidRDefault="00DA63BF" w:rsidP="00BF0D6F">
      <w:r w:rsidRPr="00734D3B">
        <w:t>Cumplir con los Objetivos de Desarrollo Sostenible en la industria eléctrica necesita el trabajo conjunto de muchas personas y organizaciones, como contratistas, clientes, proveedores, instituciones educativas y el gobierno. Este proyecto busca crear alianzas que promuevan la capacitación técnica, la innovación y el uso de prácticas sostenibles. Durante la construcción y el mantenimiento, estas colaboraciones ayudan a aplicar estándares internacionales y a fortalecer una cultura de responsabilidad con el ambiente y la comunidad.</w:t>
      </w:r>
    </w:p>
    <w:p w14:paraId="3AE0BC95" w14:textId="63F27F7F" w:rsidR="00D41463" w:rsidRPr="00734D3B" w:rsidRDefault="00D41463" w:rsidP="00D41463">
      <w:r w:rsidRPr="00734D3B">
        <w:t xml:space="preserve">Aunque este </w:t>
      </w:r>
      <w:r w:rsidR="00E542F7" w:rsidRPr="00734D3B">
        <w:t>estudio</w:t>
      </w:r>
      <w:r w:rsidRPr="00734D3B">
        <w:t xml:space="preserve"> se relaciona directamente con varios Objetivos de Desarrollo Sostenible (ODS), hay otros cuya conexión es más limitada o indirecta, ya que el estudio se enfoca principalmente en la gestión sostenible durante las etapas de construcción, uso y </w:t>
      </w:r>
      <w:r w:rsidRPr="00734D3B">
        <w:lastRenderedPageBreak/>
        <w:t>mantenimiento de centros de datos eléctricos en Arizona, Estados Unidos. A continuación, se explica por qué algunos ODS no tienen una relación directa con el proyecto:</w:t>
      </w:r>
    </w:p>
    <w:p w14:paraId="748BAAC6" w14:textId="6446F6D7" w:rsidR="00D41463" w:rsidRPr="00734D3B" w:rsidRDefault="00D41463" w:rsidP="00D41463">
      <w:pPr>
        <w:rPr>
          <w:b/>
          <w:bCs/>
        </w:rPr>
      </w:pPr>
      <w:r w:rsidRPr="00734D3B">
        <w:rPr>
          <w:b/>
          <w:bCs/>
        </w:rPr>
        <w:t>Objetivo 1. Fin de la pobreza:</w:t>
      </w:r>
    </w:p>
    <w:p w14:paraId="5AAF7924" w14:textId="2D23588E" w:rsidR="00D41463" w:rsidRPr="00734D3B" w:rsidRDefault="00D41463" w:rsidP="00D41463">
      <w:r w:rsidRPr="00734D3B">
        <w:t>El proyecto no tiene un enfoque social o económico directo para reducir la pobreza, ya que su objetivo principal es crear una guía técnica para contratistas eléctricos. Sin embargo, de forma indirecta, puede contribuir al generar empleos formales y especializados, lo que mejora la estabilidad económica en las comunidades donde se realizan los proyectos.</w:t>
      </w:r>
    </w:p>
    <w:p w14:paraId="351EDEEE" w14:textId="340FFC18" w:rsidR="00D41463" w:rsidRPr="00734D3B" w:rsidRDefault="00D41463" w:rsidP="00D41463">
      <w:pPr>
        <w:rPr>
          <w:b/>
          <w:bCs/>
        </w:rPr>
      </w:pPr>
      <w:r w:rsidRPr="00734D3B">
        <w:rPr>
          <w:b/>
          <w:bCs/>
        </w:rPr>
        <w:t>Objetivo 2. Hambre cero:</w:t>
      </w:r>
    </w:p>
    <w:p w14:paraId="18C75231" w14:textId="7C5B21C1" w:rsidR="00D41463" w:rsidRPr="00734D3B" w:rsidRDefault="00D41463" w:rsidP="00D41463">
      <w:r w:rsidRPr="00734D3B">
        <w:t>Este objetivo está relacionado con la alimentación y la agricultura sostenible, temas que no forman parte del estudio, ya que se centra en la industria eléctrica y tecnológica. Por eso, su relación con este ODS es muy limitada.</w:t>
      </w:r>
    </w:p>
    <w:p w14:paraId="7E7C7FFC" w14:textId="25AE8ACF" w:rsidR="00D41463" w:rsidRPr="00734D3B" w:rsidRDefault="00D41463" w:rsidP="00D41463">
      <w:pPr>
        <w:rPr>
          <w:b/>
          <w:bCs/>
        </w:rPr>
      </w:pPr>
      <w:r w:rsidRPr="00734D3B">
        <w:rPr>
          <w:b/>
          <w:bCs/>
        </w:rPr>
        <w:t>Objetivo 3. Salud y bienestar</w:t>
      </w:r>
    </w:p>
    <w:p w14:paraId="31A8DBCC" w14:textId="0946EA80" w:rsidR="00D41463" w:rsidRPr="00734D3B" w:rsidRDefault="00D41463" w:rsidP="00D41463">
      <w:r w:rsidRPr="00734D3B">
        <w:t>Aunque la seguridad laboral y el bienestar de los trabajadores son aspectos importantes, el proyecto no trata temas de salud pública o servicios médicos. Su atención está puesta en la seguridad eléctrica, la sostenibilidad en obra y el cumplimiento de normas, más que en la salud general de las personas.</w:t>
      </w:r>
    </w:p>
    <w:p w14:paraId="150A3601" w14:textId="02A0E348" w:rsidR="00D41463" w:rsidRPr="00734D3B" w:rsidRDefault="00D41463" w:rsidP="00D41463">
      <w:pPr>
        <w:rPr>
          <w:b/>
          <w:bCs/>
        </w:rPr>
      </w:pPr>
      <w:r w:rsidRPr="00734D3B">
        <w:rPr>
          <w:b/>
          <w:bCs/>
        </w:rPr>
        <w:t>Objetivo 4. Educación de calidad:</w:t>
      </w:r>
    </w:p>
    <w:p w14:paraId="3604EB37" w14:textId="43C68135" w:rsidR="00D41463" w:rsidRPr="00734D3B" w:rsidRDefault="00D41463" w:rsidP="00D41463">
      <w:r w:rsidRPr="00734D3B">
        <w:t>El proyecto no pertenece al sistema educativo ni busca transformar la enseñanza. Aun así, fomenta la capacitación técnica y el aprendizaje en sostenibilidad para contratistas eléctricos, lo que ayuda a mejorar sus conocimientos y habilidades.</w:t>
      </w:r>
    </w:p>
    <w:p w14:paraId="64E3B4D2" w14:textId="77777777" w:rsidR="001F5F47" w:rsidRPr="00734D3B" w:rsidRDefault="00D41463" w:rsidP="00D41463">
      <w:pPr>
        <w:rPr>
          <w:b/>
          <w:bCs/>
        </w:rPr>
      </w:pPr>
      <w:r w:rsidRPr="00734D3B">
        <w:rPr>
          <w:b/>
          <w:bCs/>
        </w:rPr>
        <w:t>Objetivo 5. Igualdad de género:</w:t>
      </w:r>
    </w:p>
    <w:p w14:paraId="75C0691B" w14:textId="0E9CCA36" w:rsidR="00D41463" w:rsidRPr="00734D3B" w:rsidRDefault="00D41463" w:rsidP="00D41463">
      <w:r w:rsidRPr="00734D3B">
        <w:t>La igualdad de género no es un tema principal del estudio, ya que se enfoca en aspectos técnicos y ambientales. Sin embargo, al aplicar buenas prácticas laborales y promover entornos inclusivos, puede apoyar de manera indirecta este objetivo.</w:t>
      </w:r>
    </w:p>
    <w:p w14:paraId="172E98D1" w14:textId="77777777" w:rsidR="003B0A9F" w:rsidRPr="00734D3B" w:rsidRDefault="003B0A9F" w:rsidP="00D41463"/>
    <w:p w14:paraId="7AABC47A" w14:textId="77777777" w:rsidR="001F5F47" w:rsidRPr="00734D3B" w:rsidRDefault="00D41463" w:rsidP="00D41463">
      <w:pPr>
        <w:rPr>
          <w:b/>
          <w:bCs/>
        </w:rPr>
      </w:pPr>
      <w:r w:rsidRPr="00734D3B">
        <w:rPr>
          <w:b/>
          <w:bCs/>
        </w:rPr>
        <w:lastRenderedPageBreak/>
        <w:t>Objetivo 6. Agua limpia y saneamiento:</w:t>
      </w:r>
    </w:p>
    <w:p w14:paraId="718D1FA0" w14:textId="2A9D8896" w:rsidR="00D41463" w:rsidRPr="00734D3B" w:rsidRDefault="00D41463" w:rsidP="00D41463">
      <w:r w:rsidRPr="00734D3B">
        <w:t>Aunque los centros de datos pueden usar agua en sus sistemas de enfriamiento, este proyecto no analiza ese aspecto, ya que se enfoca en la parte eléctrica y en el manejo de materiales y residuos. Por eso, no aborda directamente la gestión del agua.</w:t>
      </w:r>
    </w:p>
    <w:p w14:paraId="70ACD87B" w14:textId="77777777" w:rsidR="001F5F47" w:rsidRPr="00734D3B" w:rsidRDefault="00D41463" w:rsidP="00D41463">
      <w:pPr>
        <w:rPr>
          <w:b/>
          <w:bCs/>
        </w:rPr>
      </w:pPr>
      <w:r w:rsidRPr="00734D3B">
        <w:rPr>
          <w:b/>
          <w:bCs/>
        </w:rPr>
        <w:t>Objetivo 10. Reducción de las desigualdades:</w:t>
      </w:r>
    </w:p>
    <w:p w14:paraId="4E032FD7" w14:textId="31F9CB04" w:rsidR="00D41463" w:rsidRPr="00734D3B" w:rsidRDefault="00D41463" w:rsidP="00D41463">
      <w:r w:rsidRPr="00734D3B">
        <w:t>El proyecto no estudia políticas sociales o económicas, pero puede ayudar indirectamente al crear empleos técnicos y ofrecer oportunidades de crecimiento profesional, lo que contribuye a una mayor igualdad en el acceso al trabajo.</w:t>
      </w:r>
    </w:p>
    <w:p w14:paraId="068E6CA7" w14:textId="77777777" w:rsidR="001F5F47" w:rsidRPr="00734D3B" w:rsidRDefault="00D41463" w:rsidP="00D41463">
      <w:pPr>
        <w:rPr>
          <w:b/>
          <w:bCs/>
        </w:rPr>
      </w:pPr>
      <w:r w:rsidRPr="00734D3B">
        <w:rPr>
          <w:b/>
          <w:bCs/>
        </w:rPr>
        <w:t>Objetivo 14. Vida submarina:</w:t>
      </w:r>
    </w:p>
    <w:p w14:paraId="6B4F288A" w14:textId="20EAF47F" w:rsidR="00D41463" w:rsidRPr="00734D3B" w:rsidRDefault="00D41463" w:rsidP="00D41463">
      <w:r w:rsidRPr="00734D3B">
        <w:t>El proyecto no tiene relación con ecosistemas marinos ni costeros, ya que los centros de datos están ubicados en zonas urbanas de Arizona. Por eso, este objetivo no aplica.</w:t>
      </w:r>
    </w:p>
    <w:p w14:paraId="0A970755" w14:textId="77777777" w:rsidR="001F5F47" w:rsidRPr="00734D3B" w:rsidRDefault="00D41463" w:rsidP="00D41463">
      <w:pPr>
        <w:rPr>
          <w:b/>
          <w:bCs/>
        </w:rPr>
      </w:pPr>
      <w:r w:rsidRPr="00734D3B">
        <w:rPr>
          <w:b/>
          <w:bCs/>
        </w:rPr>
        <w:t>Objetivo 15. Vida de ecosistemas terrestres:</w:t>
      </w:r>
    </w:p>
    <w:p w14:paraId="56D32361" w14:textId="5F010DEF" w:rsidR="00D41463" w:rsidRPr="00734D3B" w:rsidRDefault="00D41463" w:rsidP="00D41463">
      <w:r w:rsidRPr="00734D3B">
        <w:t>Aunque el proyecto promueve el uso responsable de materiales y la eficiencia energética, no trabaja directamente en la protección de ecosistemas o la reforestación. Aun así, al reducir residuos y consumo de recursos, contribuye de forma indirecta a cuidar el ambiente.</w:t>
      </w:r>
    </w:p>
    <w:p w14:paraId="5AA52E21" w14:textId="4999CA57" w:rsidR="00DD0538" w:rsidRPr="00734D3B" w:rsidRDefault="00AB39DC" w:rsidP="001D692F">
      <w:pPr>
        <w:pStyle w:val="Heading2"/>
        <w:numPr>
          <w:ilvl w:val="1"/>
          <w:numId w:val="53"/>
        </w:numPr>
      </w:pPr>
      <w:bookmarkStart w:id="375" w:name="_Toc211465616"/>
      <w:bookmarkStart w:id="376" w:name="_Toc227936438"/>
      <w:r w:rsidRPr="00734D3B">
        <w:t>Análisis del proyecto de acuerdo con el Estándar P5</w:t>
      </w:r>
      <w:bookmarkEnd w:id="375"/>
      <w:bookmarkEnd w:id="376"/>
    </w:p>
    <w:p w14:paraId="6B895871" w14:textId="77777777" w:rsidR="00902232" w:rsidRPr="00734D3B" w:rsidRDefault="00902232" w:rsidP="00902232">
      <w:r w:rsidRPr="00734D3B">
        <w:t>El Estándar P5, creado por la organización internacional Green Project Management (GPM Global), es una herramienta muy útil para evaluar y manejar los impactos de los proyectos desde una visión completa de sostenibilidad y desarrollo regenerativo. Su nombre viene de las cinco dimensiones que analiza: Personas, Planeta, Prosperidad, Procesos y Productos. Sin embargo, su aplicación práctica se enfoca principalmente en las tres primeras, Personas, Planeta y Prosperidad, que están directamente relacionadas con los Objetivos de Desarrollo Sostenible (ODS) de las Naciones Unidas (GPM Global, 2021).</w:t>
      </w:r>
    </w:p>
    <w:p w14:paraId="5EFA2B81" w14:textId="77777777" w:rsidR="00902232" w:rsidRPr="00734D3B" w:rsidRDefault="00902232" w:rsidP="00902232">
      <w:r w:rsidRPr="00734D3B">
        <w:t xml:space="preserve">El objetivo principal del P5 es integrar la sostenibilidad en todas las etapas de los proyectos, evaluando los efectos positivos y negativos que estos pueden generar en el </w:t>
      </w:r>
      <w:r w:rsidRPr="00734D3B">
        <w:lastRenderedPageBreak/>
        <w:t>ambiente, la economía y la sociedad. A diferencia de los métodos tradicionales, que solo miden resultados técnicos o financieros, el P5 busca identificar cómo los proyectos pueden reducir el daño y al mismo tiempo generar beneficios para las personas y el entorno (Silvius y Schipper, 2014).</w:t>
      </w:r>
    </w:p>
    <w:p w14:paraId="3E63CD54" w14:textId="77777777" w:rsidR="00902232" w:rsidRPr="00734D3B" w:rsidRDefault="00902232" w:rsidP="00902232">
      <w:r w:rsidRPr="00734D3B">
        <w:t>En los proyectos eléctricos de centros de datos, este enfoque es muy importante porque estas construcciones usan mucha energía, materiales y mano de obra, lo que puede tener un gran impacto ambiental y social. Aplicar el análisis P5 ayuda a detectar riesgos relacionados con la sostenibilidad, planear acciones para reducirlos y generar valor tanto para la empresa como para la comunidad.</w:t>
      </w:r>
    </w:p>
    <w:p w14:paraId="15C8E4B6" w14:textId="77777777" w:rsidR="00902232" w:rsidRPr="00734D3B" w:rsidRDefault="00902232" w:rsidP="00902232">
      <w:r w:rsidRPr="00734D3B">
        <w:t>Además, el P5 está alineado con normas y estándares internacionales como la ISO 26000 sobre Responsabilidad Social, el modelo PRiSM (</w:t>
      </w:r>
      <w:proofErr w:type="spellStart"/>
      <w:r w:rsidRPr="00734D3B">
        <w:t>Projects</w:t>
      </w:r>
      <w:proofErr w:type="spellEnd"/>
      <w:r w:rsidRPr="00734D3B">
        <w:t xml:space="preserve"> </w:t>
      </w:r>
      <w:proofErr w:type="spellStart"/>
      <w:r w:rsidRPr="00734D3B">
        <w:t>Integrating</w:t>
      </w:r>
      <w:proofErr w:type="spellEnd"/>
      <w:r w:rsidRPr="00734D3B">
        <w:t xml:space="preserve"> </w:t>
      </w:r>
      <w:proofErr w:type="spellStart"/>
      <w:r w:rsidRPr="00734D3B">
        <w:t>Sustainable</w:t>
      </w:r>
      <w:proofErr w:type="spellEnd"/>
      <w:r w:rsidRPr="00734D3B">
        <w:t xml:space="preserve"> </w:t>
      </w:r>
      <w:proofErr w:type="spellStart"/>
      <w:r w:rsidRPr="00734D3B">
        <w:t>Methods</w:t>
      </w:r>
      <w:proofErr w:type="spellEnd"/>
      <w:r w:rsidRPr="00734D3B">
        <w:t>) y marcos de reporte como GRI y ESG. Esto permite que las políticas de las empresas estén en sintonía con las buenas prácticas en campo, haciendo que la gestión de proyectos no sea solo un proceso técnico, sino también una herramienta estratégica para promover la sostenibilidad y el desarrollo regenerativo (GPM Global, 2021).</w:t>
      </w:r>
    </w:p>
    <w:p w14:paraId="71B34F19" w14:textId="77777777" w:rsidR="00902232" w:rsidRPr="00734D3B" w:rsidRDefault="00902232" w:rsidP="00902232">
      <w:r w:rsidRPr="00734D3B">
        <w:t>El análisis del P5 va más allá de medir los resultados sociales, ambientales y económicos. Su enfoque regenerativo busca restaurar y mejorar los sistemas naturales y humanos que se ven afectados por los proyectos. En el caso de los centros de datos eléctricos, esto es clave, ya que estos proyectos implican excavaciones, uso de materiales metálicos, consumo energético alto y manejo de equipos tecnológicos complejos.</w:t>
      </w:r>
    </w:p>
    <w:p w14:paraId="06EE75CF" w14:textId="77777777" w:rsidR="00902232" w:rsidRPr="00734D3B" w:rsidRDefault="00902232" w:rsidP="00902232">
      <w:r w:rsidRPr="00734D3B">
        <w:t xml:space="preserve">En la gestión de proyectos, el P5 ayuda a tomar decisiones más responsables durante la planificación, ejecución y control. Por ejemplo, en la construcción orienta a usar materiales reciclables, reducir desperdicios, cuidar la seguridad laboral y capacitar al personal. En la operación impulsa la eficiencia energética, el uso de energías limpias y la reducción de </w:t>
      </w:r>
      <w:r w:rsidRPr="00734D3B">
        <w:lastRenderedPageBreak/>
        <w:t>emisiones. En el mantenimiento fomenta la reparación, el reciclaje y la reutilización de equipos eléctricos, aplicando los principios de la economía circular.</w:t>
      </w:r>
    </w:p>
    <w:p w14:paraId="052A4644" w14:textId="77777777" w:rsidR="00902232" w:rsidRPr="00734D3B" w:rsidRDefault="00902232" w:rsidP="00902232">
      <w:r w:rsidRPr="00734D3B">
        <w:t>El P5 también permite medir el nivel de sostenibilidad de las empresas y vincular la responsabilidad social con la gestión de proyectos. Esto es especialmente importante para los contratistas eléctricos en Arizona, donde las normas ambientales son estrictas, las condiciones climáticas son exigentes y la sociedad demanda cada vez más prácticas sostenibles.</w:t>
      </w:r>
    </w:p>
    <w:p w14:paraId="41D65DCB" w14:textId="77777777" w:rsidR="00902232" w:rsidRPr="00734D3B" w:rsidRDefault="00902232" w:rsidP="00902232">
      <w:r w:rsidRPr="00734D3B">
        <w:t>En resumen, el Estándar P5 ayuda a que los proyectos eléctricos no solo sean eficientes y rentables, sino también responsables con el planeta y las personas, fomentando un desarrollo más consciente y regenerativo.</w:t>
      </w:r>
    </w:p>
    <w:p w14:paraId="7395A89D" w14:textId="77777777" w:rsidR="006405FD" w:rsidRPr="00734D3B" w:rsidRDefault="006405FD" w:rsidP="004E0C44">
      <w:pPr>
        <w:rPr>
          <w:b/>
          <w:bCs/>
        </w:rPr>
      </w:pPr>
      <w:r w:rsidRPr="00734D3B">
        <w:rPr>
          <w:b/>
          <w:bCs/>
        </w:rPr>
        <w:t>Estructura del análisis P5 en proyectos de centros de datos</w:t>
      </w:r>
    </w:p>
    <w:p w14:paraId="4F727FE0" w14:textId="77777777" w:rsidR="006405FD" w:rsidRPr="00734D3B" w:rsidRDefault="006405FD" w:rsidP="006405FD">
      <w:r w:rsidRPr="00734D3B">
        <w:t>El Estándar P5 organiza su análisis en tres dimensiones principales llamadas las tres P: Personas, Planeta y Prosperidad. Estas forman la base de su método para evaluar el impacto sostenible de un proyecto. En este trabajo, su aplicación se extiende a todo el ciclo de vida del centro de datos, considerando los efectos durante la construcción, la operación y el mantenimiento.</w:t>
      </w:r>
    </w:p>
    <w:p w14:paraId="76A0A37E" w14:textId="77777777" w:rsidR="006405FD" w:rsidRPr="00734D3B" w:rsidRDefault="006405FD" w:rsidP="006405FD">
      <w:r w:rsidRPr="00734D3B">
        <w:rPr>
          <w:b/>
          <w:bCs/>
        </w:rPr>
        <w:t>Personas:</w:t>
      </w:r>
      <w:r w:rsidRPr="00734D3B">
        <w:t xml:space="preserve"> Esta dimensión analiza el impacto social y humano del proyecto. Incluye temas como las condiciones de trabajo, la salud y seguridad del personal, la igualdad de oportunidades, la relación con las comunidades locales y el respeto a los derechos humanos. En los proyectos eléctricos grandes, se enfoca también en la seguridad en zonas de alto voltaje, la estabilidad del empleo y la capacitación del personal técnico para mejorar sus conocimientos y habilidades.</w:t>
      </w:r>
    </w:p>
    <w:p w14:paraId="0BAD00ED" w14:textId="77777777" w:rsidR="006405FD" w:rsidRPr="00734D3B" w:rsidRDefault="006405FD" w:rsidP="006405FD">
      <w:r w:rsidRPr="00734D3B">
        <w:rPr>
          <w:b/>
          <w:bCs/>
        </w:rPr>
        <w:t>Planeta:</w:t>
      </w:r>
      <w:r w:rsidRPr="00734D3B">
        <w:t xml:space="preserve"> Evalúa los efectos del proyecto sobre el medio ambiente y los recursos naturales. Considera aspectos como la huella de carbono, el consumo de agua, la calidad del aire, la gestión de residuos, la eficiencia energética y la aplicación de la economía circular. En </w:t>
      </w:r>
      <w:r w:rsidRPr="00734D3B">
        <w:lastRenderedPageBreak/>
        <w:t>los centros de datos, esta dimensión es muy importante debido al alto consumo de energía, el uso de materiales metálicos y la generación de residuos electrónicos durante el mantenimiento.</w:t>
      </w:r>
    </w:p>
    <w:p w14:paraId="07094A29" w14:textId="77777777" w:rsidR="006405FD" w:rsidRPr="00734D3B" w:rsidRDefault="006405FD" w:rsidP="006405FD">
      <w:r w:rsidRPr="00734D3B">
        <w:rPr>
          <w:b/>
          <w:bCs/>
        </w:rPr>
        <w:t>Prosperidad:</w:t>
      </w:r>
      <w:r w:rsidRPr="00734D3B">
        <w:t xml:space="preserve"> Se refiere a los impactos económicos, tanto para la empresa como para la comunidad. Analiza la creación de empleo local, el fortalecimiento de proveedores, la innovación y el crecimiento económico responsable. En el sector eléctrico, esta dimensión busca que los proyectos no solo sean rentables, sino que también promuevan el desarrollo sostenible y la competitividad en la industria.</w:t>
      </w:r>
    </w:p>
    <w:p w14:paraId="314B870E" w14:textId="77777777" w:rsidR="004E0C44" w:rsidRPr="00734D3B" w:rsidRDefault="006405FD" w:rsidP="004E0C44">
      <w:r w:rsidRPr="00734D3B">
        <w:t>El análisis P5 no solo describe los impactos, sino que también impulsa la acción. Propone medidas para reducir daños, compensar efectos negativos y mejorar continuamente las prácticas de gestión, promoviendo una cultura organizacional basada en la ética, la transparencia y el valor compartido.</w:t>
      </w:r>
    </w:p>
    <w:p w14:paraId="03E77639" w14:textId="77777777" w:rsidR="006405FD" w:rsidRPr="00734D3B" w:rsidRDefault="006405FD" w:rsidP="006405FD">
      <w:r w:rsidRPr="00734D3B">
        <w:t>El valor del Estándar P5 dentro del desarrollo regenerativo está en que convierte la sostenibilidad en una práctica activa de mejora del entorno natural, humano y social. Mientras que la sostenibilidad busca evitar daños, la regeneración busca dejar el entorno mejor que antes (Mang y Reed, 2012). En los centros de datos, que tienen gran demanda de energía y materiales, el P5 ayuda a transformar los impactos en oportunidades de regeneración, como restaurar suelos, instalar paneles solares o apoyar empleos técnicos locales.</w:t>
      </w:r>
    </w:p>
    <w:p w14:paraId="61AF2CE4" w14:textId="77777777" w:rsidR="006405FD" w:rsidRPr="00734D3B" w:rsidRDefault="006405FD" w:rsidP="006405FD">
      <w:r w:rsidRPr="00734D3B">
        <w:t>En el caso de los contratistas eléctricos de Arizona, aplicar el P5 significa incluir indicadores de sostenibilidad en sus sistemas de gestión. Esto incluye evaluar a los proveedores con criterios ambientales y sociales, mejorar la eficiencia energética, reducir residuos y publicar informes anuales sobre su desempeño sostenible. Estas acciones fortalecen la reputación de las empresas, reducen riesgos legales y aumentan la eficiencia a largo plazo.</w:t>
      </w:r>
    </w:p>
    <w:p w14:paraId="185A0BE9" w14:textId="77777777" w:rsidR="006405FD" w:rsidRPr="00734D3B" w:rsidRDefault="006405FD" w:rsidP="006405FD">
      <w:r w:rsidRPr="00734D3B">
        <w:t xml:space="preserve">Además, el P5 fomenta la colaboración entre contratistas, clientes y autoridades locales, lo que ayuda a alinear las prácticas con programas como la Arizona </w:t>
      </w:r>
      <w:proofErr w:type="spellStart"/>
      <w:r w:rsidRPr="00734D3B">
        <w:t>Sustainability</w:t>
      </w:r>
      <w:proofErr w:type="spellEnd"/>
      <w:r w:rsidRPr="00734D3B">
        <w:t xml:space="preserve"> Alliance o los </w:t>
      </w:r>
      <w:r w:rsidRPr="00734D3B">
        <w:lastRenderedPageBreak/>
        <w:t>estándares de eficiencia energética del Departamento de Energía (DOE). De esta forma, los proyectos eléctricos pueden convertirse en una herramienta real para cuidar el ambiente y mejorar el desarrollo del sector tecnológico.</w:t>
      </w:r>
    </w:p>
    <w:p w14:paraId="201CD55B" w14:textId="77777777" w:rsidR="006405FD" w:rsidRPr="00734D3B" w:rsidRDefault="006405FD" w:rsidP="006405FD">
      <w:r w:rsidRPr="00734D3B">
        <w:t>El análisis del proyecto según el Estándar P5 ofrece una base sólida para integrar la sostenibilidad y el desarrollo regenerativo en todas las etapas de los centros de datos en Arizona. Su aplicación no solo permite evaluar los resultados ambientales, sociales y económicos, sino que también impulsa la creación de valor compartido y fortalece la capacidad de las empresas para adaptarse y mejorar.</w:t>
      </w:r>
    </w:p>
    <w:p w14:paraId="0D31D8A8" w14:textId="7AD32D9D" w:rsidR="006405FD" w:rsidRPr="00734D3B" w:rsidRDefault="006405FD" w:rsidP="006405FD">
      <w:r w:rsidRPr="00734D3B">
        <w:t>Para los contratistas eléctricos, el P5 representa una guía práctica para pasar de la eficiencia técnica a una gestión verdaderamente sostenible. De esta manera, contribuye al esfuerzo global por reducir el cambio climático, mejorar la calidad de vida de las personas y promover un desarrollo industrial más responsable y equilibrado.</w:t>
      </w:r>
    </w:p>
    <w:p w14:paraId="4B827D99" w14:textId="4A59F148" w:rsidR="001E1343" w:rsidRPr="00734D3B" w:rsidRDefault="00D27EF4" w:rsidP="001D692F">
      <w:pPr>
        <w:pStyle w:val="Heading3"/>
        <w:numPr>
          <w:ilvl w:val="2"/>
          <w:numId w:val="53"/>
        </w:numPr>
        <w:ind w:left="886"/>
      </w:pPr>
      <w:bookmarkStart w:id="377" w:name="_Toc227936439"/>
      <w:r w:rsidRPr="00734D3B">
        <w:t>Categoría: Impacto a las Personas</w:t>
      </w:r>
      <w:bookmarkEnd w:id="377"/>
    </w:p>
    <w:p w14:paraId="0359A39C" w14:textId="77777777" w:rsidR="00AE3EBB" w:rsidRPr="00734D3B" w:rsidRDefault="00AE3EBB" w:rsidP="00AE3EBB">
      <w:r w:rsidRPr="00734D3B">
        <w:t>El impacto en las personas es el aspecto más importante del Estándar P5, ya que trata sobre la relación entre el proyecto, los trabajadores, las comunidades, los clientes y la sociedad en general. En los proyectos eléctricos de centros de datos, esto significa asegurar que todas las etapas del trabajo, desde la excavación hasta el mantenimiento, se realicen con condiciones laborales justas, participación social, respeto a los derechos humanos y comportamiento ético.</w:t>
      </w:r>
    </w:p>
    <w:p w14:paraId="20E6520B" w14:textId="77777777" w:rsidR="00AE3EBB" w:rsidRPr="00734D3B" w:rsidRDefault="00AE3EBB" w:rsidP="00AE3EBB">
      <w:r w:rsidRPr="00734D3B">
        <w:t>Aplicar esta categoría del Estándar P5 en los proyectos eléctricos de Arizona ayuda no solo a reducir los riesgos sociales, sino también a convertirlos en oportunidades de crecimiento humano, técnico y comunitario, en línea con los principios del desarrollo regenerativo.</w:t>
      </w:r>
    </w:p>
    <w:p w14:paraId="3EE63694" w14:textId="42B8749E" w:rsidR="00AE3EBB" w:rsidRPr="00734D3B" w:rsidRDefault="00F0226E" w:rsidP="00134F3F">
      <w:pPr>
        <w:rPr>
          <w:b/>
          <w:bCs/>
        </w:rPr>
      </w:pPr>
      <w:r w:rsidRPr="00734D3B">
        <w:rPr>
          <w:b/>
          <w:bCs/>
        </w:rPr>
        <w:t>a</w:t>
      </w:r>
      <w:r w:rsidR="00AE3EBB" w:rsidRPr="00734D3B">
        <w:rPr>
          <w:b/>
          <w:bCs/>
        </w:rPr>
        <w:t>) Prácticas laborales y trabajo decente</w:t>
      </w:r>
    </w:p>
    <w:p w14:paraId="20C8A9A7" w14:textId="77777777" w:rsidR="00AE3EBB" w:rsidRPr="00734D3B" w:rsidRDefault="00AE3EBB" w:rsidP="00AE3EBB">
      <w:r w:rsidRPr="00734D3B">
        <w:t xml:space="preserve">Durante la construcción, uno de los mayores retos para los contratistas eléctricos es mantener la seguridad, la igualdad y la estabilidad laboral en ambientes de alta exigencia. Los </w:t>
      </w:r>
      <w:r w:rsidRPr="00734D3B">
        <w:lastRenderedPageBreak/>
        <w:t>proyectos de centros de datos requieren largas jornadas, trabajo en altura, exposición a altas temperaturas y manipulación de energía eléctrica, lo que puede representar riesgos para la salud de los trabajadores.</w:t>
      </w:r>
    </w:p>
    <w:p w14:paraId="4D2135FF" w14:textId="77777777" w:rsidR="00AE3EBB" w:rsidRPr="00734D3B" w:rsidRDefault="00AE3EBB" w:rsidP="00AE3EBB">
      <w:r w:rsidRPr="00734D3B">
        <w:t>Según el P5, estos riesgos deben manejarse con políticas que garanticen la seguridad ocupacional, la capacitación constante y el respeto a la dignidad del trabajo.</w:t>
      </w:r>
    </w:p>
    <w:p w14:paraId="0E2158AC" w14:textId="77777777" w:rsidR="00AE3EBB" w:rsidRPr="00734D3B" w:rsidRDefault="00AE3EBB" w:rsidP="00AE3EBB">
      <w:r w:rsidRPr="00734D3B">
        <w:t>Algunos de los principales riesgos en esta categoría son los accidentes laborales por falta de capacitación, la fatiga por exceso de trabajo, la rotación frecuente del personal, la desigualdad de oportunidades y la falta de formación en nuevas tecnologías.</w:t>
      </w:r>
    </w:p>
    <w:p w14:paraId="30537A94" w14:textId="77777777" w:rsidR="00AE3EBB" w:rsidRPr="00734D3B" w:rsidRDefault="00AE3EBB" w:rsidP="00AE3EBB">
      <w:r w:rsidRPr="00734D3B">
        <w:t>Para mejorar estos aspectos, se pueden aplicar estrategias como:</w:t>
      </w:r>
    </w:p>
    <w:p w14:paraId="0D924D2C" w14:textId="77777777" w:rsidR="00AE3EBB" w:rsidRPr="00734D3B" w:rsidRDefault="00AE3EBB" w:rsidP="001D692F">
      <w:pPr>
        <w:pStyle w:val="ListParagraph"/>
        <w:numPr>
          <w:ilvl w:val="0"/>
          <w:numId w:val="16"/>
        </w:numPr>
      </w:pPr>
      <w:r w:rsidRPr="00734D3B">
        <w:t>Realizar programas de capacitación técnica y certificaciones locales con apoyo de instituciones educativas o sindicatos eléctricos.</w:t>
      </w:r>
    </w:p>
    <w:p w14:paraId="40A73673" w14:textId="77777777" w:rsidR="00AE3EBB" w:rsidRPr="00734D3B" w:rsidRDefault="00AE3EBB" w:rsidP="001D692F">
      <w:pPr>
        <w:pStyle w:val="ListParagraph"/>
        <w:numPr>
          <w:ilvl w:val="0"/>
          <w:numId w:val="16"/>
        </w:numPr>
      </w:pPr>
      <w:r w:rsidRPr="00734D3B">
        <w:t>Aplicar normas de seguridad basadas en OSHA 30 y NFPA 70E.</w:t>
      </w:r>
    </w:p>
    <w:p w14:paraId="69E0ACB9" w14:textId="77777777" w:rsidR="00AE3EBB" w:rsidRPr="00734D3B" w:rsidRDefault="00AE3EBB" w:rsidP="001D692F">
      <w:pPr>
        <w:pStyle w:val="ListParagraph"/>
        <w:numPr>
          <w:ilvl w:val="0"/>
          <w:numId w:val="16"/>
        </w:numPr>
      </w:pPr>
      <w:r w:rsidRPr="00734D3B">
        <w:t>Crear horarios de trabajo equilibrados que incluyan descansos adecuados.</w:t>
      </w:r>
    </w:p>
    <w:p w14:paraId="6B4F11F7" w14:textId="77777777" w:rsidR="00AE3EBB" w:rsidRPr="00734D3B" w:rsidRDefault="00AE3EBB" w:rsidP="001D692F">
      <w:pPr>
        <w:pStyle w:val="ListParagraph"/>
        <w:numPr>
          <w:ilvl w:val="0"/>
          <w:numId w:val="16"/>
        </w:numPr>
      </w:pPr>
      <w:r w:rsidRPr="00734D3B">
        <w:t>Promover la tutoría entre técnicos experimentados y aprendices locales.</w:t>
      </w:r>
    </w:p>
    <w:p w14:paraId="53712BFD" w14:textId="77777777" w:rsidR="00AE3EBB" w:rsidRPr="00734D3B" w:rsidRDefault="00AE3EBB" w:rsidP="001D692F">
      <w:pPr>
        <w:pStyle w:val="ListParagraph"/>
        <w:numPr>
          <w:ilvl w:val="0"/>
          <w:numId w:val="16"/>
        </w:numPr>
      </w:pPr>
      <w:r w:rsidRPr="00734D3B">
        <w:t>Impulsar la participación de mujeres y minorías en los oficios eléctricos.</w:t>
      </w:r>
    </w:p>
    <w:p w14:paraId="37B15B1B" w14:textId="77777777" w:rsidR="00AE3EBB" w:rsidRPr="00734D3B" w:rsidRDefault="00AE3EBB" w:rsidP="00AE3EBB">
      <w:r w:rsidRPr="00734D3B">
        <w:t>Durante la etapa de mantenimiento, estas acciones se refuerzan con empleos más estables, programas de actualización técnica y condiciones de trabajo seguras que fomenten el bienestar del personal y la eficiencia operativa.</w:t>
      </w:r>
    </w:p>
    <w:p w14:paraId="2A00FE9D" w14:textId="4CC19548" w:rsidR="00AE3EBB" w:rsidRPr="00734D3B" w:rsidRDefault="00AE3EBB" w:rsidP="003175CF">
      <w:pPr>
        <w:ind w:left="720" w:firstLine="0"/>
        <w:rPr>
          <w:b/>
          <w:bCs/>
        </w:rPr>
      </w:pPr>
      <w:r w:rsidRPr="00734D3B">
        <w:rPr>
          <w:b/>
          <w:bCs/>
        </w:rPr>
        <w:t xml:space="preserve">b) Sociedad y </w:t>
      </w:r>
      <w:r w:rsidR="003175CF" w:rsidRPr="00734D3B">
        <w:rPr>
          <w:b/>
          <w:bCs/>
        </w:rPr>
        <w:t>c</w:t>
      </w:r>
      <w:r w:rsidRPr="00734D3B">
        <w:rPr>
          <w:b/>
          <w:bCs/>
        </w:rPr>
        <w:t>lientes</w:t>
      </w:r>
    </w:p>
    <w:p w14:paraId="0334A4C8" w14:textId="77777777" w:rsidR="00AE3EBB" w:rsidRPr="00734D3B" w:rsidRDefault="00AE3EBB" w:rsidP="00AE3EBB">
      <w:r w:rsidRPr="00734D3B">
        <w:t>Los proyectos de centros de datos también impactan a las comunidades cercanas. En Arizona, donde la demanda de energía y agua es alta, es importante que las empresas involucren a las comunidades desde el inicio para evitar conflictos y fortalecer la confianza.</w:t>
      </w:r>
    </w:p>
    <w:p w14:paraId="15A234AC" w14:textId="77777777" w:rsidR="00AE3EBB" w:rsidRPr="00734D3B" w:rsidRDefault="00AE3EBB" w:rsidP="00AE3EBB">
      <w:r w:rsidRPr="00734D3B">
        <w:t>Los grupos de interés incluyen trabajadores, vecinos, clientes, gobiernos locales y proveedores. Los impactos pueden ir desde el aumento del tráfico y el ruido durante la construcción hasta la percepción de exclusión si no se generan beneficios para la comunidad.</w:t>
      </w:r>
    </w:p>
    <w:p w14:paraId="0ACB5DD1" w14:textId="77777777" w:rsidR="00AE3EBB" w:rsidRPr="00734D3B" w:rsidRDefault="00AE3EBB" w:rsidP="00AE3EBB">
      <w:pPr>
        <w:rPr>
          <w:lang w:val="en-US"/>
        </w:rPr>
      </w:pPr>
      <w:proofErr w:type="spellStart"/>
      <w:r w:rsidRPr="00734D3B">
        <w:rPr>
          <w:lang w:val="en-US"/>
        </w:rPr>
        <w:lastRenderedPageBreak/>
        <w:t>Algunas</w:t>
      </w:r>
      <w:proofErr w:type="spellEnd"/>
      <w:r w:rsidRPr="00734D3B">
        <w:rPr>
          <w:lang w:val="en-US"/>
        </w:rPr>
        <w:t xml:space="preserve"> </w:t>
      </w:r>
      <w:proofErr w:type="spellStart"/>
      <w:r w:rsidRPr="00734D3B">
        <w:rPr>
          <w:lang w:val="en-US"/>
        </w:rPr>
        <w:t>acciones</w:t>
      </w:r>
      <w:proofErr w:type="spellEnd"/>
      <w:r w:rsidRPr="00734D3B">
        <w:rPr>
          <w:lang w:val="en-US"/>
        </w:rPr>
        <w:t xml:space="preserve"> </w:t>
      </w:r>
      <w:proofErr w:type="spellStart"/>
      <w:r w:rsidRPr="00734D3B">
        <w:rPr>
          <w:lang w:val="en-US"/>
        </w:rPr>
        <w:t>recomendadas</w:t>
      </w:r>
      <w:proofErr w:type="spellEnd"/>
      <w:r w:rsidRPr="00734D3B">
        <w:rPr>
          <w:lang w:val="en-US"/>
        </w:rPr>
        <w:t xml:space="preserve"> son:</w:t>
      </w:r>
    </w:p>
    <w:p w14:paraId="36DACF4D" w14:textId="77777777" w:rsidR="00AE3EBB" w:rsidRPr="00734D3B" w:rsidRDefault="00AE3EBB" w:rsidP="001D692F">
      <w:pPr>
        <w:numPr>
          <w:ilvl w:val="0"/>
          <w:numId w:val="15"/>
        </w:numPr>
      </w:pPr>
      <w:r w:rsidRPr="00734D3B">
        <w:t>Realizar reuniones con la comunidad para escuchar sus preocupaciones ambientales y sociales.</w:t>
      </w:r>
    </w:p>
    <w:p w14:paraId="034F958B" w14:textId="77777777" w:rsidR="00AE3EBB" w:rsidRPr="00734D3B" w:rsidRDefault="00AE3EBB" w:rsidP="001D692F">
      <w:pPr>
        <w:numPr>
          <w:ilvl w:val="0"/>
          <w:numId w:val="15"/>
        </w:numPr>
      </w:pPr>
      <w:r w:rsidRPr="00734D3B">
        <w:t>Mantener canales de comunicación abiertos y responder de forma clara a las inquietudes.</w:t>
      </w:r>
    </w:p>
    <w:p w14:paraId="1F289D6F" w14:textId="77777777" w:rsidR="00AE3EBB" w:rsidRPr="00734D3B" w:rsidRDefault="00AE3EBB" w:rsidP="001D692F">
      <w:pPr>
        <w:numPr>
          <w:ilvl w:val="0"/>
          <w:numId w:val="15"/>
        </w:numPr>
      </w:pPr>
      <w:r w:rsidRPr="00734D3B">
        <w:t>Impulsar programas de voluntariado en escuelas técnicas o proyectos locales.</w:t>
      </w:r>
    </w:p>
    <w:p w14:paraId="742C7E0B" w14:textId="77777777" w:rsidR="00AE3EBB" w:rsidRPr="00734D3B" w:rsidRDefault="00AE3EBB" w:rsidP="001D692F">
      <w:pPr>
        <w:numPr>
          <w:ilvl w:val="0"/>
          <w:numId w:val="15"/>
        </w:numPr>
      </w:pPr>
      <w:r w:rsidRPr="00734D3B">
        <w:t>Dar prioridad a proveedores y trabajadores locales para fortalecer la economía regional.</w:t>
      </w:r>
    </w:p>
    <w:p w14:paraId="69EC7137" w14:textId="77777777" w:rsidR="00AE3EBB" w:rsidRPr="00734D3B" w:rsidRDefault="00AE3EBB" w:rsidP="00AE3EBB">
      <w:r w:rsidRPr="00734D3B">
        <w:t>En cuanto a los clientes, los contratistas deben garantizar la protección de la información técnica de los centros de datos. Para ello, se aplican controles de acceso, auditorías de seguridad digital y cumplimiento de normas internacionales como la ISO 27001, fortaleciendo la confianza y la reputación del contratista.</w:t>
      </w:r>
    </w:p>
    <w:p w14:paraId="2EC049B0" w14:textId="77777777" w:rsidR="00AE3EBB" w:rsidRPr="00734D3B" w:rsidRDefault="00AE3EBB" w:rsidP="003175CF">
      <w:pPr>
        <w:ind w:left="720" w:firstLine="0"/>
        <w:rPr>
          <w:b/>
          <w:bCs/>
        </w:rPr>
      </w:pPr>
      <w:r w:rsidRPr="00734D3B">
        <w:rPr>
          <w:b/>
          <w:bCs/>
        </w:rPr>
        <w:t>c) Derechos humanos</w:t>
      </w:r>
    </w:p>
    <w:p w14:paraId="21D79E56" w14:textId="77777777" w:rsidR="00AE3EBB" w:rsidRPr="00734D3B" w:rsidRDefault="00AE3EBB" w:rsidP="00AE3EBB">
      <w:r w:rsidRPr="00734D3B">
        <w:t>El respeto a los derechos humanos, la diversidad y la igualdad es esencial para lograr un ambiente laboral sano. En el sector eléctrico, esto implica crear espacios de trabajo donde haya respeto, igualdad y comunicación abierta.</w:t>
      </w:r>
    </w:p>
    <w:p w14:paraId="67E201F6" w14:textId="77777777" w:rsidR="00AE3EBB" w:rsidRPr="00734D3B" w:rsidRDefault="00AE3EBB" w:rsidP="00AE3EBB">
      <w:r w:rsidRPr="00734D3B">
        <w:t>Durante la construcción, se recomienda establecer políticas claras contra el acoso o la discriminación, garantizar igualdad de salario para tareas equivalentes, habilitar canales de denuncia anónima y ofrecer capacitaciones en comunicación inclusiva.</w:t>
      </w:r>
    </w:p>
    <w:p w14:paraId="64722776" w14:textId="77777777" w:rsidR="00AE3EBB" w:rsidRPr="00734D3B" w:rsidRDefault="00AE3EBB" w:rsidP="00AE3EBB">
      <w:r w:rsidRPr="00734D3B">
        <w:t>Durante la operación y el mantenimiento, se debe continuar promoviendo la estabilidad laboral, la seguridad y el crecimiento profesional. Además, se debe vigilar que los proveedores no utilicen mano de obra infantil ni prácticas injustas, siguiendo los principios de las Naciones Unidas sobre empresas y derechos humanos.</w:t>
      </w:r>
    </w:p>
    <w:p w14:paraId="0A60C5B1" w14:textId="77777777" w:rsidR="00AE3EBB" w:rsidRPr="00734D3B" w:rsidRDefault="00AE3EBB" w:rsidP="00AE3EBB">
      <w:r w:rsidRPr="00734D3B">
        <w:t>Este enfoque no solo es una obligación ética, sino también una ventaja para las empresas, ya que mejora su reputación y demuestra su compromiso con la responsabilidad social.</w:t>
      </w:r>
    </w:p>
    <w:p w14:paraId="3D8CD963" w14:textId="77777777" w:rsidR="00AE3EBB" w:rsidRPr="00734D3B" w:rsidRDefault="00AE3EBB" w:rsidP="00C25045">
      <w:pPr>
        <w:ind w:left="720" w:firstLine="0"/>
        <w:rPr>
          <w:b/>
          <w:bCs/>
        </w:rPr>
      </w:pPr>
      <w:r w:rsidRPr="00734D3B">
        <w:rPr>
          <w:b/>
          <w:bCs/>
        </w:rPr>
        <w:lastRenderedPageBreak/>
        <w:t>d) Comportamiento ético</w:t>
      </w:r>
    </w:p>
    <w:p w14:paraId="5F7C8CBF" w14:textId="77777777" w:rsidR="00AE3EBB" w:rsidRPr="00734D3B" w:rsidRDefault="00AE3EBB" w:rsidP="00AE3EBB">
      <w:r w:rsidRPr="00734D3B">
        <w:t>El comportamiento ético es otro punto clave del Estándar P5, ya que busca evitar la corrupción, asegurar la transparencia y fomentar la competencia justa entre los participantes del proyecto. En los proyectos eléctricos grandes, los riesgos éticos pueden afectar la sostenibilidad y la confianza entre las partes.</w:t>
      </w:r>
    </w:p>
    <w:p w14:paraId="483056CD" w14:textId="77777777" w:rsidR="00AE3EBB" w:rsidRPr="00734D3B" w:rsidRDefault="00AE3EBB" w:rsidP="00AE3EBB">
      <w:r w:rsidRPr="00734D3B">
        <w:t>Los principales riesgos incluyen sobrecostos injustificados, favoritismo en contrataciones, conflictos de interés, mala disposición de materiales eléctricos y falta de transparencia en el uso de recursos.</w:t>
      </w:r>
    </w:p>
    <w:p w14:paraId="017EC108" w14:textId="77777777" w:rsidR="00AE3EBB" w:rsidRPr="00734D3B" w:rsidRDefault="00AE3EBB" w:rsidP="00AE3EBB">
      <w:pPr>
        <w:rPr>
          <w:lang w:val="en-US"/>
        </w:rPr>
      </w:pPr>
      <w:r w:rsidRPr="00734D3B">
        <w:rPr>
          <w:lang w:val="en-US"/>
        </w:rPr>
        <w:t xml:space="preserve">Para </w:t>
      </w:r>
      <w:proofErr w:type="spellStart"/>
      <w:r w:rsidRPr="00734D3B">
        <w:rPr>
          <w:lang w:val="en-US"/>
        </w:rPr>
        <w:t>prevenirlos</w:t>
      </w:r>
      <w:proofErr w:type="spellEnd"/>
      <w:r w:rsidRPr="00734D3B">
        <w:rPr>
          <w:lang w:val="en-US"/>
        </w:rPr>
        <w:t xml:space="preserve">, se </w:t>
      </w:r>
      <w:proofErr w:type="spellStart"/>
      <w:r w:rsidRPr="00734D3B">
        <w:rPr>
          <w:lang w:val="en-US"/>
        </w:rPr>
        <w:t>recomienda</w:t>
      </w:r>
      <w:proofErr w:type="spellEnd"/>
      <w:r w:rsidRPr="00734D3B">
        <w:rPr>
          <w:lang w:val="en-US"/>
        </w:rPr>
        <w:t>:</w:t>
      </w:r>
    </w:p>
    <w:p w14:paraId="76BFF91D" w14:textId="77777777" w:rsidR="00AE3EBB" w:rsidRPr="00734D3B" w:rsidRDefault="00AE3EBB" w:rsidP="001D692F">
      <w:pPr>
        <w:numPr>
          <w:ilvl w:val="0"/>
          <w:numId w:val="14"/>
        </w:numPr>
      </w:pPr>
      <w:r w:rsidRPr="00734D3B">
        <w:t>Crear un código de ética para todos los trabajadores y proveedores.</w:t>
      </w:r>
    </w:p>
    <w:p w14:paraId="3DC4C9FE" w14:textId="77777777" w:rsidR="00AE3EBB" w:rsidRPr="00734D3B" w:rsidRDefault="00AE3EBB" w:rsidP="001D692F">
      <w:pPr>
        <w:numPr>
          <w:ilvl w:val="0"/>
          <w:numId w:val="14"/>
        </w:numPr>
      </w:pPr>
      <w:r w:rsidRPr="00734D3B">
        <w:t>Registrar de forma digital cada cambio de alcance, costo o tiempo del proyecto.</w:t>
      </w:r>
    </w:p>
    <w:p w14:paraId="4185EF6A" w14:textId="77777777" w:rsidR="00AE3EBB" w:rsidRPr="00734D3B" w:rsidRDefault="00AE3EBB" w:rsidP="001D692F">
      <w:pPr>
        <w:numPr>
          <w:ilvl w:val="0"/>
          <w:numId w:val="14"/>
        </w:numPr>
      </w:pPr>
      <w:r w:rsidRPr="00734D3B">
        <w:t>Realizar auditorías internas y externas.</w:t>
      </w:r>
    </w:p>
    <w:p w14:paraId="4A3E7CB0" w14:textId="77777777" w:rsidR="00AE3EBB" w:rsidRPr="00734D3B" w:rsidRDefault="00AE3EBB" w:rsidP="001D692F">
      <w:pPr>
        <w:numPr>
          <w:ilvl w:val="0"/>
          <w:numId w:val="14"/>
        </w:numPr>
      </w:pPr>
      <w:r w:rsidRPr="00734D3B">
        <w:t>Seleccionar proveedores de forma justa, con base en criterios técnicos y sostenibles.</w:t>
      </w:r>
    </w:p>
    <w:p w14:paraId="5A425B34" w14:textId="77777777" w:rsidR="00AE3EBB" w:rsidRPr="00734D3B" w:rsidRDefault="00AE3EBB" w:rsidP="001D692F">
      <w:pPr>
        <w:numPr>
          <w:ilvl w:val="0"/>
          <w:numId w:val="14"/>
        </w:numPr>
      </w:pPr>
      <w:r w:rsidRPr="00734D3B">
        <w:t>Evaluar el desempeño ético de los contratistas como parte de sus indicadores de sostenibilidad.</w:t>
      </w:r>
    </w:p>
    <w:p w14:paraId="3EB1CFFA" w14:textId="77777777" w:rsidR="00AE3EBB" w:rsidRPr="00734D3B" w:rsidRDefault="00AE3EBB" w:rsidP="00AE3EBB">
      <w:r w:rsidRPr="00734D3B">
        <w:t>Estas medidas crean un ambiente de confianza y transparencia que garantiza la continuidad del proyecto de manera responsable y segura.</w:t>
      </w:r>
    </w:p>
    <w:p w14:paraId="6642AA7A" w14:textId="77777777" w:rsidR="00AE3EBB" w:rsidRPr="00734D3B" w:rsidRDefault="00AE3EBB" w:rsidP="00AE3EBB">
      <w:r w:rsidRPr="00734D3B">
        <w:t>Aplicar la categoría “Impacto en las Personas” del Estándar P5 en los proyectos eléctricos de centros de datos en Arizona permite pasar de una gestión tradicional a una más ética, humana y sostenible.</w:t>
      </w:r>
    </w:p>
    <w:p w14:paraId="2692F2B3" w14:textId="77777777" w:rsidR="00AE3EBB" w:rsidRPr="00734D3B" w:rsidRDefault="00AE3EBB" w:rsidP="00AE3EBB">
      <w:r w:rsidRPr="00734D3B">
        <w:t>El fortalecimiento de las capacidades locales, la igualdad laboral, la protección de los derechos humanos y la conducta ética convierten a los contratistas eléctricos en agentes de cambio social. El bienestar de las personas deja de ser solo un requisito del trabajo y se transforma en el pilar principal de un desarrollo más justo y regenerativo a largo plazo.</w:t>
      </w:r>
    </w:p>
    <w:p w14:paraId="301FFB58" w14:textId="77FE19C8" w:rsidR="00AE3EBB" w:rsidRPr="00734D3B" w:rsidRDefault="002671FD" w:rsidP="001D692F">
      <w:pPr>
        <w:pStyle w:val="Heading3"/>
        <w:numPr>
          <w:ilvl w:val="2"/>
          <w:numId w:val="53"/>
        </w:numPr>
        <w:ind w:left="886"/>
      </w:pPr>
      <w:bookmarkStart w:id="378" w:name="_Toc227936440"/>
      <w:r w:rsidRPr="00734D3B">
        <w:lastRenderedPageBreak/>
        <w:t>Categoría: Impacto al Planeta</w:t>
      </w:r>
      <w:bookmarkEnd w:id="378"/>
    </w:p>
    <w:p w14:paraId="4D870578" w14:textId="77777777" w:rsidR="00F273C3" w:rsidRPr="00734D3B" w:rsidRDefault="00F273C3" w:rsidP="00F273C3">
      <w:r w:rsidRPr="00734D3B">
        <w:t>El Estándar P5 establece que la dimensión Planeta analiza cómo un proyecto afecta al medio ambiente y a los recursos naturales en el corto, mediano y largo plazo. En el caso de los centros de datos, que usan mucha energía, materiales y agua, esta categoría es muy importante para identificar los principales impactos y aplicar medidas que ayuden a cuidar y regenerar el ambiente.</w:t>
      </w:r>
    </w:p>
    <w:p w14:paraId="53F2E75B" w14:textId="77777777" w:rsidR="00F273C3" w:rsidRPr="00734D3B" w:rsidRDefault="00F273C3" w:rsidP="00F273C3">
      <w:r w:rsidRPr="00734D3B">
        <w:t>El análisis del P5 en esta dimensión considera varios aspectos: la huella de carbono, el uso responsable de los recursos naturales, la economía circular, la eficiencia energética, la transición hacia energías limpias y la cadena de suministro sostenible.</w:t>
      </w:r>
    </w:p>
    <w:p w14:paraId="78A9BD89" w14:textId="303F9E47" w:rsidR="00F273C3" w:rsidRPr="00734D3B" w:rsidRDefault="00F273C3" w:rsidP="00F273C3">
      <w:pPr>
        <w:rPr>
          <w:b/>
          <w:bCs/>
        </w:rPr>
      </w:pPr>
      <w:r w:rsidRPr="00734D3B">
        <w:rPr>
          <w:b/>
          <w:bCs/>
        </w:rPr>
        <w:t>a) Evaluación de la huella de carbono y estrategias de reducción</w:t>
      </w:r>
    </w:p>
    <w:p w14:paraId="3B70FC6F" w14:textId="77777777" w:rsidR="00D03D66" w:rsidRPr="00734D3B" w:rsidRDefault="00D03D66" w:rsidP="00D03D66">
      <w:r w:rsidRPr="00734D3B">
        <w:t>El Estándar P5 indica que la dimensión Planeta analiza cómo un proyecto afecta el medio ambiente y los recursos naturales a corto, mediano y largo plazo. En los centros de datos, donde se usa mucha energía, materiales y agua, esta categoría es muy importante para identificar los impactos y crear estrategias que ayuden a proteger y regenerar el ambiente.</w:t>
      </w:r>
    </w:p>
    <w:p w14:paraId="78910A2F" w14:textId="77777777" w:rsidR="00D03D66" w:rsidRPr="00734D3B" w:rsidRDefault="00D03D66" w:rsidP="00D03D66">
      <w:r w:rsidRPr="00734D3B">
        <w:t>El análisis en esta categoría considera los siguientes aspectos: huella de carbono, uso responsable de los recursos naturales, economía circular y manejo de residuos, eficiencia energética y uso de energías renovables, además de una cadena de suministro sostenible.</w:t>
      </w:r>
    </w:p>
    <w:p w14:paraId="0B1089D8" w14:textId="77777777" w:rsidR="00D03D66" w:rsidRPr="00734D3B" w:rsidRDefault="00D03D66" w:rsidP="00D03D66">
      <w:r w:rsidRPr="00734D3B">
        <w:t>Los centros de datos son de las infraestructuras que más energía consumen y que más gases de efecto invernadero producen. En los proyectos eléctricos, las principales fuentes de emisiones son:</w:t>
      </w:r>
    </w:p>
    <w:p w14:paraId="1484DFB7" w14:textId="77777777" w:rsidR="00D03D66" w:rsidRPr="00734D3B" w:rsidRDefault="00D03D66" w:rsidP="001D692F">
      <w:pPr>
        <w:numPr>
          <w:ilvl w:val="0"/>
          <w:numId w:val="17"/>
        </w:numPr>
      </w:pPr>
      <w:r w:rsidRPr="00734D3B">
        <w:t>El consumo de energía para los sistemas eléctricos, iluminación y refrigeración.</w:t>
      </w:r>
    </w:p>
    <w:p w14:paraId="48872474" w14:textId="77777777" w:rsidR="00D03D66" w:rsidRPr="00734D3B" w:rsidRDefault="00D03D66" w:rsidP="001D692F">
      <w:pPr>
        <w:numPr>
          <w:ilvl w:val="0"/>
          <w:numId w:val="17"/>
        </w:numPr>
      </w:pPr>
      <w:r w:rsidRPr="00734D3B">
        <w:t>El transporte de materiales como cables, bandejas, transformadores y equipos grandes.</w:t>
      </w:r>
    </w:p>
    <w:p w14:paraId="038E6018" w14:textId="77777777" w:rsidR="00D03D66" w:rsidRPr="00734D3B" w:rsidRDefault="00D03D66" w:rsidP="001D692F">
      <w:pPr>
        <w:numPr>
          <w:ilvl w:val="0"/>
          <w:numId w:val="17"/>
        </w:numPr>
      </w:pPr>
      <w:r w:rsidRPr="00734D3B">
        <w:t>La fabricación e instalación de materiales eléctricos como cobre, aluminio, acero y PVC, que tienen una huella de carbono alta.</w:t>
      </w:r>
    </w:p>
    <w:p w14:paraId="0809260E" w14:textId="77777777" w:rsidR="00D03D66" w:rsidRPr="00734D3B" w:rsidRDefault="00D03D66" w:rsidP="00D03D66">
      <w:r w:rsidRPr="00734D3B">
        <w:t>Las estrategias para reducir estas emisiones incluyen:</w:t>
      </w:r>
    </w:p>
    <w:p w14:paraId="62059670" w14:textId="77777777" w:rsidR="00D03D66" w:rsidRPr="00734D3B" w:rsidRDefault="00D03D66" w:rsidP="001D692F">
      <w:pPr>
        <w:numPr>
          <w:ilvl w:val="0"/>
          <w:numId w:val="18"/>
        </w:numPr>
      </w:pPr>
      <w:r w:rsidRPr="00734D3B">
        <w:lastRenderedPageBreak/>
        <w:t>Medir la huella de carbono desde la etapa de planificación usando herramientas básicas de control ambiental.</w:t>
      </w:r>
    </w:p>
    <w:p w14:paraId="0B693F1A" w14:textId="77777777" w:rsidR="00D03D66" w:rsidRPr="00734D3B" w:rsidRDefault="00D03D66" w:rsidP="001D692F">
      <w:pPr>
        <w:numPr>
          <w:ilvl w:val="0"/>
          <w:numId w:val="18"/>
        </w:numPr>
      </w:pPr>
      <w:r w:rsidRPr="00734D3B">
        <w:t>Usar maquinaria eléctrica o híbrida en lugar de motores a diésel.</w:t>
      </w:r>
    </w:p>
    <w:p w14:paraId="5FA677F3" w14:textId="77777777" w:rsidR="00D03D66" w:rsidRPr="00734D3B" w:rsidRDefault="00D03D66" w:rsidP="001D692F">
      <w:pPr>
        <w:numPr>
          <w:ilvl w:val="0"/>
          <w:numId w:val="18"/>
        </w:numPr>
      </w:pPr>
      <w:r w:rsidRPr="00734D3B">
        <w:t>Escoger materiales con menor impacto, como cables reciclados o recubrimientos sin productos tóxicos.</w:t>
      </w:r>
    </w:p>
    <w:p w14:paraId="10548544" w14:textId="77777777" w:rsidR="00D03D66" w:rsidRPr="00734D3B" w:rsidRDefault="00D03D66" w:rsidP="001D692F">
      <w:pPr>
        <w:numPr>
          <w:ilvl w:val="0"/>
          <w:numId w:val="18"/>
        </w:numPr>
      </w:pPr>
      <w:r w:rsidRPr="00734D3B">
        <w:t>Compensar las emisiones apoyando proyectos de reforestación o energía limpia en la misma zona del proyecto.</w:t>
      </w:r>
    </w:p>
    <w:p w14:paraId="158928F8" w14:textId="77777777" w:rsidR="00D03D66" w:rsidRPr="00734D3B" w:rsidRDefault="00D03D66" w:rsidP="00D03D66">
      <w:r w:rsidRPr="00734D3B">
        <w:t>Durante la operación, se recomienda usar sistemas de monitoreo que relacionen el consumo de energía con indicadores de eficiencia y establecer metas anuales para reducir las emisiones.</w:t>
      </w:r>
    </w:p>
    <w:p w14:paraId="674ED7D0" w14:textId="77777777" w:rsidR="00D03D66" w:rsidRPr="00734D3B" w:rsidRDefault="00D03D66" w:rsidP="002E2F99">
      <w:pPr>
        <w:ind w:left="720" w:firstLine="0"/>
        <w:rPr>
          <w:b/>
          <w:bCs/>
        </w:rPr>
      </w:pPr>
      <w:r w:rsidRPr="00734D3B">
        <w:rPr>
          <w:b/>
          <w:bCs/>
        </w:rPr>
        <w:t>b) Uso responsable de los recursos naturales</w:t>
      </w:r>
    </w:p>
    <w:p w14:paraId="56BA2472" w14:textId="77777777" w:rsidR="00D03D66" w:rsidRPr="00734D3B" w:rsidRDefault="00D03D66" w:rsidP="00D03D66">
      <w:r w:rsidRPr="00734D3B">
        <w:t>La construcción y operación de centros de datos en lugares secos como Arizona genera retos importantes en el uso del agua, el aire y el suelo. El análisis de esta categoría ayuda a encontrar los impactos y proponer acciones que cuiden estos recursos.</w:t>
      </w:r>
    </w:p>
    <w:p w14:paraId="3E151A1B" w14:textId="77777777" w:rsidR="00D03D66" w:rsidRPr="00734D3B" w:rsidRDefault="00D03D66" w:rsidP="00D03D66">
      <w:r w:rsidRPr="00734D3B">
        <w:t>Durante la construcción, los principales impactos vienen del uso de agua para limpiar o compactar el terreno, del polvo en el aire y del movimiento de tierra. Algunas medidas sostenibles son:</w:t>
      </w:r>
    </w:p>
    <w:p w14:paraId="4A975ED7" w14:textId="77777777" w:rsidR="00D03D66" w:rsidRPr="00734D3B" w:rsidRDefault="00D03D66" w:rsidP="001D692F">
      <w:pPr>
        <w:numPr>
          <w:ilvl w:val="0"/>
          <w:numId w:val="19"/>
        </w:numPr>
      </w:pPr>
      <w:r w:rsidRPr="00734D3B">
        <w:t>Reutilizar el agua en la obra mediante planes de reciclaje.</w:t>
      </w:r>
    </w:p>
    <w:p w14:paraId="2C1E4090" w14:textId="77777777" w:rsidR="00D03D66" w:rsidRPr="00734D3B" w:rsidRDefault="00D03D66" w:rsidP="001D692F">
      <w:pPr>
        <w:numPr>
          <w:ilvl w:val="0"/>
          <w:numId w:val="19"/>
        </w:numPr>
      </w:pPr>
      <w:r w:rsidRPr="00734D3B">
        <w:t>Usar sistemas para controlar el polvo y mejorar la calidad del aire, como humectadores naturales o barreras vegetales.</w:t>
      </w:r>
    </w:p>
    <w:p w14:paraId="1F9FA1B7" w14:textId="77777777" w:rsidR="00D03D66" w:rsidRPr="00734D3B" w:rsidRDefault="00D03D66" w:rsidP="001D692F">
      <w:pPr>
        <w:numPr>
          <w:ilvl w:val="0"/>
          <w:numId w:val="19"/>
        </w:numPr>
      </w:pPr>
      <w:r w:rsidRPr="00734D3B">
        <w:t>Recuperar las áreas afectadas con plantas nativas que resistan la sequía.</w:t>
      </w:r>
    </w:p>
    <w:p w14:paraId="4A0BB54F" w14:textId="77777777" w:rsidR="00D03D66" w:rsidRPr="00734D3B" w:rsidRDefault="00D03D66" w:rsidP="00D03D66">
      <w:r w:rsidRPr="00734D3B">
        <w:t>En la operación y mantenimiento, se pueden usar sistemas de enfriamiento que consuman menos agua, como los de aire o los que recirculan el agua. También se pueden instalar sensores que midan la calidad del aire y enviar los resultados a reportes ambientales del proyecto.</w:t>
      </w:r>
    </w:p>
    <w:p w14:paraId="6F0318B3" w14:textId="77777777" w:rsidR="00D03D66" w:rsidRPr="00734D3B" w:rsidRDefault="00D03D66" w:rsidP="006D1A4B">
      <w:pPr>
        <w:ind w:left="720" w:firstLine="0"/>
        <w:rPr>
          <w:b/>
          <w:bCs/>
        </w:rPr>
      </w:pPr>
      <w:r w:rsidRPr="00734D3B">
        <w:rPr>
          <w:b/>
          <w:bCs/>
        </w:rPr>
        <w:lastRenderedPageBreak/>
        <w:t>c) Economía circular y manejo de residuos</w:t>
      </w:r>
    </w:p>
    <w:p w14:paraId="64D78648" w14:textId="77777777" w:rsidR="00D03D66" w:rsidRPr="00734D3B" w:rsidRDefault="00D03D66" w:rsidP="00D03D66">
      <w:r w:rsidRPr="00734D3B">
        <w:t>La economía circular busca mantener los materiales en uso el mayor tiempo posible, evitando desperdicios y promoviendo la reutilización. En los centros de datos, esto es importante porque se generan muchos residuos metálicos, plásticos y electrónicos.</w:t>
      </w:r>
    </w:p>
    <w:p w14:paraId="3B4770B7" w14:textId="77777777" w:rsidR="00D03D66" w:rsidRPr="00734D3B" w:rsidRDefault="00D03D66" w:rsidP="00D03D66">
      <w:r w:rsidRPr="00734D3B">
        <w:t>Durante la construcción, se recomienda:</w:t>
      </w:r>
    </w:p>
    <w:p w14:paraId="3EBC0049" w14:textId="77777777" w:rsidR="00D03D66" w:rsidRPr="00734D3B" w:rsidRDefault="00D03D66" w:rsidP="001D692F">
      <w:pPr>
        <w:numPr>
          <w:ilvl w:val="0"/>
          <w:numId w:val="20"/>
        </w:numPr>
      </w:pPr>
      <w:r w:rsidRPr="00734D3B">
        <w:t>Crear un plan de manejo de residuos que separe los materiales reciclables, reutilizables y peligrosos.</w:t>
      </w:r>
    </w:p>
    <w:p w14:paraId="4D63C843" w14:textId="77777777" w:rsidR="00D03D66" w:rsidRPr="00734D3B" w:rsidRDefault="00D03D66" w:rsidP="001D692F">
      <w:pPr>
        <w:numPr>
          <w:ilvl w:val="0"/>
          <w:numId w:val="20"/>
        </w:numPr>
      </w:pPr>
      <w:r w:rsidRPr="00734D3B">
        <w:t>Reutilizar cables, bandejas metálicas y empaques en buen estado, siempre que cumplan con las normas de seguridad.</w:t>
      </w:r>
    </w:p>
    <w:p w14:paraId="080680B8" w14:textId="77777777" w:rsidR="00D03D66" w:rsidRPr="00734D3B" w:rsidRDefault="00D03D66" w:rsidP="001D692F">
      <w:pPr>
        <w:numPr>
          <w:ilvl w:val="0"/>
          <w:numId w:val="20"/>
        </w:numPr>
      </w:pPr>
      <w:r w:rsidRPr="00734D3B">
        <w:t>Coordinar con los proveedores para devolver los carretes y empaques y reincorporarlos a la cadena de producción.</w:t>
      </w:r>
    </w:p>
    <w:p w14:paraId="7C84C62B" w14:textId="77777777" w:rsidR="00D03D66" w:rsidRPr="00734D3B" w:rsidRDefault="00D03D66" w:rsidP="00D03D66">
      <w:r w:rsidRPr="00734D3B">
        <w:t>Durante el uso y mantenimiento, se deben aplicar programas de recuperación y reparación de equipos eléctricos, como tableros o UPS, en lugar de reemplazarlos por completo. Los residuos electrónicos deben entregarse a recicladores certificados por la EPA y las autoridades ambientales de Arizona.</w:t>
      </w:r>
    </w:p>
    <w:p w14:paraId="0CB349B9" w14:textId="77777777" w:rsidR="00D03D66" w:rsidRPr="00734D3B" w:rsidRDefault="00D03D66" w:rsidP="00D03D66">
      <w:r w:rsidRPr="00734D3B">
        <w:t>El objetivo es que los materiales mantengan su valor dentro del sistema económico y que los residuos se reduzcan al mínimo.</w:t>
      </w:r>
    </w:p>
    <w:p w14:paraId="46B28ACC" w14:textId="77777777" w:rsidR="00D03D66" w:rsidRPr="00734D3B" w:rsidRDefault="00D03D66" w:rsidP="00B06C44">
      <w:pPr>
        <w:ind w:left="720" w:firstLine="0"/>
        <w:rPr>
          <w:b/>
          <w:bCs/>
        </w:rPr>
      </w:pPr>
      <w:r w:rsidRPr="00734D3B">
        <w:rPr>
          <w:b/>
          <w:bCs/>
        </w:rPr>
        <w:t>d) Eficiencia energética y energías renovables</w:t>
      </w:r>
    </w:p>
    <w:p w14:paraId="4A8386E8" w14:textId="77777777" w:rsidR="00D03D66" w:rsidRPr="00734D3B" w:rsidRDefault="00D03D66" w:rsidP="00D03D66">
      <w:r w:rsidRPr="00734D3B">
        <w:t>El consumo de energía es el aspecto más importante en la sostenibilidad de los centros de datos. El Estándar P5 recomienda trabajar en la eficiencia desde la etapa de diseño y no esperar hasta la operación.</w:t>
      </w:r>
    </w:p>
    <w:p w14:paraId="32DB411B" w14:textId="77777777" w:rsidR="00D03D66" w:rsidRPr="00734D3B" w:rsidRDefault="00D03D66" w:rsidP="00D03D66">
      <w:r w:rsidRPr="00734D3B">
        <w:t>Durante la construcción, se pueden aplicar medidas como:</w:t>
      </w:r>
    </w:p>
    <w:p w14:paraId="205D85F2" w14:textId="77777777" w:rsidR="00D03D66" w:rsidRPr="00734D3B" w:rsidRDefault="00D03D66" w:rsidP="001D692F">
      <w:pPr>
        <w:numPr>
          <w:ilvl w:val="0"/>
          <w:numId w:val="21"/>
        </w:numPr>
      </w:pPr>
      <w:r w:rsidRPr="00734D3B">
        <w:t>Usar iluminación LED temporal y equipos de obra que gasten menos energía.</w:t>
      </w:r>
    </w:p>
    <w:p w14:paraId="3EE86649" w14:textId="77777777" w:rsidR="00D03D66" w:rsidRPr="00734D3B" w:rsidRDefault="00D03D66" w:rsidP="001D692F">
      <w:pPr>
        <w:numPr>
          <w:ilvl w:val="0"/>
          <w:numId w:val="21"/>
        </w:numPr>
      </w:pPr>
      <w:r w:rsidRPr="00734D3B">
        <w:t>Realizar pruebas de eficiencia antes de poner en marcha los sistemas eléctricos y de refrigeración.</w:t>
      </w:r>
    </w:p>
    <w:p w14:paraId="74A8E265" w14:textId="77777777" w:rsidR="00D03D66" w:rsidRPr="00734D3B" w:rsidRDefault="00D03D66" w:rsidP="00D03D66">
      <w:r w:rsidRPr="00734D3B">
        <w:lastRenderedPageBreak/>
        <w:t>Durante la operación, la transición hacia energías limpias se puede lograr mediante:</w:t>
      </w:r>
    </w:p>
    <w:p w14:paraId="0E0241C4" w14:textId="77777777" w:rsidR="00D03D66" w:rsidRPr="00734D3B" w:rsidRDefault="00D03D66" w:rsidP="001D692F">
      <w:pPr>
        <w:numPr>
          <w:ilvl w:val="0"/>
          <w:numId w:val="22"/>
        </w:numPr>
      </w:pPr>
      <w:r w:rsidRPr="00734D3B">
        <w:t>Instalar paneles solares o usar energía eólica para cubrir parte del consumo.</w:t>
      </w:r>
    </w:p>
    <w:p w14:paraId="07A1C676" w14:textId="77777777" w:rsidR="00D03D66" w:rsidRPr="00734D3B" w:rsidRDefault="00D03D66" w:rsidP="001D692F">
      <w:pPr>
        <w:numPr>
          <w:ilvl w:val="0"/>
          <w:numId w:val="22"/>
        </w:numPr>
      </w:pPr>
      <w:r w:rsidRPr="00734D3B">
        <w:t>Firmar contratos de energía limpia que garanticen el uso de fuentes renovables.</w:t>
      </w:r>
    </w:p>
    <w:p w14:paraId="64475091" w14:textId="77777777" w:rsidR="00D03D66" w:rsidRPr="00734D3B" w:rsidRDefault="00D03D66" w:rsidP="001D692F">
      <w:pPr>
        <w:numPr>
          <w:ilvl w:val="0"/>
          <w:numId w:val="22"/>
        </w:numPr>
      </w:pPr>
      <w:r w:rsidRPr="00734D3B">
        <w:t>Implementar sistemas de monitoreo que controlen el uso de energía en tiempo real.</w:t>
      </w:r>
    </w:p>
    <w:p w14:paraId="1EEAB141" w14:textId="77777777" w:rsidR="00D03D66" w:rsidRPr="00734D3B" w:rsidRDefault="00D03D66" w:rsidP="00D03D66">
      <w:r w:rsidRPr="00734D3B">
        <w:t>En el mantenimiento, se deben reparar los equipos para mantener su rendimiento y hacer auditorías periódicas que ayuden a mejorar la eficiencia. Estas acciones no solo reducen el impacto ambiental, sino que también generan ahorro económico y beneficios sociales.</w:t>
      </w:r>
    </w:p>
    <w:p w14:paraId="64C37DED" w14:textId="77777777" w:rsidR="00D03D66" w:rsidRPr="00734D3B" w:rsidRDefault="00D03D66" w:rsidP="00326947">
      <w:pPr>
        <w:ind w:left="720" w:firstLine="0"/>
        <w:rPr>
          <w:b/>
          <w:bCs/>
        </w:rPr>
      </w:pPr>
      <w:r w:rsidRPr="00734D3B">
        <w:rPr>
          <w:b/>
          <w:bCs/>
        </w:rPr>
        <w:t>e) Cadena de suministro sostenible e impacto local</w:t>
      </w:r>
    </w:p>
    <w:p w14:paraId="3AC2D4A6" w14:textId="77777777" w:rsidR="00D03D66" w:rsidRPr="00734D3B" w:rsidRDefault="00D03D66" w:rsidP="00D03D66">
      <w:r w:rsidRPr="00734D3B">
        <w:t>La sostenibilidad del proyecto también depende del manejo responsable de los materiales y del transporte. El movimiento de equipos eléctricos grandes puede causar ruido, polvo y contaminación.</w:t>
      </w:r>
    </w:p>
    <w:p w14:paraId="5F64BF31" w14:textId="77777777" w:rsidR="00D03D66" w:rsidRPr="00734D3B" w:rsidRDefault="00D03D66" w:rsidP="00D03D66">
      <w:r w:rsidRPr="00734D3B">
        <w:t>Para reducir estos efectos, se recomienda:</w:t>
      </w:r>
    </w:p>
    <w:p w14:paraId="3707A14E" w14:textId="77777777" w:rsidR="00D03D66" w:rsidRPr="00734D3B" w:rsidRDefault="00D03D66" w:rsidP="001D692F">
      <w:pPr>
        <w:numPr>
          <w:ilvl w:val="0"/>
          <w:numId w:val="23"/>
        </w:numPr>
      </w:pPr>
      <w:r w:rsidRPr="00734D3B">
        <w:t>Comprar materiales y servicios a proveedores locales para disminuir distancias y apoyar la economía local.</w:t>
      </w:r>
    </w:p>
    <w:p w14:paraId="3AC3F365" w14:textId="77777777" w:rsidR="00D03D66" w:rsidRPr="00734D3B" w:rsidRDefault="00D03D66" w:rsidP="001D692F">
      <w:pPr>
        <w:numPr>
          <w:ilvl w:val="0"/>
          <w:numId w:val="23"/>
        </w:numPr>
      </w:pPr>
      <w:r w:rsidRPr="00734D3B">
        <w:t>Planificar las rutas de transporte de manera eficiente y usar vehículos de bajas emisiones.</w:t>
      </w:r>
    </w:p>
    <w:p w14:paraId="0A5D3D2A" w14:textId="77777777" w:rsidR="00D03D66" w:rsidRPr="00734D3B" w:rsidRDefault="00D03D66" w:rsidP="001D692F">
      <w:pPr>
        <w:numPr>
          <w:ilvl w:val="0"/>
          <w:numId w:val="23"/>
        </w:numPr>
      </w:pPr>
      <w:r w:rsidRPr="00734D3B">
        <w:t>Evaluar a los proveedores con criterios ambientales y sociales, revisando si tienen certificaciones reconocidas.</w:t>
      </w:r>
    </w:p>
    <w:p w14:paraId="36003512" w14:textId="77777777" w:rsidR="00D03D66" w:rsidRPr="00734D3B" w:rsidRDefault="00D03D66" w:rsidP="001D692F">
      <w:pPr>
        <w:numPr>
          <w:ilvl w:val="0"/>
          <w:numId w:val="23"/>
        </w:numPr>
      </w:pPr>
      <w:r w:rsidRPr="00734D3B">
        <w:t>Controlar el ruido y las vibraciones durante la obra para cuidar el bienestar de las comunidades cercanas.</w:t>
      </w:r>
    </w:p>
    <w:p w14:paraId="4100D1F3" w14:textId="77777777" w:rsidR="00D03D66" w:rsidRPr="00734D3B" w:rsidRDefault="00D03D66" w:rsidP="00D03D66">
      <w:r w:rsidRPr="00734D3B">
        <w:t>Durante el mantenimiento, se deben seguir los mismos principios, garantizando que los repuestos y materiales usados tengan trazabilidad ambiental y provengan de fuentes responsables.</w:t>
      </w:r>
    </w:p>
    <w:p w14:paraId="57C722DD" w14:textId="77777777" w:rsidR="00D03D66" w:rsidRPr="00734D3B" w:rsidRDefault="00D03D66" w:rsidP="00D03D66">
      <w:r w:rsidRPr="00734D3B">
        <w:lastRenderedPageBreak/>
        <w:t>El análisis del impacto en el planeta en los proyectos eléctricos de centros de datos muestra que la sostenibilidad no solo significa causar menos daño, sino también mejorar y restaurar los ecosistemas.</w:t>
      </w:r>
    </w:p>
    <w:p w14:paraId="0D915367" w14:textId="77777777" w:rsidR="00D03D66" w:rsidRPr="00734D3B" w:rsidRDefault="00D03D66" w:rsidP="00D03D66">
      <w:r w:rsidRPr="00734D3B">
        <w:t>Cada etapa del proyecto, desde la construcción hasta el mantenimiento, puede ayudar a reducir la huella de carbono, aprovechar mejor los recursos y aplicar tecnologías más limpias.</w:t>
      </w:r>
    </w:p>
    <w:p w14:paraId="1B39451A" w14:textId="7B9ABBED" w:rsidR="00D03D66" w:rsidRPr="00734D3B" w:rsidRDefault="00D03D66" w:rsidP="00D03D66">
      <w:r w:rsidRPr="00734D3B">
        <w:t xml:space="preserve">Para los contratistas eléctricos, esto representa un cambio importante: pasar de una gestión centrada </w:t>
      </w:r>
      <w:r w:rsidR="00D81832" w:rsidRPr="00734D3B">
        <w:t>únicamente</w:t>
      </w:r>
      <w:r w:rsidRPr="00734D3B">
        <w:t xml:space="preserve"> en la eficiencia técnica a una que también cuide el ambiente y aporte beneficios reales a las comunidades donde trabajan.</w:t>
      </w:r>
    </w:p>
    <w:p w14:paraId="500D2314" w14:textId="754903A1" w:rsidR="001E1343" w:rsidRPr="00734D3B" w:rsidRDefault="00D81832" w:rsidP="001D692F">
      <w:pPr>
        <w:pStyle w:val="Heading3"/>
        <w:numPr>
          <w:ilvl w:val="2"/>
          <w:numId w:val="53"/>
        </w:numPr>
        <w:ind w:left="886"/>
      </w:pPr>
      <w:bookmarkStart w:id="379" w:name="_Toc227936441"/>
      <w:r w:rsidRPr="00734D3B">
        <w:t>Categoría: Impacto a la Prosperidad</w:t>
      </w:r>
      <w:bookmarkEnd w:id="379"/>
    </w:p>
    <w:p w14:paraId="11632813" w14:textId="77777777" w:rsidR="00E831AF" w:rsidRPr="00734D3B" w:rsidRDefault="00E831AF" w:rsidP="00E831AF">
      <w:r w:rsidRPr="00734D3B">
        <w:t>El impacto en la prosperidad, dentro del Estándar P5, se relaciona con la capacidad del proyecto para generar valor económico, social y ambiental que se mantenga en el tiempo. No se trata solo de las ganancias para los inversionistas, sino también de crear valor compartido y fortalecer la capacidad de las empresas y comunidades para crecer de forma sostenible. En el caso de los contratistas eléctricos que trabajan en la construcción, operación y mantenimiento de centros de datos en Arizona, la prosperidad se entiende como el equilibrio entre rentabilidad, innovación, desarrollo local y sostenibilidad a largo plazo.</w:t>
      </w:r>
    </w:p>
    <w:p w14:paraId="7410A635" w14:textId="77777777" w:rsidR="00E831AF" w:rsidRPr="00734D3B" w:rsidRDefault="00E831AF" w:rsidP="008F5629">
      <w:pPr>
        <w:rPr>
          <w:b/>
          <w:bCs/>
        </w:rPr>
      </w:pPr>
      <w:r w:rsidRPr="00734D3B">
        <w:rPr>
          <w:b/>
          <w:bCs/>
        </w:rPr>
        <w:t>a) Análisis del caso de negocio y retorno social de la inversión (SROI)</w:t>
      </w:r>
    </w:p>
    <w:p w14:paraId="3DC52B27" w14:textId="77777777" w:rsidR="00E831AF" w:rsidRPr="00734D3B" w:rsidRDefault="00E831AF" w:rsidP="00E831AF">
      <w:r w:rsidRPr="00734D3B">
        <w:t>El proyecto genera valor económico al mejorar la eficiencia técnica y reducir los desperdicios durante todo el ciclo de vida del centro de datos. Aplicar una guía basada en el Estándar P5 ayuda a aprovechar mejor los materiales eléctricos, disminuir tiempos de trabajo innecesarios y mejorar el uso de la energía, lo que reduce los costos y aumenta la rentabilidad.</w:t>
      </w:r>
    </w:p>
    <w:p w14:paraId="50154039" w14:textId="77777777" w:rsidR="00E831AF" w:rsidRPr="00734D3B" w:rsidRDefault="00E831AF" w:rsidP="00E831AF">
      <w:r w:rsidRPr="00734D3B">
        <w:t xml:space="preserve">En el aspecto social, el proyecto promueve la capacitación de trabajadores locales, fortaleciendo sus conocimientos técnicos en electricidad, energía y refrigeración. Esto mejora la empleabilidad y crea oportunidades para más personas dentro de la comunidad. Además, </w:t>
      </w:r>
      <w:r w:rsidRPr="00734D3B">
        <w:lastRenderedPageBreak/>
        <w:t>fomenta la igualdad de oportunidades, el respeto laboral y la participación de proveedores locales, lo que genera beneficios visibles en la educación, el bienestar y la equidad.</w:t>
      </w:r>
    </w:p>
    <w:p w14:paraId="5A4DA85E" w14:textId="77777777" w:rsidR="00E831AF" w:rsidRPr="00734D3B" w:rsidRDefault="00E831AF" w:rsidP="00E831AF">
      <w:r w:rsidRPr="00734D3B">
        <w:t>En el aspecto ambiental, aplicar prácticas sostenibles reduce la contaminación, baja la huella de carbono y promueve el uso responsable de recursos como el agua y los metales.</w:t>
      </w:r>
    </w:p>
    <w:p w14:paraId="7040F9EF" w14:textId="77777777" w:rsidR="00E831AF" w:rsidRPr="00734D3B" w:rsidRDefault="00E831AF" w:rsidP="00E831AF">
      <w:r w:rsidRPr="00734D3B">
        <w:t>Este triple impacto económico, social y ambiental coloca al proyecto dentro del enfoque de valor compartido y lo alinea con los Objetivos de Desarrollo Sostenible 8 (Trabajo decente y crecimiento económico), 9 (Industria, innovación e infraestructura) y 13 (Acción por el clima).</w:t>
      </w:r>
    </w:p>
    <w:p w14:paraId="19D6CCAE" w14:textId="77777777" w:rsidR="00E831AF" w:rsidRPr="00734D3B" w:rsidRDefault="00E831AF" w:rsidP="00BB17E3">
      <w:pPr>
        <w:ind w:left="720" w:firstLine="0"/>
        <w:rPr>
          <w:b/>
          <w:bCs/>
        </w:rPr>
      </w:pPr>
      <w:r w:rsidRPr="00734D3B">
        <w:rPr>
          <w:b/>
          <w:bCs/>
        </w:rPr>
        <w:t>b) Resiliencia y flexibilidad ante incertidumbres</w:t>
      </w:r>
    </w:p>
    <w:p w14:paraId="6076E0D0" w14:textId="77777777" w:rsidR="00E831AF" w:rsidRPr="00734D3B" w:rsidRDefault="00E831AF" w:rsidP="00E831AF">
      <w:r w:rsidRPr="00734D3B">
        <w:t>La resiliencia es la capacidad del proyecto para adaptarse y recuperarse frente a situaciones difíciles sin perder su funcionamiento. En los centros de datos, los riesgos pueden venir de cambios en el mercado energético, desastres naturales, falta de materiales o emergencias sanitarias.</w:t>
      </w:r>
    </w:p>
    <w:p w14:paraId="4B9B6ED8" w14:textId="77777777" w:rsidR="00E831AF" w:rsidRPr="00734D3B" w:rsidRDefault="00E831AF" w:rsidP="00E831AF">
      <w:r w:rsidRPr="00734D3B">
        <w:t>La guía metodológica propuesta incluye estrategias para garantizar la resiliencia:</w:t>
      </w:r>
    </w:p>
    <w:p w14:paraId="24F821CC" w14:textId="77777777" w:rsidR="00E831AF" w:rsidRPr="00734D3B" w:rsidRDefault="00E831AF" w:rsidP="001D692F">
      <w:pPr>
        <w:numPr>
          <w:ilvl w:val="0"/>
          <w:numId w:val="27"/>
        </w:numPr>
      </w:pPr>
      <w:r w:rsidRPr="00734D3B">
        <w:t>Diversificar los proveedores locales e internacionales que cumplan con buenas prácticas ambientales y sociales.</w:t>
      </w:r>
    </w:p>
    <w:p w14:paraId="5E3553F8" w14:textId="77777777" w:rsidR="00E831AF" w:rsidRPr="00734D3B" w:rsidRDefault="00E831AF" w:rsidP="001D692F">
      <w:pPr>
        <w:numPr>
          <w:ilvl w:val="0"/>
          <w:numId w:val="27"/>
        </w:numPr>
      </w:pPr>
      <w:r w:rsidRPr="00734D3B">
        <w:t>Usar modelos de gestión flexibles que permitan ajustar el plan de trabajo rápidamente cuando surjan imprevistos.</w:t>
      </w:r>
    </w:p>
    <w:p w14:paraId="3EE32829" w14:textId="77777777" w:rsidR="00E831AF" w:rsidRPr="00734D3B" w:rsidRDefault="00E831AF" w:rsidP="001D692F">
      <w:pPr>
        <w:numPr>
          <w:ilvl w:val="0"/>
          <w:numId w:val="27"/>
        </w:numPr>
      </w:pPr>
      <w:r w:rsidRPr="00734D3B">
        <w:t>Tener planes de emergencia eléctrica y protocolos de seguridad basados en normas reconocidas como NFPA 70E y el Código Eléctrico Nacional (NEC).</w:t>
      </w:r>
    </w:p>
    <w:p w14:paraId="2B888948" w14:textId="77777777" w:rsidR="00E831AF" w:rsidRPr="00734D3B" w:rsidRDefault="00E831AF" w:rsidP="001D692F">
      <w:pPr>
        <w:numPr>
          <w:ilvl w:val="0"/>
          <w:numId w:val="27"/>
        </w:numPr>
      </w:pPr>
      <w:r w:rsidRPr="00734D3B">
        <w:t>Incluir la planificación de riesgos sostenibles, considerando posibles crisis climáticas o escasez de energía.</w:t>
      </w:r>
    </w:p>
    <w:p w14:paraId="30076793" w14:textId="77777777" w:rsidR="00E831AF" w:rsidRPr="00734D3B" w:rsidRDefault="00E831AF" w:rsidP="00E831AF">
      <w:r w:rsidRPr="00734D3B">
        <w:t>Además, el proyecto promueve el principio de adaptabilidad, que significa aprender de las dificultades para mejorar los procesos. Esto ayuda a que las empresas contratistas y sus clientes sean más estables y responsables en lo financiero, ambiental y social, incluso ante escenarios cambiantes.</w:t>
      </w:r>
    </w:p>
    <w:p w14:paraId="2631642B" w14:textId="77777777" w:rsidR="00E831AF" w:rsidRPr="00734D3B" w:rsidRDefault="00E831AF" w:rsidP="00DC59B8">
      <w:pPr>
        <w:rPr>
          <w:b/>
          <w:bCs/>
        </w:rPr>
      </w:pPr>
      <w:r w:rsidRPr="00734D3B">
        <w:rPr>
          <w:b/>
          <w:bCs/>
        </w:rPr>
        <w:lastRenderedPageBreak/>
        <w:t>c) Impacto económico local y agilidad empresarial</w:t>
      </w:r>
    </w:p>
    <w:p w14:paraId="4FDC8CBA" w14:textId="77777777" w:rsidR="00E831AF" w:rsidRPr="00734D3B" w:rsidRDefault="00E831AF" w:rsidP="00E831AF">
      <w:r w:rsidRPr="00734D3B">
        <w:t>El proyecto impulsa la economía local de Arizona al priorizar la contratación de trabajadores y proveedores de la zona. Esto genera empleo estable y fortalece otros sectores como transporte, manufactura y servicios técnicos. De esta forma, el proyecto distribuye mejor la riqueza y apoya el desarrollo regional.</w:t>
      </w:r>
    </w:p>
    <w:p w14:paraId="5B0FA3DF" w14:textId="77777777" w:rsidR="00E831AF" w:rsidRPr="00734D3B" w:rsidRDefault="00E831AF" w:rsidP="00E831AF">
      <w:r w:rsidRPr="00734D3B">
        <w:t>También mejora la competitividad de las empresas eléctricas al fortalecer sus capacidades técnicas. Los contratistas que adopten la guía tendrán más facilidad para cumplir con estándares internacionales, certificaciones ambientales y criterios de sostenibilidad. Esto les permitirá participar en más proyectos de centros de datos sostenibles, un sector que sigue creciendo en el suroeste de Estados Unidos.</w:t>
      </w:r>
    </w:p>
    <w:p w14:paraId="020E75DC" w14:textId="488900DB" w:rsidR="00E831AF" w:rsidRPr="00734D3B" w:rsidRDefault="00E831AF" w:rsidP="00E831AF">
      <w:r w:rsidRPr="00734D3B">
        <w:t xml:space="preserve">El uso de herramientas digitales como </w:t>
      </w:r>
      <w:proofErr w:type="spellStart"/>
      <w:r w:rsidRPr="00734D3B">
        <w:t>Procore</w:t>
      </w:r>
      <w:proofErr w:type="spellEnd"/>
      <w:r w:rsidRPr="00734D3B">
        <w:t xml:space="preserve">, BIM 360 y CX Alloy mejora la comunicación entre los equipos, agiliza la toma de decisiones y reduce errores o retrasos. </w:t>
      </w:r>
      <w:r w:rsidR="00AB759D" w:rsidRPr="00734D3B">
        <w:t>Con esto</w:t>
      </w:r>
      <w:r w:rsidRPr="00734D3B">
        <w:t>, el proyecto no solo impulsa la economía local, sino que también moderniza la forma en que los contratistas gestionan sus obras, preparándolos para competir en mercados más exigentes.</w:t>
      </w:r>
    </w:p>
    <w:p w14:paraId="5848A5C9" w14:textId="77777777" w:rsidR="00E831AF" w:rsidRPr="00734D3B" w:rsidRDefault="00E831AF" w:rsidP="003C0F85">
      <w:pPr>
        <w:rPr>
          <w:b/>
          <w:bCs/>
        </w:rPr>
      </w:pPr>
      <w:r w:rsidRPr="00734D3B">
        <w:rPr>
          <w:b/>
          <w:bCs/>
        </w:rPr>
        <w:t>d) Beneficios indirectos y crecimiento del mercado</w:t>
      </w:r>
    </w:p>
    <w:p w14:paraId="760CFDA3" w14:textId="77777777" w:rsidR="00E831AF" w:rsidRPr="00734D3B" w:rsidRDefault="00E831AF" w:rsidP="00E831AF">
      <w:r w:rsidRPr="00734D3B">
        <w:t>Además de los resultados directos, el proyecto genera beneficios de largo plazo que fortalecen el sector eléctrico y el entorno social. Algunos de ellos son:</w:t>
      </w:r>
    </w:p>
    <w:p w14:paraId="6B6B4C73" w14:textId="77777777" w:rsidR="00E831AF" w:rsidRPr="00734D3B" w:rsidRDefault="00E831AF" w:rsidP="001D692F">
      <w:pPr>
        <w:numPr>
          <w:ilvl w:val="0"/>
          <w:numId w:val="24"/>
        </w:numPr>
      </w:pPr>
      <w:r w:rsidRPr="00734D3B">
        <w:t>Mayor innovación técnica al aplicar estándares sostenibles en la construcción y mantenimiento.</w:t>
      </w:r>
    </w:p>
    <w:p w14:paraId="0E60C9E6" w14:textId="77777777" w:rsidR="00E831AF" w:rsidRPr="00734D3B" w:rsidRDefault="00E831AF" w:rsidP="001D692F">
      <w:pPr>
        <w:numPr>
          <w:ilvl w:val="0"/>
          <w:numId w:val="24"/>
        </w:numPr>
      </w:pPr>
      <w:r w:rsidRPr="00734D3B">
        <w:t>Mejora en la calidad de vida de las comunidades mediante empleo formal y capacitación en nuevas tecnologías.</w:t>
      </w:r>
    </w:p>
    <w:p w14:paraId="322E223F" w14:textId="77777777" w:rsidR="00E831AF" w:rsidRPr="00734D3B" w:rsidRDefault="00E831AF" w:rsidP="001D692F">
      <w:pPr>
        <w:numPr>
          <w:ilvl w:val="0"/>
          <w:numId w:val="24"/>
        </w:numPr>
      </w:pPr>
      <w:r w:rsidRPr="00734D3B">
        <w:t>Reducción de la contaminación gracias a prácticas que promueven el uso eficiente de energía y materiales reciclables.</w:t>
      </w:r>
    </w:p>
    <w:p w14:paraId="2EE48C60" w14:textId="77777777" w:rsidR="00E831AF" w:rsidRPr="00734D3B" w:rsidRDefault="00E831AF" w:rsidP="001D692F">
      <w:pPr>
        <w:numPr>
          <w:ilvl w:val="0"/>
          <w:numId w:val="24"/>
        </w:numPr>
      </w:pPr>
      <w:r w:rsidRPr="00734D3B">
        <w:lastRenderedPageBreak/>
        <w:t>Atracción de nuevas inversiones, ya que los centros de datos sostenibles se consideran proyectos de bajo riesgo ambiental y social.</w:t>
      </w:r>
    </w:p>
    <w:p w14:paraId="10EA0F47" w14:textId="77777777" w:rsidR="00E831AF" w:rsidRPr="00734D3B" w:rsidRDefault="00E831AF" w:rsidP="00E831AF">
      <w:r w:rsidRPr="00734D3B">
        <w:t>Estos beneficios ayudan a transformar el mercado, motivando a más empresas a aplicar buenas prácticas ambientales y sociales. Con el tiempo, los resultados positivos se multiplican, convirtiendo estos proyectos en modelos de desarrollo local sostenibles y replicables en otras regiones.</w:t>
      </w:r>
    </w:p>
    <w:p w14:paraId="2EC1F156" w14:textId="77777777" w:rsidR="00E831AF" w:rsidRPr="00734D3B" w:rsidRDefault="00E831AF" w:rsidP="00616A2A">
      <w:pPr>
        <w:rPr>
          <w:b/>
          <w:bCs/>
        </w:rPr>
      </w:pPr>
      <w:r w:rsidRPr="00734D3B">
        <w:rPr>
          <w:b/>
          <w:bCs/>
        </w:rPr>
        <w:t>e) Modelo de sostenibilidad y reporte ESG</w:t>
      </w:r>
    </w:p>
    <w:p w14:paraId="615435B3" w14:textId="77777777" w:rsidR="00E831AF" w:rsidRPr="00734D3B" w:rsidRDefault="00E831AF" w:rsidP="00E831AF">
      <w:r w:rsidRPr="00734D3B">
        <w:t>El proyecto apoya los objetivos de sostenibilidad de las empresas contratistas, los clientes y los inversionistas al ofrecer una guía que facilita medir y reportar los impactos de forma clara y estandarizada.</w:t>
      </w:r>
    </w:p>
    <w:p w14:paraId="769CFC79" w14:textId="77777777" w:rsidR="00E831AF" w:rsidRPr="00734D3B" w:rsidRDefault="00E831AF" w:rsidP="00E831AF">
      <w:r w:rsidRPr="00734D3B">
        <w:t xml:space="preserve">La guía se ajusta a los principales marcos internacionales de reporte, como el Global </w:t>
      </w:r>
      <w:proofErr w:type="spellStart"/>
      <w:r w:rsidRPr="00734D3B">
        <w:t>Reporting</w:t>
      </w:r>
      <w:proofErr w:type="spellEnd"/>
      <w:r w:rsidRPr="00734D3B">
        <w:t xml:space="preserve"> </w:t>
      </w:r>
      <w:proofErr w:type="spellStart"/>
      <w:r w:rsidRPr="00734D3B">
        <w:t>Initiative</w:t>
      </w:r>
      <w:proofErr w:type="spellEnd"/>
      <w:r w:rsidRPr="00734D3B">
        <w:t xml:space="preserve"> (GRI) y los indicadores ESG, e incluye los siguientes datos:</w:t>
      </w:r>
    </w:p>
    <w:p w14:paraId="7F8EB619" w14:textId="77777777" w:rsidR="00E831AF" w:rsidRPr="00734D3B" w:rsidRDefault="00E831AF" w:rsidP="001D692F">
      <w:pPr>
        <w:numPr>
          <w:ilvl w:val="0"/>
          <w:numId w:val="25"/>
        </w:numPr>
      </w:pPr>
      <w:r w:rsidRPr="00734D3B">
        <w:t>Eficiencia energética y reducción de emisiones de carbono.</w:t>
      </w:r>
    </w:p>
    <w:p w14:paraId="20ECDEEF" w14:textId="77777777" w:rsidR="00E831AF" w:rsidRPr="00734D3B" w:rsidRDefault="00E831AF" w:rsidP="001D692F">
      <w:pPr>
        <w:numPr>
          <w:ilvl w:val="0"/>
          <w:numId w:val="25"/>
        </w:numPr>
      </w:pPr>
      <w:r w:rsidRPr="00734D3B">
        <w:t>Indicadores de seguridad y bienestar laboral.</w:t>
      </w:r>
    </w:p>
    <w:p w14:paraId="3A31486C" w14:textId="77777777" w:rsidR="00E831AF" w:rsidRPr="00734D3B" w:rsidRDefault="00E831AF" w:rsidP="001D692F">
      <w:pPr>
        <w:numPr>
          <w:ilvl w:val="0"/>
          <w:numId w:val="25"/>
        </w:numPr>
      </w:pPr>
      <w:r w:rsidRPr="00734D3B">
        <w:t>Porcentaje de materiales reciclados o reacondicionados.</w:t>
      </w:r>
    </w:p>
    <w:p w14:paraId="0FB429A9" w14:textId="77777777" w:rsidR="00E831AF" w:rsidRPr="00734D3B" w:rsidRDefault="00E831AF" w:rsidP="001D692F">
      <w:pPr>
        <w:numPr>
          <w:ilvl w:val="0"/>
          <w:numId w:val="25"/>
        </w:numPr>
      </w:pPr>
      <w:r w:rsidRPr="00734D3B">
        <w:t>Empleos locales generados y programas de capacitación.</w:t>
      </w:r>
    </w:p>
    <w:p w14:paraId="0DAEE461" w14:textId="77777777" w:rsidR="00E831AF" w:rsidRPr="00734D3B" w:rsidRDefault="00E831AF" w:rsidP="001D692F">
      <w:pPr>
        <w:numPr>
          <w:ilvl w:val="0"/>
          <w:numId w:val="25"/>
        </w:numPr>
      </w:pPr>
      <w:r w:rsidRPr="00734D3B">
        <w:t>Resultados del Retorno Social de la Inversión (SROI) y aportes a los ODS.</w:t>
      </w:r>
    </w:p>
    <w:p w14:paraId="097C289F" w14:textId="77777777" w:rsidR="00E831AF" w:rsidRPr="00734D3B" w:rsidRDefault="00E831AF" w:rsidP="00E831AF">
      <w:r w:rsidRPr="00734D3B">
        <w:t>Además, se propone crear un informe anual interno para los contratistas eléctricos, donde se registren los avances, aprendizajes y áreas de mejora en sostenibilidad. Este documento servirá como evidencia de compromiso ambiental y social, y fortalecerá la confianza de los clientes, las comunidades y los inversionistas.</w:t>
      </w:r>
    </w:p>
    <w:p w14:paraId="7B2F04E5" w14:textId="0DD7FAAE" w:rsidR="00E831AF" w:rsidRPr="00734D3B" w:rsidRDefault="00E831AF" w:rsidP="00E831AF"/>
    <w:p w14:paraId="699577DB" w14:textId="77777777" w:rsidR="00E831AF" w:rsidRPr="00734D3B" w:rsidRDefault="00E831AF" w:rsidP="00E831AF">
      <w:r w:rsidRPr="00734D3B">
        <w:t>El análisis de la categoría Impacto en la Prosperidad demuestra que este proyecto no solo busca ser rentable, sino también generar beneficios duraderos para la sociedad y el ambiente.</w:t>
      </w:r>
    </w:p>
    <w:p w14:paraId="2623F3D0" w14:textId="77777777" w:rsidR="00E831AF" w:rsidRPr="00734D3B" w:rsidRDefault="00E831AF" w:rsidP="00E831AF">
      <w:r w:rsidRPr="00734D3B">
        <w:lastRenderedPageBreak/>
        <w:t>A través del fortalecimiento de la resiliencia, la generación de empleo, la innovación y la gestión sostenible, los contratistas eléctricos se convierten en actores importantes dentro de la transición hacia un desarrollo regenerativo en los centros de datos.</w:t>
      </w:r>
    </w:p>
    <w:p w14:paraId="4C4D3194" w14:textId="77777777" w:rsidR="00E831AF" w:rsidRPr="00734D3B" w:rsidRDefault="00E831AF" w:rsidP="00E831AF">
      <w:r w:rsidRPr="00734D3B">
        <w:t>La prosperidad generada por este proyecto se refleja en tres áreas principales:</w:t>
      </w:r>
    </w:p>
    <w:p w14:paraId="4873CB63" w14:textId="77777777" w:rsidR="00E831AF" w:rsidRPr="00734D3B" w:rsidRDefault="00E831AF" w:rsidP="001D692F">
      <w:pPr>
        <w:numPr>
          <w:ilvl w:val="0"/>
          <w:numId w:val="26"/>
        </w:numPr>
      </w:pPr>
      <w:r w:rsidRPr="00734D3B">
        <w:t>Económica: mayor eficiencia, rentabilidad y agilidad empresarial.</w:t>
      </w:r>
    </w:p>
    <w:p w14:paraId="1D4E7FE4" w14:textId="77777777" w:rsidR="00E831AF" w:rsidRPr="00734D3B" w:rsidRDefault="00E831AF" w:rsidP="001D692F">
      <w:pPr>
        <w:numPr>
          <w:ilvl w:val="0"/>
          <w:numId w:val="26"/>
        </w:numPr>
      </w:pPr>
      <w:r w:rsidRPr="00734D3B">
        <w:t>Social: desarrollo de habilidades locales, empleo y bienestar laboral.</w:t>
      </w:r>
    </w:p>
    <w:p w14:paraId="678D0905" w14:textId="77777777" w:rsidR="00E831AF" w:rsidRPr="00734D3B" w:rsidRDefault="00E831AF" w:rsidP="001D692F">
      <w:pPr>
        <w:numPr>
          <w:ilvl w:val="0"/>
          <w:numId w:val="26"/>
        </w:numPr>
      </w:pPr>
      <w:r w:rsidRPr="00734D3B">
        <w:t>Ambiental: reducción de impactos y restauración del entorno natural.</w:t>
      </w:r>
    </w:p>
    <w:p w14:paraId="289FF1B0" w14:textId="77777777" w:rsidR="00E831AF" w:rsidRPr="00734D3B" w:rsidRDefault="00E831AF" w:rsidP="00E831AF">
      <w:r w:rsidRPr="00734D3B">
        <w:t>Este equilibrio representa el verdadero propósito del Estándar P5: lograr que cada proyecto no solo cumpla sus metas técnicas, sino que deje un impacto positivo y duradero en las personas, el planeta y la prosperidad compartida.</w:t>
      </w:r>
    </w:p>
    <w:p w14:paraId="3057001A" w14:textId="5C5BFE2D" w:rsidR="00264EEB" w:rsidRPr="00734D3B" w:rsidRDefault="00AB39DC" w:rsidP="001D692F">
      <w:pPr>
        <w:pStyle w:val="Heading2"/>
        <w:numPr>
          <w:ilvl w:val="1"/>
          <w:numId w:val="53"/>
        </w:numPr>
      </w:pPr>
      <w:bookmarkStart w:id="380" w:name="_Toc211465617"/>
      <w:bookmarkStart w:id="381" w:name="_Toc227936442"/>
      <w:r w:rsidRPr="00734D3B">
        <w:t>Relación del proyecto con las dimensiones del Desarrollo Regenerativo</w:t>
      </w:r>
      <w:bookmarkEnd w:id="380"/>
      <w:bookmarkEnd w:id="381"/>
    </w:p>
    <w:p w14:paraId="3AD8538C" w14:textId="77777777" w:rsidR="00B10089" w:rsidRPr="00734D3B" w:rsidRDefault="00B10089" w:rsidP="00B10089">
      <w:r w:rsidRPr="00734D3B">
        <w:t>El Desarrollo Regenerativo se basa en la idea de que los proyectos no solo deben evitar causar daño, sino también ayudar a mejorar y restaurar el ambiente y las comunidades donde se realizan. A diferencia del desarrollo sostenible, que busca mantener un equilibrio, el enfoque regenerativo busca que las personas, la naturaleza y la economía crezcan y se fortalezcan juntas, promoviendo el aprendizaje, la innovación y la capacidad de adaptarse (Mang y Reed, 2012).</w:t>
      </w:r>
    </w:p>
    <w:p w14:paraId="5ECDD687" w14:textId="51A81818" w:rsidR="004647B4" w:rsidRPr="00734D3B" w:rsidRDefault="00B10089" w:rsidP="00B10089">
      <w:r w:rsidRPr="00734D3B">
        <w:t>Cuando se aplica a la gestión de proyectos, este enfoque significa que cada proyecto debe verse como un sistema vivo que aporta beneficios reales al bienestar común. En el caso del proyecto que propone una guía sostenible para contratistas eléctricos que trabajan en centros de datos, el desarrollo regenerativo sirve como guía para tomar decisiones que conecten a las personas, el planeta y la prosperidad económica, en armonía con el Estándar P5 de GPM Global.</w:t>
      </w:r>
    </w:p>
    <w:p w14:paraId="33B981B3" w14:textId="540BBAA4" w:rsidR="00620CD7" w:rsidRPr="00734D3B" w:rsidRDefault="00620CD7" w:rsidP="00B10089">
      <w:r w:rsidRPr="00734D3B">
        <w:t xml:space="preserve">La guía no solo se enfoca en la etapa de construcción, sino también en el uso y mantenimiento del centro de datos. Esto es importante porque durante la operación es cuando </w:t>
      </w:r>
      <w:r w:rsidRPr="00734D3B">
        <w:lastRenderedPageBreak/>
        <w:t>más se consume energía, agua y materiales. Por eso, incluye principios de diseño energético eficiente, monitoreo ambiental y manejo responsable de los equipos eléctricos. De esta forma, el impacto ambiental del centro de datos puede reducirse con el tiempo en lugar de crecer.</w:t>
      </w:r>
    </w:p>
    <w:p w14:paraId="14ABAE21" w14:textId="4774E723" w:rsidR="00264EEB" w:rsidRPr="00734D3B" w:rsidRDefault="004971C8" w:rsidP="001D692F">
      <w:pPr>
        <w:pStyle w:val="Heading3"/>
        <w:numPr>
          <w:ilvl w:val="2"/>
          <w:numId w:val="53"/>
        </w:numPr>
        <w:ind w:left="886"/>
      </w:pPr>
      <w:bookmarkStart w:id="382" w:name="_Toc227936443"/>
      <w:r w:rsidRPr="00734D3B">
        <w:t xml:space="preserve">Dimensión </w:t>
      </w:r>
      <w:r w:rsidR="007849F0" w:rsidRPr="00734D3B">
        <w:t>ambiental</w:t>
      </w:r>
      <w:r w:rsidR="0037744D" w:rsidRPr="00734D3B">
        <w:t xml:space="preserve"> del desarrollo regenerativo</w:t>
      </w:r>
      <w:bookmarkEnd w:id="382"/>
    </w:p>
    <w:p w14:paraId="780DF223" w14:textId="45E98CC0" w:rsidR="007849F0" w:rsidRPr="00734D3B" w:rsidRDefault="00B82FDC" w:rsidP="004971C8">
      <w:r w:rsidRPr="00734D3B">
        <w:t>La dimensión ambiental del desarrollo regenerativo se enfoca en cuidar y recuperar los ecosistemas. No solo busca reducir los daños que causan las actividades humanas, sino también restaurar los espacios naturales y mantener un equilibrio entre el trabajo del ser humano y los procesos de la naturaleza.</w:t>
      </w:r>
    </w:p>
    <w:p w14:paraId="2B95A408" w14:textId="6BD2EAF9" w:rsidR="00B82FDC" w:rsidRPr="00734D3B" w:rsidRDefault="00993605" w:rsidP="004971C8">
      <w:r w:rsidRPr="00734D3B">
        <w:t>¿Cómo mi proyecto está diseñado para restaurar lo que ya ha sido dañado a nivel ambiental?</w:t>
      </w:r>
    </w:p>
    <w:p w14:paraId="5388B527" w14:textId="77777777" w:rsidR="00613547" w:rsidRPr="00734D3B" w:rsidRDefault="00613547" w:rsidP="00613547">
      <w:r w:rsidRPr="00734D3B">
        <w:t>El proyecto sigue el principio de “reparar mientras se construye y operar regenerando”, lo que significa que busca cuidar y mejorar el ambiente desde el inicio de la construcción y continuar durante el uso y mantenimiento del centro de datos. Algunas de las acciones más importantes son:</w:t>
      </w:r>
    </w:p>
    <w:p w14:paraId="3E9A6CF0" w14:textId="77777777" w:rsidR="00613547" w:rsidRPr="00734D3B" w:rsidRDefault="00613547" w:rsidP="00613547">
      <w:r w:rsidRPr="00734D3B">
        <w:rPr>
          <w:b/>
          <w:bCs/>
        </w:rPr>
        <w:t>Gestión circular de materiales eléctricos:</w:t>
      </w:r>
      <w:r w:rsidRPr="00734D3B">
        <w:t xml:space="preserve"> la guía recomienda usar conductores reciclados, aislamientos sin halógenos y bandejas reutilizables para reducir la extracción de cobre y aluminio. En la etapa de mantenimiento, los materiales eléctricos reemplazados se clasifican, se reparan y se usan nuevamente en otros proyectos.</w:t>
      </w:r>
    </w:p>
    <w:p w14:paraId="45520FE0" w14:textId="77777777" w:rsidR="00613547" w:rsidRPr="00734D3B" w:rsidRDefault="00613547" w:rsidP="00613547">
      <w:r w:rsidRPr="00734D3B">
        <w:rPr>
          <w:b/>
          <w:bCs/>
        </w:rPr>
        <w:t>Revegetación y restauración del suelo:</w:t>
      </w:r>
      <w:r w:rsidRPr="00734D3B">
        <w:t xml:space="preserve"> las áreas afectadas por excavaciones se recuperan plantando especies nativas que resisten la sequía. Durante la operación, se aplican programas de reforestación, control de polvo y mejora del paisaje en los alrededores del centro de datos.</w:t>
      </w:r>
    </w:p>
    <w:p w14:paraId="7837D24C" w14:textId="77777777" w:rsidR="00613547" w:rsidRPr="00734D3B" w:rsidRDefault="00613547" w:rsidP="00613547">
      <w:r w:rsidRPr="00734D3B">
        <w:rPr>
          <w:b/>
          <w:bCs/>
        </w:rPr>
        <w:t>Sistemas de compensación de agua:</w:t>
      </w:r>
      <w:r w:rsidRPr="00734D3B">
        <w:t xml:space="preserve"> el consumo de agua para enfriar los equipos se reduce usando sistemas de enfriamiento adiabático con recirculación. Además, se aprovecha el agua de lluvia para las labores de limpieza y mantenimiento.</w:t>
      </w:r>
    </w:p>
    <w:p w14:paraId="108BAA38" w14:textId="77777777" w:rsidR="00613547" w:rsidRPr="00734D3B" w:rsidRDefault="00613547" w:rsidP="00613547">
      <w:r w:rsidRPr="00734D3B">
        <w:rPr>
          <w:b/>
          <w:bCs/>
        </w:rPr>
        <w:lastRenderedPageBreak/>
        <w:t>Compensación de carbono:</w:t>
      </w:r>
      <w:r w:rsidRPr="00734D3B">
        <w:t xml:space="preserve"> los contratistas y operadores aplican programas de reforestación local o apoyan proyectos de energía renovable para compensar las emisiones generadas por el centro de datos.</w:t>
      </w:r>
    </w:p>
    <w:p w14:paraId="590DDC84" w14:textId="77777777" w:rsidR="00613547" w:rsidRPr="00734D3B" w:rsidRDefault="00613547" w:rsidP="00613547">
      <w:r w:rsidRPr="00734D3B">
        <w:rPr>
          <w:b/>
          <w:bCs/>
        </w:rPr>
        <w:t>Restauración energética:</w:t>
      </w:r>
      <w:r w:rsidRPr="00734D3B">
        <w:t xml:space="preserve"> el centro de datos utiliza fuentes de energía renovable como la solar y la eólica. En el mantenimiento, se reacondicionan los equipos eléctricos para mantener su eficiencia, como los sistemas UPS y </w:t>
      </w:r>
      <w:proofErr w:type="spellStart"/>
      <w:r w:rsidRPr="00734D3B">
        <w:t>PDUs</w:t>
      </w:r>
      <w:proofErr w:type="spellEnd"/>
      <w:r w:rsidRPr="00734D3B">
        <w:t xml:space="preserve"> con recuperación térmica.</w:t>
      </w:r>
    </w:p>
    <w:p w14:paraId="03D19A4F" w14:textId="77777777" w:rsidR="00613547" w:rsidRPr="00734D3B" w:rsidRDefault="00613547" w:rsidP="00613547">
      <w:r w:rsidRPr="00734D3B">
        <w:t>En conjunto, estas acciones buscan que la infraestructura eléctrica de los centros de datos devuelva más energía limpia y beneficios ambientales de los que consume, convirtiéndose en un modelo donde la tecnología y la naturaleza puedan coexistir de forma equilibrada.</w:t>
      </w:r>
    </w:p>
    <w:p w14:paraId="2297ECB3" w14:textId="0500CEFB" w:rsidR="00613547" w:rsidRPr="00734D3B" w:rsidRDefault="00E363EB" w:rsidP="004971C8">
      <w:r w:rsidRPr="00734D3B">
        <w:t>¿Cómo se afectan los límites planetarios con mi proyecto?</w:t>
      </w:r>
    </w:p>
    <w:p w14:paraId="219A3C70" w14:textId="77777777" w:rsidR="00DC6595" w:rsidRPr="00734D3B" w:rsidRDefault="00DC6595" w:rsidP="00DC6595">
      <w:r w:rsidRPr="00734D3B">
        <w:t>El proyecto reconoce que todas sus actividades están relacionadas con los límites naturales del planeta, es decir, con los recursos y procesos que permiten que la Tierra se mantenga estable. Cada etapa del centro de datos, desde la construcción hasta el mantenimiento, puede afectar estos límites, por lo que la guía propone acciones regenerativas para cuidar el ambiente y mantener el equilibrio natural.</w:t>
      </w:r>
    </w:p>
    <w:p w14:paraId="350D4F95" w14:textId="77777777" w:rsidR="00DC6595" w:rsidRPr="00734D3B" w:rsidRDefault="00DC6595" w:rsidP="00DC6595">
      <w:r w:rsidRPr="00734D3B">
        <w:t>En cuanto al cambio climático, el proyecto busca reducir las emisiones de gases de efecto invernadero usando maquinaria eléctrica, midiendo la huella de carbono y apoyando programas de reforestación y energía limpia. Durante la operación, se aplican medidas de eficiencia energética y se usan fuentes renovables como la energía solar o eólica para disminuir el uso de combustibles fósiles.</w:t>
      </w:r>
    </w:p>
    <w:p w14:paraId="5AB2D820" w14:textId="77777777" w:rsidR="00DC6595" w:rsidRPr="00734D3B" w:rsidRDefault="00DC6595" w:rsidP="00DC6595">
      <w:r w:rsidRPr="00734D3B">
        <w:t>Sobre la biodiversidad, la construcción puede alterar el entorno natural, pero el proyecto incluye planes de revegetación y control de erosión para recuperar las plantas y los hábitats locales. En la operación, se mantienen zonas verdes y corredores naturales alrededor del centro de datos para favorecer el regreso de especies y reducir el calor del entorno.</w:t>
      </w:r>
    </w:p>
    <w:p w14:paraId="1A1A2B07" w14:textId="77777777" w:rsidR="00DC6595" w:rsidRPr="00734D3B" w:rsidRDefault="00DC6595" w:rsidP="00DC6595">
      <w:r w:rsidRPr="00734D3B">
        <w:lastRenderedPageBreak/>
        <w:t xml:space="preserve">El uso del agua se controla mediante sistemas que permiten su recirculación, </w:t>
      </w:r>
      <w:proofErr w:type="spellStart"/>
      <w:r w:rsidRPr="00734D3B">
        <w:t>reuso</w:t>
      </w:r>
      <w:proofErr w:type="spellEnd"/>
      <w:r w:rsidRPr="00734D3B">
        <w:t xml:space="preserve"> y captación de lluvia. También se instalan sensores para monitorear el consumo, algo muy importante en zonas secas como Arizona.</w:t>
      </w:r>
    </w:p>
    <w:p w14:paraId="78F1787E" w14:textId="77777777" w:rsidR="00DC6595" w:rsidRPr="00734D3B" w:rsidRDefault="00DC6595" w:rsidP="00DC6595">
      <w:r w:rsidRPr="00734D3B">
        <w:t>En cuanto al uso del suelo, el proyecto promueve una ocupación responsable del terreno, recuperando las áreas afectadas con vegetación local. Durante el mantenimiento, se procura mantener el suelo permeable para que el agua se filtre y se eviten daños como la erosión o la compactación.</w:t>
      </w:r>
    </w:p>
    <w:p w14:paraId="62A86884" w14:textId="77777777" w:rsidR="00DC6595" w:rsidRPr="00734D3B" w:rsidRDefault="00DC6595" w:rsidP="00DC6595">
      <w:r w:rsidRPr="00734D3B">
        <w:t>Aunque los límites planetarios relacionados con el fósforo, el nitrógeno o la acidificación de los océanos no se ven directamente afectados por este tipo de proyecto, su impacto indirecto puede venir del manejo inadecuado de residuos o del transporte de materiales. Por eso, la guía fomenta el uso responsable de insumos, la correcta disposición de desechos y el control de emisiones para evitar contaminación de suelos o aguas.</w:t>
      </w:r>
    </w:p>
    <w:p w14:paraId="71BE7BC6" w14:textId="5F0C7DF2" w:rsidR="00DC6595" w:rsidRPr="00734D3B" w:rsidRDefault="00216E79" w:rsidP="00DC6595">
      <w:r w:rsidRPr="00734D3B">
        <w:t>Respecto a</w:t>
      </w:r>
      <w:r w:rsidR="00DC6595" w:rsidRPr="00734D3B">
        <w:t xml:space="preserve"> la calidad del aire y la capa de ozono, se reducen las emisiones de los equipos de construcción, </w:t>
      </w:r>
      <w:r w:rsidRPr="00734D3B">
        <w:t xml:space="preserve">se prueban los SCR </w:t>
      </w:r>
      <w:r w:rsidR="00BE0916" w:rsidRPr="00734D3B">
        <w:t xml:space="preserve">con antelación, </w:t>
      </w:r>
      <w:r w:rsidR="00DC6595" w:rsidRPr="00734D3B">
        <w:t>se reemplazan los vehículos diésel por eléctricos y se da mantenimiento a los sistemas de refrigeración para evitar fugas de gases dañinos.</w:t>
      </w:r>
    </w:p>
    <w:p w14:paraId="339F4361" w14:textId="49DAEA21" w:rsidR="00DC6595" w:rsidRPr="00734D3B" w:rsidRDefault="00DC6595" w:rsidP="00DC6595">
      <w:r w:rsidRPr="00734D3B">
        <w:t>Todas estas acciones muestran que el proyecto no solo busca reducir su impacto ambiental, sino también ayudar a restaurar los recursos naturales, convirtiéndose en un ejemplo de infraestructura responsable y regenerativa dentro del sector tecnológico.</w:t>
      </w:r>
    </w:p>
    <w:p w14:paraId="10F72F95" w14:textId="704F3205" w:rsidR="00B82FDC" w:rsidRPr="00734D3B" w:rsidRDefault="00C86F16" w:rsidP="004971C8">
      <w:r w:rsidRPr="00734D3B">
        <w:t>La parte ambiental del desarrollo regenerativo se relaciona con la categoría Planeta del Estándar P5, pero va más allá de solo reducir el daño. Busca reparar y mejorar la naturaleza afectada por los proyectos. En los centros de datos, esto significa usar materiales reciclables, ahorrar energía y agua, reducir emisiones y cuidar el suelo y las plantas. Con estas acciones, el proyecto no solo evita dañar el ambiente, sino que también ayuda a recuperarlo y a mantener un equilibrio saludable para el futuro.</w:t>
      </w:r>
    </w:p>
    <w:p w14:paraId="0CA2A77B" w14:textId="46D50361" w:rsidR="00B82FDC" w:rsidRPr="00734D3B" w:rsidRDefault="00210104" w:rsidP="001D692F">
      <w:pPr>
        <w:pStyle w:val="Heading3"/>
        <w:numPr>
          <w:ilvl w:val="2"/>
          <w:numId w:val="53"/>
        </w:numPr>
        <w:ind w:left="886"/>
      </w:pPr>
      <w:bookmarkStart w:id="383" w:name="_Toc227936444"/>
      <w:r w:rsidRPr="00734D3B">
        <w:lastRenderedPageBreak/>
        <w:t>Dimensión social del desarrollo regenerativo</w:t>
      </w:r>
      <w:bookmarkEnd w:id="383"/>
    </w:p>
    <w:p w14:paraId="30235BE9" w14:textId="0AE20360" w:rsidR="00B82FDC" w:rsidRPr="00734D3B" w:rsidRDefault="0062513B" w:rsidP="004971C8">
      <w:r w:rsidRPr="00734D3B">
        <w:t>La parte social del desarrollo regenerativo se enfoca en crear relaciones justas y solidarias entre las personas. Busca que los proyectos ayuden al bienestar de las comunidades, ofreciendo trabajo digno, oportunidades de aprendizaje y participación. También promueve la igualdad y el desarrollo de habilidades locales, para que las personas crezcan junto con el proyecto y los beneficios duren en el tiempo.</w:t>
      </w:r>
    </w:p>
    <w:p w14:paraId="5B8EE438" w14:textId="5BEF086B" w:rsidR="00B82FDC" w:rsidRPr="00734D3B" w:rsidRDefault="00D91800" w:rsidP="004971C8">
      <w:r w:rsidRPr="00734D3B">
        <w:t>¿Cómo mi proyecto promueve una vida digna para todos los habitantes del planeta según los ODS?</w:t>
      </w:r>
    </w:p>
    <w:p w14:paraId="67A1A623" w14:textId="77777777" w:rsidR="00BF7A7B" w:rsidRPr="00734D3B" w:rsidRDefault="00BF7A7B" w:rsidP="00BF7A7B">
      <w:r w:rsidRPr="00734D3B">
        <w:t>El proyecto apoya varios Objetivos de Desarrollo Sostenible, como el ODS 8 (Trabajo decente y crecimiento económico), el ODS 4 (Educación de calidad) y el ODS 10 (Reducción de las desigualdades). Esto se logra con prácticas que aseguran empleos justos, capacitación técnica y oportunidades para todos dentro del sector eléctrico y tecnológico.</w:t>
      </w:r>
    </w:p>
    <w:p w14:paraId="3F6F8D38" w14:textId="4673EAF0" w:rsidR="00BF7A7B" w:rsidRPr="00734D3B" w:rsidRDefault="00BF7A7B" w:rsidP="00BF7A7B">
      <w:r w:rsidRPr="00734D3B">
        <w:t>Durante la construcción, la guía promueve programas de seguridad y salud ocupacional basados en las normas OSHA 30 y NFPA 70E, para que los trabajadores eléctricos tengan un entorno seguro y reciban entrenamiento constante</w:t>
      </w:r>
      <w:r w:rsidR="006B72F4" w:rsidRPr="00734D3B">
        <w:t>mente</w:t>
      </w:r>
      <w:r w:rsidRPr="00734D3B">
        <w:t>. También fomenta la igualdad entre trabajadores locales y externos, e impulsa la participación de mujeres y minorías en el oficio eléctrico.</w:t>
      </w:r>
    </w:p>
    <w:p w14:paraId="35896487" w14:textId="6B48506A" w:rsidR="00BF7A7B" w:rsidRPr="00734D3B" w:rsidRDefault="00BF7A7B" w:rsidP="00BF7A7B">
      <w:r w:rsidRPr="00734D3B">
        <w:t xml:space="preserve">La guía incluye además programas de mentoría, donde los técnicos con experiencia enseñan a nuevos </w:t>
      </w:r>
      <w:r w:rsidR="00BB262A" w:rsidRPr="00734D3B">
        <w:t>empleados</w:t>
      </w:r>
      <w:r w:rsidRPr="00734D3B">
        <w:t>, ayudando a compartir conocimiento, mejorar la productividad y crear orgullo por el trabajo.</w:t>
      </w:r>
    </w:p>
    <w:p w14:paraId="72E257F2" w14:textId="4455DC58" w:rsidR="00BF7A7B" w:rsidRPr="00734D3B" w:rsidRDefault="00BF7A7B" w:rsidP="00BF7A7B">
      <w:r w:rsidRPr="00734D3B">
        <w:t xml:space="preserve">En la etapa de operación y mantenimiento, el proyecto busca mantener empleos estables y bien calificados, garantizando ingresos constantes y oportunidades de crecimiento profesional </w:t>
      </w:r>
      <w:r w:rsidR="00D6744E" w:rsidRPr="00734D3B">
        <w:t>que residen en las</w:t>
      </w:r>
      <w:r w:rsidRPr="00734D3B">
        <w:t xml:space="preserve"> comunidades locales.</w:t>
      </w:r>
    </w:p>
    <w:p w14:paraId="7054D500" w14:textId="77777777" w:rsidR="00BF7A7B" w:rsidRPr="00734D3B" w:rsidRDefault="00BF7A7B" w:rsidP="00BF7A7B">
      <w:r w:rsidRPr="00734D3B">
        <w:t xml:space="preserve">El enfoque social también promueve la comunicación abierta con las comunidades cercanas. Se busca mantener un diálogo claro entre contratistas, clientes y vecinos, </w:t>
      </w:r>
      <w:r w:rsidRPr="00734D3B">
        <w:lastRenderedPageBreak/>
        <w:t>especialmente durante la construcción, para atender inquietudes sobre ruido, tráfico o uso de recursos. Esto fortalece la confianza y la aceptación del proyecto.</w:t>
      </w:r>
    </w:p>
    <w:p w14:paraId="017C4509" w14:textId="77777777" w:rsidR="00BF7A7B" w:rsidRPr="00734D3B" w:rsidRDefault="00BF7A7B" w:rsidP="00BF7A7B">
      <w:r w:rsidRPr="00734D3B">
        <w:t>Desde la mirada regenerativa, el proyecto no se enfoca solo en crear empleos, sino en dejar capacidades duraderas. Propone formación en sostenibilidad eléctrica, eficiencia energética, gestión de materiales y seguridad avanzada. Así, los trabajadores desarrollan habilidades que les permiten seguir creciendo y aportando valor en otros proyectos.</w:t>
      </w:r>
    </w:p>
    <w:p w14:paraId="17710A44" w14:textId="77777777" w:rsidR="00BF7A7B" w:rsidRPr="00734D3B" w:rsidRDefault="00BF7A7B" w:rsidP="00BF7A7B">
      <w:r w:rsidRPr="00734D3B">
        <w:t xml:space="preserve">El proyecto también impulsa alianzas entre empresas, instituciones educativas y comunidades locales, como los </w:t>
      </w:r>
      <w:proofErr w:type="spellStart"/>
      <w:r w:rsidRPr="00734D3B">
        <w:t>community</w:t>
      </w:r>
      <w:proofErr w:type="spellEnd"/>
      <w:r w:rsidRPr="00734D3B">
        <w:t xml:space="preserve"> </w:t>
      </w:r>
      <w:proofErr w:type="spellStart"/>
      <w:r w:rsidRPr="00734D3B">
        <w:t>colleges</w:t>
      </w:r>
      <w:proofErr w:type="spellEnd"/>
      <w:r w:rsidRPr="00734D3B">
        <w:t xml:space="preserve"> de Arizona, para ofrecer programas de capacitación técnica y sostenible. Esto fortalece el desarrollo social y económico compartido.</w:t>
      </w:r>
    </w:p>
    <w:p w14:paraId="66A39BAF" w14:textId="6ED54723" w:rsidR="00BF7A7B" w:rsidRPr="00734D3B" w:rsidRDefault="007111B6" w:rsidP="00BF7A7B">
      <w:r w:rsidRPr="00734D3B">
        <w:t>La</w:t>
      </w:r>
      <w:r w:rsidR="00BF7A7B" w:rsidRPr="00734D3B">
        <w:t xml:space="preserve"> dimensión social se relaciona con la categoría Personas del Estándar P5, que incluye temas como condiciones laborales, derechos humanos y ética. Sin embargo, el enfoque regenerativo va más allá: busca transformar la cultura del trabajo, haciendo que cada proyecto sea una oportunidad de crecimiento personal, bienestar </w:t>
      </w:r>
      <w:r w:rsidR="0026348C" w:rsidRPr="00734D3B">
        <w:t>de las comunidades</w:t>
      </w:r>
      <w:r w:rsidR="00BF7A7B" w:rsidRPr="00734D3B">
        <w:t xml:space="preserve"> y </w:t>
      </w:r>
      <w:r w:rsidR="0026348C" w:rsidRPr="00734D3B">
        <w:t xml:space="preserve">un </w:t>
      </w:r>
      <w:r w:rsidR="00BF7A7B" w:rsidRPr="00734D3B">
        <w:t>desarrollo sostenible.</w:t>
      </w:r>
    </w:p>
    <w:p w14:paraId="603FDD56" w14:textId="75719F97" w:rsidR="00D91800" w:rsidRPr="00734D3B" w:rsidRDefault="00F36D5C" w:rsidP="001D692F">
      <w:pPr>
        <w:pStyle w:val="Heading3"/>
        <w:numPr>
          <w:ilvl w:val="2"/>
          <w:numId w:val="53"/>
        </w:numPr>
        <w:ind w:left="886"/>
      </w:pPr>
      <w:bookmarkStart w:id="384" w:name="_Toc227936445"/>
      <w:r w:rsidRPr="00734D3B">
        <w:t>Dimensión económica del desarrollo regenerativo</w:t>
      </w:r>
      <w:bookmarkEnd w:id="384"/>
    </w:p>
    <w:p w14:paraId="3ADC64BD" w14:textId="77777777" w:rsidR="008F57C2" w:rsidRPr="00734D3B" w:rsidRDefault="008F57C2" w:rsidP="008F57C2">
      <w:r w:rsidRPr="00734D3B">
        <w:t>La parte económica del desarrollo regenerativo explica que la prosperidad no se trata solo de ganar dinero, sino de compartir los beneficios de forma justa, apoyar las economías locales y fomentar la colaboración entre las personas. Los proyectos deben generar oportunidades, fortalecer la economía del lugar y crear sistemas más justos e inclusivos.</w:t>
      </w:r>
    </w:p>
    <w:p w14:paraId="1A6CB9BE" w14:textId="0CBAD573" w:rsidR="00B82FDC" w:rsidRPr="00734D3B" w:rsidRDefault="00B51A15" w:rsidP="004971C8">
      <w:r w:rsidRPr="00734D3B">
        <w:t>¿Cómo mi proyecto incorpora desde su diseño la generación de beneficios a las personas menos favorecidas?</w:t>
      </w:r>
    </w:p>
    <w:p w14:paraId="4BBE624B" w14:textId="77777777" w:rsidR="00B51A15" w:rsidRPr="00734D3B" w:rsidRDefault="00B51A15" w:rsidP="00B51A15">
      <w:r w:rsidRPr="00734D3B">
        <w:t>Desde su inicio, el proyecto busca crear más oportunidades para las personas con menos recursos o con poca participación en el sector eléctrico.</w:t>
      </w:r>
    </w:p>
    <w:p w14:paraId="61CDBD99" w14:textId="77777777" w:rsidR="00B51A15" w:rsidRPr="00734D3B" w:rsidRDefault="00B51A15" w:rsidP="00B51A15">
      <w:r w:rsidRPr="00734D3B">
        <w:t xml:space="preserve">La guía promueve la contratación justa y la inclusión de trabajadores locales, dando prioridad a personas en situación vulnerable, jóvenes recién graduados y mujeres electricistas. </w:t>
      </w:r>
      <w:r w:rsidRPr="00734D3B">
        <w:lastRenderedPageBreak/>
        <w:t>Además, incluye programas de capacitación y certificación en temas como seguridad eléctrica, sostenibilidad y gestión de proyectos, para que los participantes mejoren sus habilidades y tengan más oportunidades de empleo.</w:t>
      </w:r>
    </w:p>
    <w:p w14:paraId="2CEF7511" w14:textId="1728A6C4" w:rsidR="00B51A15" w:rsidRPr="00734D3B" w:rsidRDefault="00B51A15" w:rsidP="00B51A15">
      <w:r w:rsidRPr="00734D3B">
        <w:t xml:space="preserve">Durante la etapa de mantenimiento y operación de los centros de datos, se proponen acuerdos con escuelas técnicas y centros comunitarios para ofrecer pasantías o programas de aprendizaje práctico. </w:t>
      </w:r>
      <w:r w:rsidR="00912ED9" w:rsidRPr="00734D3B">
        <w:t>Con esto</w:t>
      </w:r>
      <w:r w:rsidRPr="00734D3B">
        <w:t>, las personas pueden adquirir experiencia real, generar ingresos y fortalecer la economía local, reduciendo la necesidad de traer trabajadores de otras regiones.</w:t>
      </w:r>
    </w:p>
    <w:p w14:paraId="6C8D7872" w14:textId="362A317A" w:rsidR="00B51A15" w:rsidRPr="00734D3B" w:rsidRDefault="009733E8" w:rsidP="004971C8">
      <w:r w:rsidRPr="00734D3B">
        <w:t>¿Cómo mi proyecto disminuye la brecha económica?</w:t>
      </w:r>
    </w:p>
    <w:p w14:paraId="2AE0B8D3" w14:textId="77777777" w:rsidR="00A47412" w:rsidRPr="00734D3B" w:rsidRDefault="00A47412" w:rsidP="00A47412">
      <w:r w:rsidRPr="00734D3B">
        <w:t>El proyecto ayuda a reducir las diferencias económicas repartiendo los beneficios de forma más justa. En muchos proyectos grandes, como los centros de datos, las ganancias se quedan solo en las grandes empresas. Esta guía busca que también lleguen a los trabajadores y a las empresas locales.</w:t>
      </w:r>
    </w:p>
    <w:p w14:paraId="0A1F519E" w14:textId="77777777" w:rsidR="00A47412" w:rsidRPr="00734D3B" w:rsidRDefault="00A47412" w:rsidP="00A47412">
      <w:r w:rsidRPr="00734D3B">
        <w:t>Para lograrlo, se da prioridad a los proveedores locales al comprar materiales o contratar servicios, se promueve la transparencia para que todos tengan las mismas oportunidades y se crean acuerdos de trabajo a largo plazo para mantener empleos estables.</w:t>
      </w:r>
    </w:p>
    <w:p w14:paraId="6E8AE181" w14:textId="77777777" w:rsidR="00A47412" w:rsidRPr="00734D3B" w:rsidRDefault="00A47412" w:rsidP="00A47412">
      <w:r w:rsidRPr="00734D3B">
        <w:t>Con estas acciones, se fortalecen las economías locales y se mejora la calidad de vida de las personas. Además, durante la operación del centro de datos, se promueven contratos continuos que aseguran empleo y estabilidad para la comunidad, evitando los trabajos temporales que terminan rápido.</w:t>
      </w:r>
    </w:p>
    <w:p w14:paraId="240A5515" w14:textId="57D22E3E" w:rsidR="00B82FDC" w:rsidRPr="00734D3B" w:rsidRDefault="001A614D" w:rsidP="004971C8">
      <w:r w:rsidRPr="00734D3B">
        <w:t>¿Cómo mi proyecto utiliza medios de intercambio distintos a las monedas tradicionales?</w:t>
      </w:r>
    </w:p>
    <w:p w14:paraId="4D010273" w14:textId="77777777" w:rsidR="007C59AA" w:rsidRPr="00734D3B" w:rsidRDefault="007C59AA" w:rsidP="007C59AA">
      <w:r w:rsidRPr="00734D3B">
        <w:t>Aunque el proyecto usa un sistema financiero tradicional, también promueve otras formas de generar valor sin usar dinero. La guía propone maneras de intercambio basadas en el conocimiento, la colaboración y la confianza entre las personas y las empresas.</w:t>
      </w:r>
    </w:p>
    <w:p w14:paraId="3AC7C62D" w14:textId="4C439221" w:rsidR="007C59AA" w:rsidRPr="00734D3B" w:rsidRDefault="007C59AA" w:rsidP="007C59AA">
      <w:r w:rsidRPr="00734D3B">
        <w:lastRenderedPageBreak/>
        <w:t>Una de las más importantes es el intercambio de conocimiento técnico. Los contratistas con más experiencia enseñan a los trabajadores locales más nuevos, compartiendo su aprendizaje y ayudándolos a mejorar sin que haya un pago directo.</w:t>
      </w:r>
    </w:p>
    <w:p w14:paraId="1D0A825E" w14:textId="77777777" w:rsidR="007C59AA" w:rsidRPr="00734D3B" w:rsidRDefault="007C59AA" w:rsidP="007C59AA">
      <w:r w:rsidRPr="00734D3B">
        <w:t>También se fomenta el reconocimiento y la confianza, dando certificaciones internas a quienes aplican buenas prácticas sostenibles o éticas. Esto les da más oportunidades de trabajo y colaboración en el futuro.</w:t>
      </w:r>
    </w:p>
    <w:p w14:paraId="373817B5" w14:textId="377818EE" w:rsidR="007C59AA" w:rsidRPr="00734D3B" w:rsidRDefault="007C59AA" w:rsidP="007C59AA">
      <w:r w:rsidRPr="00734D3B">
        <w:t>Además, se promueve el voluntariado técnico, donde las empresas dedican tiempo o capacitación a escuelas y comunidades locales. A cambio, obtienen reconocimiento y fortalecen su relación con la comunidad. Estas formas de intercambio favorecen un ambiente de apoyo mutuo y ayudan al crecimiento económico de la región.</w:t>
      </w:r>
    </w:p>
    <w:p w14:paraId="3E96DAB6" w14:textId="45A64EA0" w:rsidR="00042E31" w:rsidRPr="00734D3B" w:rsidRDefault="00042E31" w:rsidP="00042E31">
      <w:r w:rsidRPr="00734D3B">
        <w:t xml:space="preserve">La dimensión económica del desarrollo regenerativo se relaciona con la categoría “Prosperidad” del Estándar P5, pero va más allá al </w:t>
      </w:r>
      <w:r w:rsidR="0035219C" w:rsidRPr="00734D3B">
        <w:t>conseguir</w:t>
      </w:r>
      <w:r w:rsidRPr="00734D3B">
        <w:t xml:space="preserve"> rentabilidad </w:t>
      </w:r>
      <w:r w:rsidR="0035219C" w:rsidRPr="00734D3B">
        <w:t xml:space="preserve">de la mano del bienestar </w:t>
      </w:r>
      <w:r w:rsidRPr="00734D3B">
        <w:t xml:space="preserve">social y </w:t>
      </w:r>
      <w:r w:rsidR="00285C03" w:rsidRPr="00734D3B">
        <w:t xml:space="preserve">del </w:t>
      </w:r>
      <w:r w:rsidRPr="00734D3B">
        <w:t xml:space="preserve">desarrollo económico local. Mientras el P5 se enfoca en una buena gestión financiera, el enfoque regenerativo busca también crear valor compartido y fortalecer a las comunidades. Durante la construcción, el proyecto genera empleos y beneficios directos; en la operación, promueve cadenas de suministro sostenibles y formas de colaboración basadas en el conocimiento y la cooperación. </w:t>
      </w:r>
      <w:r w:rsidR="002E7ACB" w:rsidRPr="00734D3B">
        <w:t>De esta forma</w:t>
      </w:r>
      <w:r w:rsidRPr="00734D3B">
        <w:t>, los centros de datos se convierten en espacios que impulsan el crecimiento económico y el bienestar local.</w:t>
      </w:r>
    </w:p>
    <w:p w14:paraId="72BD338E" w14:textId="3C01542F" w:rsidR="001A614D" w:rsidRPr="00734D3B" w:rsidRDefault="00D56DF7" w:rsidP="001D692F">
      <w:pPr>
        <w:pStyle w:val="Heading3"/>
        <w:numPr>
          <w:ilvl w:val="2"/>
          <w:numId w:val="53"/>
        </w:numPr>
        <w:ind w:left="886"/>
      </w:pPr>
      <w:bookmarkStart w:id="385" w:name="_Toc227936446"/>
      <w:r w:rsidRPr="00734D3B">
        <w:t>Dimensión espiritual del desarrollo regenerativo</w:t>
      </w:r>
      <w:bookmarkEnd w:id="385"/>
    </w:p>
    <w:p w14:paraId="4EC19717" w14:textId="55854DAC" w:rsidR="00D56DF7" w:rsidRPr="00734D3B" w:rsidRDefault="00BD4E42" w:rsidP="004971C8">
      <w:r w:rsidRPr="00734D3B">
        <w:t>La dimensión espiritual del desarrollo regenerativo se enfoca en el propósito y en la conexión entre las personas, la naturaleza y el sentido del trabajo. No trata de religión, sino de reconocer el valor de la vida, la relación entre todos los seres y la importancia de actuar con conciencia y equilibrio. En este proyecto, esta dimensión busca que los contratistas eléctricos trabajen con ética, empatía y respeto por su entorno, creando un ambiente más humano y colaborativo dentro de la industria de los centros de datos.</w:t>
      </w:r>
    </w:p>
    <w:p w14:paraId="5F75B056" w14:textId="5F386C4D" w:rsidR="00807C72" w:rsidRPr="00734D3B" w:rsidRDefault="00807C72" w:rsidP="004971C8">
      <w:r w:rsidRPr="00734D3B">
        <w:lastRenderedPageBreak/>
        <w:t>¿Cómo mi proyecto propicia el contacto de los seres humanos con la naturaleza?</w:t>
      </w:r>
    </w:p>
    <w:p w14:paraId="0398F379" w14:textId="66F39B1E" w:rsidR="00807C72" w:rsidRPr="00734D3B" w:rsidRDefault="008D7193" w:rsidP="004971C8">
      <w:r w:rsidRPr="00734D3B">
        <w:t>El proyecto busca que las personas vuelvan a conectarse con la naturaleza, incluso en un entorno tecnológico como los centros de datos. Desde su diseño, la guía recomienda incluir áreas verdes y naturales en los lugares de trabajo. Durante la construcción, se sugiere crear zonas de descanso con sombra, plantas y buena ventilación para que los trabajadores tengan contacto con la naturaleza. En la etapa de uso y mantenimiento, se promueve el uso de jardines con plantas nativas y techos verdes que mejoran el clima y favorecen la biodiversidad. Así, el proyecto muestra que la tecnología y la naturaleza pueden convivir de forma equilibrada.</w:t>
      </w:r>
    </w:p>
    <w:p w14:paraId="25DA41F6" w14:textId="727ED6BC" w:rsidR="00B82FDC" w:rsidRPr="00734D3B" w:rsidRDefault="00702829" w:rsidP="004971C8">
      <w:r w:rsidRPr="00734D3B">
        <w:t>¿Cómo mi proyecto propicia el contacto de los seres humanos con otros seres humanos para compartir en condición de iguales, sin juicios y con escucha activa?</w:t>
      </w:r>
    </w:p>
    <w:p w14:paraId="4673A1CD" w14:textId="555D3F93" w:rsidR="00702829" w:rsidRPr="00734D3B" w:rsidRDefault="0060180C" w:rsidP="004971C8">
      <w:r w:rsidRPr="00734D3B">
        <w:t>El proyecto busca fortalecer las relaciones humanas y el trabajo en equipo desde el respeto y la igualdad. La guía metodológica promueve un liderazgo colaborativo y una comunicación empática, donde todos los miembros del proyecto puedan expresar sus ideas y opiniones libremente. Durante la construcción, se fomentan reuniones participativas y espacios de diálogo para compartir experiencias y resolver problemas juntos. En la etapa de mantenimiento, se continúan estas prácticas con reuniones abiertas para evaluar avances y proponer mejoras. De esta forma, el proyecto crea una cultura de colaboración, confianza y escucha activa entre todos los diferentes actores.</w:t>
      </w:r>
    </w:p>
    <w:p w14:paraId="149700A2" w14:textId="2104E7F6" w:rsidR="00164E45" w:rsidRPr="00734D3B" w:rsidRDefault="00164E45" w:rsidP="004971C8">
      <w:r w:rsidRPr="00734D3B">
        <w:t>¿Cómo mi proyecto fomenta espacios de descanso y meditación?</w:t>
      </w:r>
    </w:p>
    <w:p w14:paraId="1655B2B4" w14:textId="1D965C51" w:rsidR="00164E45" w:rsidRPr="00734D3B" w:rsidRDefault="00914788" w:rsidP="004971C8">
      <w:r w:rsidRPr="00734D3B">
        <w:t xml:space="preserve">El proyecto promueve el bienestar de las personas creando espacios para el descanso, la relajación y la reflexión. En los proyectos eléctricos, donde el trabajo requiere mucha concentración y esfuerzo físico, la guía recomienda hacer pausas activas y momentos de bienestar durante la jornada laboral. Durante la construcción, los supervisores pueden organizar breves descansos para respirar, hidratarse y reflexionar sobre el trabajo del día. En la etapa de operación y mantenimiento, se sugiere incluir momentos de respiración o meditación </w:t>
      </w:r>
      <w:r w:rsidRPr="00734D3B">
        <w:lastRenderedPageBreak/>
        <w:t xml:space="preserve">guiada en áreas comunes o durante las capacitaciones. Además, muchos centros de datos cuentan con salas de </w:t>
      </w:r>
      <w:r w:rsidR="00670C53" w:rsidRPr="00734D3B">
        <w:t>oración, que</w:t>
      </w:r>
      <w:r w:rsidRPr="00734D3B">
        <w:t xml:space="preserve"> pueden aprovecharse como espacios tranquilos donde los trabajadores se relajen, mediten o se reconecten consigo mismos. Estas prácticas ayudan a reducir el estrés, mejorar la concentración </w:t>
      </w:r>
      <w:r w:rsidR="00B37DF1" w:rsidRPr="00734D3B">
        <w:t>e inclusive mejorar</w:t>
      </w:r>
      <w:r w:rsidRPr="00734D3B">
        <w:t xml:space="preserve"> </w:t>
      </w:r>
      <w:r w:rsidR="00B37DF1" w:rsidRPr="00734D3B">
        <w:t>la productividad.</w:t>
      </w:r>
    </w:p>
    <w:p w14:paraId="62085668" w14:textId="6E7B1458" w:rsidR="00B37DF1" w:rsidRPr="00734D3B" w:rsidRDefault="00FB3A48" w:rsidP="004971C8">
      <w:r w:rsidRPr="00734D3B">
        <w:t>¿Cómo mi proyecto propicia espacios de reflexión para mirar hacia adentro y mejorar mis habilidades esenciales?</w:t>
      </w:r>
    </w:p>
    <w:p w14:paraId="799E5FA2" w14:textId="71150EE8" w:rsidR="00FB3A48" w:rsidRPr="00734D3B" w:rsidRDefault="00BC3795" w:rsidP="004971C8">
      <w:r w:rsidRPr="00734D3B">
        <w:t>La guía promueve momentos de reflexión personal y en grupo para que los trabajadores piensen en su crecimiento y en cómo se puede mejorar. En las reuniones o capacitaciones, se pueden hacer pausas para reconocer logros, agradecer y aprender de las experiencias de otros. Estos espacios sirven también como lecciones aprendidas, donde todos comparten lo que salió bien y lo que se puede hacer mejor en el futuro. En la etapa de mantenimiento, se sugiere revisar no solo el trabajo técnico, sino también el bienestar y el ambiente del equipo. Así, el proyecto crea un lugar de trabajo sano y enfocado en el constante crecimiento profesional y personal.</w:t>
      </w:r>
    </w:p>
    <w:p w14:paraId="1E3CF4CE" w14:textId="7F2174C7" w:rsidR="007519AA" w:rsidRPr="00734D3B" w:rsidRDefault="009E4A45" w:rsidP="004971C8">
      <w:r w:rsidRPr="00734D3B">
        <w:t xml:space="preserve">La parte espiritual, aunque no aparece directamente en el Estándar P5, se relaciona con las categorías de Personas y Prosperidad porque da sentido y propósito al trabajo. Mientras el P5 se enfoca en lo ético, social y ambiental, el enfoque regenerativo agrega la conexión con la naturaleza y el equilibrio entre el trabajo y el bienestar. Este proyecto ayuda a que los contratistas eléctricos tengan una cultura más humana y reflexiva, donde las personas trabajen con conciencia, respeto y propósito, entendiendo que la verdadera regeneración empieza en </w:t>
      </w:r>
      <w:r w:rsidR="00DE3232" w:rsidRPr="00734D3B">
        <w:t xml:space="preserve">desde </w:t>
      </w:r>
      <w:r w:rsidRPr="00734D3B">
        <w:t>cada uno.</w:t>
      </w:r>
    </w:p>
    <w:p w14:paraId="630D4B8A" w14:textId="3207ED00" w:rsidR="00DE3232" w:rsidRPr="00734D3B" w:rsidRDefault="00670C53" w:rsidP="001D692F">
      <w:pPr>
        <w:pStyle w:val="Heading3"/>
        <w:numPr>
          <w:ilvl w:val="2"/>
          <w:numId w:val="53"/>
        </w:numPr>
        <w:ind w:left="886"/>
      </w:pPr>
      <w:bookmarkStart w:id="386" w:name="_Toc227936447"/>
      <w:r w:rsidRPr="00734D3B">
        <w:t>Dimensión cultural del desarrollo regenerativo</w:t>
      </w:r>
      <w:bookmarkEnd w:id="386"/>
    </w:p>
    <w:p w14:paraId="199B9A51" w14:textId="13DAF456" w:rsidR="00670C53" w:rsidRPr="00734D3B" w:rsidRDefault="00C641B0" w:rsidP="004971C8">
      <w:pPr>
        <w:rPr>
          <w:b/>
          <w:bCs/>
        </w:rPr>
      </w:pPr>
      <w:r w:rsidRPr="00734D3B">
        <w:t xml:space="preserve">La dimensión cultural del desarrollo regenerativo reconoce que todo proyecto forma parte de una comunidad con su historia, valores y tradiciones. Por eso, no basta con cuidar el ambiente o lograr eficiencia técnica, sino también respetar y fortalecer la identidad cultural del </w:t>
      </w:r>
      <w:r w:rsidRPr="00734D3B">
        <w:lastRenderedPageBreak/>
        <w:t>lugar donde se trabaja. En el caso del proyecto de la guía metodológica para contratistas eléctricos en Arizona, esto significa que las obras deben realizarse de forma ética, sensible y respetuosa con la cultura local, integrando la tecnología con el valor humano y simbólico del entorno.</w:t>
      </w:r>
    </w:p>
    <w:p w14:paraId="4DEC2F16" w14:textId="68E925FD" w:rsidR="00FA1B3E" w:rsidRPr="00734D3B" w:rsidRDefault="00583FB5" w:rsidP="004971C8">
      <w:r w:rsidRPr="00734D3B">
        <w:t>¿Cómo mi proyecto fortalece o afecta las expresiones artísticas y/o culturales del país o la región en la que se desarrolla?</w:t>
      </w:r>
    </w:p>
    <w:p w14:paraId="2C3C7FBE" w14:textId="71634294" w:rsidR="00583FB5" w:rsidRPr="00734D3B" w:rsidRDefault="007B1345" w:rsidP="004971C8">
      <w:r w:rsidRPr="00734D3B">
        <w:t>El proyecto apoya la cultura local al respetar la identidad y las tradiciones de la comunidad donde se construye. La guía recomienda que los contratistas usen diseños que se adapten al entorno y reflejen los valores del lugar. Durante la construcción, se puede trabajar con artistas locales para agregar murales, materiales o símbolos de la región, lo que fortalece el orgullo y la unión con la comunidad. Además, se cuidan los monumentos y las tradiciones, mostrando que la tecnología y la cultura pueden convivir en armonía.</w:t>
      </w:r>
    </w:p>
    <w:p w14:paraId="4E0D368F" w14:textId="3998735C" w:rsidR="00634F96" w:rsidRPr="00734D3B" w:rsidRDefault="003621ED" w:rsidP="004971C8">
      <w:r w:rsidRPr="00734D3B">
        <w:t>¿Cómo mi proyecto fortalece o afecta las expresiones artísticas y/o culturales del país o la región en la que se desarrolla?</w:t>
      </w:r>
    </w:p>
    <w:p w14:paraId="32FE0C62" w14:textId="43BE5902" w:rsidR="00AE2FF5" w:rsidRPr="00734D3B" w:rsidRDefault="003B5BD8" w:rsidP="00D7259E">
      <w:pPr>
        <w:ind w:firstLine="0"/>
        <w:contextualSpacing/>
      </w:pPr>
      <w:r w:rsidRPr="00734D3B">
        <w:t xml:space="preserve">El proyecto apoya la cultura local al respetar las tradiciones y el estilo de cada comunidad donde se trabaja. La guía recomienda usar diseños que encajen con el entorno y colaborar con artistas locales para incluir murales, materiales o símbolos del lugar. Esto ayuda a que las personas se sientan orgullosas de su comunidad. También se cuidan las tradiciones durante la construcción. </w:t>
      </w:r>
      <w:r w:rsidR="002E7ACB" w:rsidRPr="00734D3B">
        <w:t>De este modo</w:t>
      </w:r>
      <w:r w:rsidRPr="00734D3B">
        <w:t>, el proyecto muestra que la tecnología puede avanzar sin perder el valor de la cultura y la historia del lugar.</w:t>
      </w:r>
    </w:p>
    <w:p w14:paraId="6065360B" w14:textId="4AC5ACF2" w:rsidR="000005F7" w:rsidRPr="00734D3B" w:rsidRDefault="000005F7" w:rsidP="000005F7">
      <w:pPr>
        <w:ind w:firstLine="706"/>
        <w:contextualSpacing/>
      </w:pPr>
      <w:r w:rsidRPr="00734D3B">
        <w:t>¿Cómo se involucra o excluye el conocimiento de las personas adultas mayores?</w:t>
      </w:r>
    </w:p>
    <w:p w14:paraId="4B66CE95" w14:textId="2DC165A7" w:rsidR="003B5BD8" w:rsidRPr="00734D3B" w:rsidRDefault="009554E7" w:rsidP="00424CF9">
      <w:pPr>
        <w:ind w:firstLine="706"/>
        <w:contextualSpacing/>
      </w:pPr>
      <w:r w:rsidRPr="00734D3B">
        <w:t xml:space="preserve">El proyecto toma en cuenta la experiencia de las personas adultas mayores. Se busca que ellos participen en las capacitaciones y enseñen a los trabajadores más jóvenes lo que han aprendido en su vida laboral. De esta forma, se conserva el conocimiento y las buenas prácticas en la industria, mientras, los jóvenes también pueden compartir nuevas ideas y </w:t>
      </w:r>
      <w:r w:rsidRPr="00734D3B">
        <w:lastRenderedPageBreak/>
        <w:t xml:space="preserve">formas de trabajar, creando un aprendizaje entre las generaciones. </w:t>
      </w:r>
      <w:r w:rsidR="00424CF9" w:rsidRPr="00734D3B">
        <w:t>Así, el proyecto promueve el trabajo en equipo entre generaciones y asegura que el conocimiento no se pierda.</w:t>
      </w:r>
    </w:p>
    <w:p w14:paraId="3F804EA2" w14:textId="1E57ABD1" w:rsidR="009222AA" w:rsidRPr="00734D3B" w:rsidRDefault="009222AA" w:rsidP="00424CF9">
      <w:pPr>
        <w:ind w:firstLine="706"/>
        <w:contextualSpacing/>
      </w:pPr>
      <w:r w:rsidRPr="00734D3B">
        <w:t>¿Cómo mi proyecto protege o afecta el entorno visual y auditivo del lugar donde se desarrolla?</w:t>
      </w:r>
    </w:p>
    <w:p w14:paraId="7CCA01C7" w14:textId="30424768" w:rsidR="009222AA" w:rsidRPr="00734D3B" w:rsidRDefault="00A45DD4" w:rsidP="00424CF9">
      <w:pPr>
        <w:ind w:firstLine="706"/>
        <w:contextualSpacing/>
      </w:pPr>
      <w:r w:rsidRPr="00734D3B">
        <w:t>La guía propone cuidar el paisaje y el sonido en las zonas donde se construyen o funcionan los centros de datos. Durante la construcción, se busca que los edificios eléctricos se integren bien con el entorno, usando colores, alturas y materiales que no rompan con el paisaje. También se controlan los ruidos con barreras</w:t>
      </w:r>
      <w:r w:rsidR="00B65BCD" w:rsidRPr="00734D3B">
        <w:t xml:space="preserve"> acústicas</w:t>
      </w:r>
      <w:r w:rsidRPr="00734D3B">
        <w:t xml:space="preserve">, maquinaria </w:t>
      </w:r>
      <w:r w:rsidR="00B65BCD" w:rsidRPr="00734D3B">
        <w:t>especializada</w:t>
      </w:r>
      <w:r w:rsidRPr="00734D3B">
        <w:t xml:space="preserve"> y horarios adecuados para no molestar a los vecinos. En la operación y mantenimiento, se recomienda revisar de forma constante el nivel de ruido y el aspecto visual del lugar para mantener un ambiente agradable. </w:t>
      </w:r>
      <w:r w:rsidR="00570190" w:rsidRPr="00734D3B">
        <w:t>Gracias a esto</w:t>
      </w:r>
      <w:r w:rsidRPr="00734D3B">
        <w:t>, el proyecto ayuda a proteger la belleza y tranquilidad del entorno y el bienestar de la comunidad.</w:t>
      </w:r>
    </w:p>
    <w:p w14:paraId="7E7D2FD8" w14:textId="5C7A4FD7" w:rsidR="003B5BD8" w:rsidRPr="00734D3B" w:rsidRDefault="008C1091" w:rsidP="008C1091">
      <w:pPr>
        <w:ind w:firstLine="706"/>
        <w:contextualSpacing/>
      </w:pPr>
      <w:r w:rsidRPr="00734D3B">
        <w:t>¿Cómo mi proyecto respeta o invade costumbres propias de las poblaciones en las que se desarrolla?</w:t>
      </w:r>
    </w:p>
    <w:p w14:paraId="1FEA6415" w14:textId="3A545D99" w:rsidR="001E4CD2" w:rsidRPr="00734D3B" w:rsidRDefault="001E4CD2" w:rsidP="008C1091">
      <w:pPr>
        <w:ind w:firstLine="706"/>
        <w:contextualSpacing/>
      </w:pPr>
      <w:r w:rsidRPr="00734D3B">
        <w:t xml:space="preserve">El proyecto se basa en el respeto a las costumbres y tradiciones de las comunidades donde se construye. Antes de empezar las obras, se recomienda hablar con los vecinos para conocer sus creencias, celebraciones y prácticas importantes. La guía sugiere no realizar trabajos en fechas festivas o religiosas y usar servicios locales, como comida o transporte, para apoyar la economía del lugar. También promueve el respeto entre los trabajadores, sin discriminación por idioma o cultura. Durante el mantenimiento, se anima a participar en actividades comunitarias y culturales, fortaleciendo la relación con la gente del entorno y mostrando </w:t>
      </w:r>
      <w:r w:rsidR="007A6BCB" w:rsidRPr="00734D3B">
        <w:t xml:space="preserve">así, </w:t>
      </w:r>
      <w:r w:rsidRPr="00734D3B">
        <w:t>respeto por sus costumbres.</w:t>
      </w:r>
    </w:p>
    <w:p w14:paraId="1F4D7C76" w14:textId="40F14B09" w:rsidR="002331DF" w:rsidRPr="00734D3B" w:rsidRDefault="002331DF" w:rsidP="008C1091">
      <w:pPr>
        <w:ind w:firstLine="706"/>
        <w:contextualSpacing/>
      </w:pPr>
      <w:r w:rsidRPr="00734D3B">
        <w:t xml:space="preserve">La dimensión cultural se relaciona con las categorías Gobernanza y Personas del Estándar P5, porque todas buscan la ética, la inclusión y el respeto por la diversidad. Mientras el P5 se enfoca en cumplir con normas éticas y sociales, el enfoque regenerativo va más allá y </w:t>
      </w:r>
      <w:r w:rsidRPr="00734D3B">
        <w:lastRenderedPageBreak/>
        <w:t>busca conectar los proyectos con la identidad cultural de cada lugar. De esta manera, la guía no solo se centra en la parte técnica y ambiental, sino que también promueve una gestión que respete y valore las tradiciones y expresiones locales, haciendo que la tecnología beneficie a la comunidad sin afectar su cultura.</w:t>
      </w:r>
    </w:p>
    <w:p w14:paraId="055DF05A" w14:textId="6A0492F2" w:rsidR="002331DF" w:rsidRPr="00734D3B" w:rsidRDefault="00756F8D" w:rsidP="001D692F">
      <w:pPr>
        <w:pStyle w:val="Heading3"/>
        <w:numPr>
          <w:ilvl w:val="2"/>
          <w:numId w:val="53"/>
        </w:numPr>
        <w:ind w:left="886"/>
      </w:pPr>
      <w:bookmarkStart w:id="387" w:name="_Toc227936448"/>
      <w:r w:rsidRPr="00734D3B">
        <w:t>Dimensión política del desarrollo regenerativo</w:t>
      </w:r>
      <w:bookmarkEnd w:id="387"/>
    </w:p>
    <w:p w14:paraId="3BAC392F" w14:textId="07969C00" w:rsidR="00756F8D" w:rsidRPr="00734D3B" w:rsidRDefault="00227409" w:rsidP="00756F8D">
      <w:r w:rsidRPr="00734D3B">
        <w:t>La dimensión política del desarrollo regenerativo se enfoca en que los proyectos promuevan la participación de las personas, el liderazgo justo y decisiones que beneficien a todos. No se trata de política partidaria, sino de cómo se usa el poder trabajo conjunto por un bien común. En el caso del proyecto, esta dimensión es importante porque los contratistas eléctricos que trabajan en grandes obras, como los centros de datos, influyen directamente en la economía y la vida local. Por eso, la guía propone una forma de gestión transparente y participativa, donde las decisiones se tomen con equidad y respeto hacia todas las personas y comunidades involucradas.</w:t>
      </w:r>
    </w:p>
    <w:p w14:paraId="61D9D90B" w14:textId="0B8E4754" w:rsidR="00314522" w:rsidRPr="00734D3B" w:rsidRDefault="00CA0FB6" w:rsidP="00756F8D">
      <w:r w:rsidRPr="00734D3B">
        <w:t xml:space="preserve">¿Cómo mi proyecto beneficia que los ciudadanos tengan una </w:t>
      </w:r>
      <w:proofErr w:type="gramStart"/>
      <w:r w:rsidRPr="00734D3B">
        <w:t>participación activa</w:t>
      </w:r>
      <w:proofErr w:type="gramEnd"/>
      <w:r w:rsidRPr="00734D3B">
        <w:t xml:space="preserve"> en el diseño de su propio futuro?</w:t>
      </w:r>
    </w:p>
    <w:p w14:paraId="4A2D0099" w14:textId="6A247052" w:rsidR="00843E46" w:rsidRPr="00734D3B" w:rsidRDefault="00D918C3" w:rsidP="00756F8D">
      <w:r w:rsidRPr="00734D3B">
        <w:t xml:space="preserve">El proyecto ayuda a que las personas participen activamente en las decisiones sobre su comunidad. La guía sugiere que antes de empezar la construcción se realicen reuniones y consultas para explicar el proyecto y escuchar las opiniones de los vecinos. Durante las obras, se pueden hacer encuestas y encuentros donde la gente comparta ideas o preocupaciones. En la etapa de operación y mantenimiento, se promueve la creación de grupos locales que supervisen el cumplimiento de los compromisos ambientales y sociales. </w:t>
      </w:r>
      <w:r w:rsidR="00E54374" w:rsidRPr="00734D3B">
        <w:t xml:space="preserve">Logrando que </w:t>
      </w:r>
      <w:r w:rsidRPr="00734D3B">
        <w:t>el proyecto no impon</w:t>
      </w:r>
      <w:r w:rsidR="00E54374" w:rsidRPr="00734D3B">
        <w:t>ga</w:t>
      </w:r>
      <w:r w:rsidRPr="00734D3B">
        <w:t xml:space="preserve"> cambios, sino que trabaj</w:t>
      </w:r>
      <w:r w:rsidR="00E54374" w:rsidRPr="00734D3B">
        <w:t>e</w:t>
      </w:r>
      <w:r w:rsidRPr="00734D3B">
        <w:t xml:space="preserve"> junto con la comunidad para construir un futuro con compromisos compartidos.</w:t>
      </w:r>
    </w:p>
    <w:p w14:paraId="72117A9F" w14:textId="7C4B9253" w:rsidR="00D918C3" w:rsidRPr="00734D3B" w:rsidRDefault="00911949" w:rsidP="00756F8D">
      <w:r w:rsidRPr="00734D3B">
        <w:t>¿Cómo mi proyecto empodera a mujeres y jóvenes para tomar posiciones de liderazgo?</w:t>
      </w:r>
    </w:p>
    <w:p w14:paraId="61985551" w14:textId="77777777" w:rsidR="00FE35F9" w:rsidRPr="00734D3B" w:rsidRDefault="00352BC9" w:rsidP="00756F8D">
      <w:r w:rsidRPr="00734D3B">
        <w:lastRenderedPageBreak/>
        <w:t>El proyecto busca dar más oportunidades a mujeres y jóvenes para que puedan asumir roles de liderazgo en el sector eléctrico, donde su participación ha sido limitada. La guía propone capacitaciones técnicas con enfoque inclusivo, procesos de contratación justos y programas de mentoría que ayuden a desarrollar habilidades de liderazgo. Durante la construcción, se recomienda asignar a mujeres y jóvenes puestos de coordinación o control de calidad, mostrando su capacidad y creando ejemplos para otros</w:t>
      </w:r>
      <w:r w:rsidR="005B7815" w:rsidRPr="00734D3B">
        <w:t>. Esto refleja mi propia experiencia como mujer en la construcción que ha logrado ocupar un puesto de liderazgo, demostrando que la equidad y la excelencia técnica pueden ir de la mano.</w:t>
      </w:r>
      <w:r w:rsidR="00FE35F9" w:rsidRPr="00734D3B">
        <w:t xml:space="preserve"> </w:t>
      </w:r>
    </w:p>
    <w:p w14:paraId="7CAD5E29" w14:textId="57A19549" w:rsidR="00424CF9" w:rsidRPr="00734D3B" w:rsidRDefault="00FE35F9" w:rsidP="00D7259E">
      <w:pPr>
        <w:ind w:firstLine="0"/>
        <w:contextualSpacing/>
      </w:pPr>
      <w:r w:rsidRPr="00734D3B">
        <w:t>En la etapa de mantenimiento, se promueve que los jóvenes lideren áreas de innovación, energía y sostenibilidad. Más que dar cargos, el proyecto busca crear un ambiente donde todas las personas puedan participar y ser escuchadas, fomentando una cultura</w:t>
      </w:r>
      <w:r w:rsidR="0001079B" w:rsidRPr="00734D3B">
        <w:t xml:space="preserve"> con</w:t>
      </w:r>
      <w:r w:rsidRPr="00734D3B">
        <w:t xml:space="preserve"> </w:t>
      </w:r>
      <w:r w:rsidR="0001079B" w:rsidRPr="00734D3B">
        <w:t>igualdad de condiciones</w:t>
      </w:r>
      <w:r w:rsidRPr="00734D3B">
        <w:t>.</w:t>
      </w:r>
    </w:p>
    <w:p w14:paraId="3812E446" w14:textId="42A3AFCF" w:rsidR="0030233A" w:rsidRPr="00734D3B" w:rsidRDefault="0030233A" w:rsidP="0030233A">
      <w:pPr>
        <w:ind w:firstLine="706"/>
        <w:contextualSpacing/>
      </w:pPr>
      <w:r w:rsidRPr="00734D3B">
        <w:t>¿Cómo mi proyecto involucra o excluye la voz de las personas autóctonas de la zona en la que se desarrolla sin importar su nivel o clase social?</w:t>
      </w:r>
    </w:p>
    <w:p w14:paraId="605B49D0" w14:textId="52B16E7C" w:rsidR="0030233A" w:rsidRPr="00734D3B" w:rsidRDefault="002A624A" w:rsidP="0030233A">
      <w:pPr>
        <w:ind w:firstLine="706"/>
        <w:contextualSpacing/>
      </w:pPr>
      <w:r w:rsidRPr="00734D3B">
        <w:t xml:space="preserve">El proyecto busca incluir a las comunidades locales e indígenas, valorando su conocimiento sobre la tierra y la naturaleza. En Arizona todavía existen muchas comunidades indígenas con una gran riqueza cultural y una conexión profunda con el territorio. Por eso, la guía propone mantener una comunicación abierta y respetuosa con sus líderes antes de empezar las obras. Se recomienda hacer consultas para conocer sus costumbres, sitios sagrados o tradiciones que podrían verse afectadas. También se promueve contratar a personas y proveedores locales, para que los beneficios del proyecto lleguen a todos por igual, sin importar su origen o nivel social. Durante la operación y el mantenimiento, se busca trabajar junto con estas comunidades en proyectos de reforestación, ahorro de agua o educación técnica. </w:t>
      </w:r>
      <w:r w:rsidR="00556FB2" w:rsidRPr="00734D3B">
        <w:t>Con ello</w:t>
      </w:r>
      <w:r w:rsidRPr="00734D3B">
        <w:t xml:space="preserve">, las comunidades </w:t>
      </w:r>
      <w:r w:rsidR="00015779" w:rsidRPr="00734D3B">
        <w:t>autóctonas se</w:t>
      </w:r>
      <w:r w:rsidRPr="00734D3B">
        <w:t xml:space="preserve"> tornan parte importante del desarrollo y del cuidado del territorio.</w:t>
      </w:r>
    </w:p>
    <w:p w14:paraId="6F70E022" w14:textId="30315694" w:rsidR="00A01A5D" w:rsidRPr="00734D3B" w:rsidRDefault="00BE0277" w:rsidP="00D7259E">
      <w:pPr>
        <w:ind w:firstLine="0"/>
        <w:contextualSpacing/>
      </w:pPr>
      <w:r w:rsidRPr="00734D3B">
        <w:lastRenderedPageBreak/>
        <w:t>La dimensión política se relaciona con las categorías de Gobernanza, Personas y Prosperidad del Estándar P5 porque todas buscan que las decisiones se tomen con justicia, respeto y participación. Mientras el P5 se enfoca en cumplir con reglas éticas y de transparencia, el enfoque regenerativo busca que todos trabajen juntos y participen en las decisiones. Por lo tanto, el proyecto crea una cultura donde empresas, trabajadores, comunidades y autoridades colaboran para lograr un bienestar común.</w:t>
      </w:r>
    </w:p>
    <w:p w14:paraId="6FD33F15" w14:textId="77777777" w:rsidR="00A01A5D" w:rsidRPr="00734D3B" w:rsidRDefault="00A01A5D">
      <w:pPr>
        <w:spacing w:line="240" w:lineRule="auto"/>
        <w:ind w:firstLine="0"/>
      </w:pPr>
      <w:r w:rsidRPr="00734D3B">
        <w:br w:type="page"/>
      </w:r>
    </w:p>
    <w:p w14:paraId="0B933838" w14:textId="2AE51C6E" w:rsidR="0020723C" w:rsidRPr="00734D3B" w:rsidRDefault="00264EEB" w:rsidP="0020723C">
      <w:pPr>
        <w:pStyle w:val="Heading1"/>
        <w:numPr>
          <w:ilvl w:val="0"/>
          <w:numId w:val="0"/>
        </w:numPr>
        <w:ind w:left="360" w:hanging="360"/>
      </w:pPr>
      <w:bookmarkStart w:id="388" w:name="_Toc227936449"/>
      <w:r w:rsidRPr="00734D3B">
        <w:lastRenderedPageBreak/>
        <w:t>Lista de Referencias</w:t>
      </w:r>
      <w:bookmarkEnd w:id="388"/>
    </w:p>
    <w:p w14:paraId="29E0773D" w14:textId="77777777" w:rsidR="0020723C" w:rsidRPr="00734D3B" w:rsidRDefault="0020723C" w:rsidP="00F7764F">
      <w:pPr>
        <w:ind w:left="720" w:hanging="720"/>
      </w:pPr>
      <w:r w:rsidRPr="00734D3B">
        <w:t xml:space="preserve">Aguado, I., y </w:t>
      </w:r>
      <w:proofErr w:type="spellStart"/>
      <w:r w:rsidRPr="00734D3B">
        <w:t>Echebarría</w:t>
      </w:r>
      <w:proofErr w:type="spellEnd"/>
      <w:r w:rsidRPr="00734D3B">
        <w:t xml:space="preserve">, K. (2018). </w:t>
      </w:r>
      <w:r w:rsidRPr="00734D3B">
        <w:rPr>
          <w:i/>
          <w:iCs/>
        </w:rPr>
        <w:t>Gestión sostenible y desarrollo regenerativo en proyectos: Hacia un nuevo paradigma.</w:t>
      </w:r>
      <w:r w:rsidRPr="00734D3B">
        <w:t xml:space="preserve"> Universidad del País Vasco.</w:t>
      </w:r>
    </w:p>
    <w:p w14:paraId="234B3029" w14:textId="77777777" w:rsidR="0020723C" w:rsidRPr="00734D3B" w:rsidRDefault="0020723C" w:rsidP="00FC368B">
      <w:pPr>
        <w:ind w:firstLine="0"/>
      </w:pPr>
      <w:proofErr w:type="spellStart"/>
      <w:r w:rsidRPr="00734D3B">
        <w:t>Ahrefs</w:t>
      </w:r>
      <w:proofErr w:type="spellEnd"/>
      <w:r w:rsidRPr="00734D3B">
        <w:t xml:space="preserve">. (2025). </w:t>
      </w:r>
      <w:proofErr w:type="spellStart"/>
      <w:r w:rsidRPr="00734D3B">
        <w:rPr>
          <w:i/>
          <w:iCs/>
        </w:rPr>
        <w:t>Sentence</w:t>
      </w:r>
      <w:proofErr w:type="spellEnd"/>
      <w:r w:rsidRPr="00734D3B">
        <w:rPr>
          <w:i/>
          <w:iCs/>
        </w:rPr>
        <w:t xml:space="preserve"> </w:t>
      </w:r>
      <w:proofErr w:type="spellStart"/>
      <w:r w:rsidRPr="00734D3B">
        <w:rPr>
          <w:i/>
          <w:iCs/>
        </w:rPr>
        <w:t>Rewriter</w:t>
      </w:r>
      <w:proofErr w:type="spellEnd"/>
      <w:r w:rsidRPr="00734D3B">
        <w:t xml:space="preserve">. </w:t>
      </w:r>
      <w:proofErr w:type="spellStart"/>
      <w:r w:rsidRPr="00734D3B">
        <w:t>Ahrefs</w:t>
      </w:r>
      <w:proofErr w:type="spellEnd"/>
      <w:r w:rsidRPr="00734D3B">
        <w:t xml:space="preserve">. </w:t>
      </w:r>
      <w:hyperlink r:id="rId46" w:tgtFrame="_new" w:history="1">
        <w:r w:rsidRPr="00734D3B">
          <w:rPr>
            <w:rStyle w:val="Hyperlink"/>
            <w:color w:val="auto"/>
          </w:rPr>
          <w:t>https://ahrefs.com/writing-tools/sentence-rewriter</w:t>
        </w:r>
      </w:hyperlink>
    </w:p>
    <w:p w14:paraId="168355EF" w14:textId="77777777" w:rsidR="0020723C" w:rsidRPr="00734D3B" w:rsidRDefault="0020723C" w:rsidP="00970F69">
      <w:pPr>
        <w:ind w:left="720" w:hanging="720"/>
        <w:rPr>
          <w:lang w:val="en-US"/>
        </w:rPr>
      </w:pPr>
      <w:r w:rsidRPr="00734D3B">
        <w:rPr>
          <w:lang w:val="en-US"/>
        </w:rPr>
        <w:t xml:space="preserve">American Psychological Association. (2020). </w:t>
      </w:r>
      <w:r w:rsidRPr="00734D3B">
        <w:rPr>
          <w:i/>
          <w:iCs/>
          <w:lang w:val="en-US"/>
        </w:rPr>
        <w:t>Publication manual of the American Psychological Association</w:t>
      </w:r>
      <w:r w:rsidRPr="00734D3B">
        <w:rPr>
          <w:lang w:val="en-US"/>
        </w:rPr>
        <w:t xml:space="preserve"> (7th ed.). </w:t>
      </w:r>
      <w:r>
        <w:fldChar w:fldCharType="begin"/>
      </w:r>
      <w:r w:rsidRPr="0026787D">
        <w:rPr>
          <w:lang w:val="en-US"/>
        </w:rPr>
        <w:instrText>HYPERLINK "https://doi.org/10.1037/0000165-000" \t "_new"</w:instrText>
      </w:r>
      <w:r>
        <w:fldChar w:fldCharType="separate"/>
      </w:r>
      <w:r w:rsidRPr="00734D3B">
        <w:rPr>
          <w:rStyle w:val="Hyperlink"/>
          <w:color w:val="auto"/>
          <w:lang w:val="en-US"/>
        </w:rPr>
        <w:t>https://doi.org/10.1037/0000165-000</w:t>
      </w:r>
      <w:r>
        <w:fldChar w:fldCharType="end"/>
      </w:r>
    </w:p>
    <w:p w14:paraId="47847EC7" w14:textId="77777777" w:rsidR="0020723C" w:rsidRPr="00734D3B" w:rsidRDefault="0020723C" w:rsidP="00F7764F">
      <w:pPr>
        <w:ind w:left="720" w:hanging="720"/>
        <w:rPr>
          <w:lang w:val="en-US"/>
        </w:rPr>
      </w:pPr>
      <w:r w:rsidRPr="00734D3B">
        <w:rPr>
          <w:lang w:val="en-US"/>
        </w:rPr>
        <w:t xml:space="preserve">Arizona Department of Environmental Quality. (2024). </w:t>
      </w:r>
      <w:r w:rsidRPr="00734D3B">
        <w:rPr>
          <w:i/>
          <w:iCs/>
          <w:lang w:val="en-US"/>
        </w:rPr>
        <w:t>Construction dust control requirements</w:t>
      </w:r>
      <w:r w:rsidRPr="00734D3B">
        <w:rPr>
          <w:lang w:val="en-US"/>
        </w:rPr>
        <w:t xml:space="preserve"> [PDF]. </w:t>
      </w:r>
      <w:r>
        <w:fldChar w:fldCharType="begin"/>
      </w:r>
      <w:r w:rsidRPr="0026787D">
        <w:rPr>
          <w:lang w:val="en-US"/>
        </w:rPr>
        <w:instrText>HYPERLINK "https://static.azdeq.gov/mydeq/construction_dust.pdf" \t "_new"</w:instrText>
      </w:r>
      <w:r>
        <w:fldChar w:fldCharType="separate"/>
      </w:r>
      <w:r w:rsidRPr="00734D3B">
        <w:rPr>
          <w:lang w:val="en-US"/>
        </w:rPr>
        <w:t>https://static.azdeq.gov/mydeq/construction_dust.pdf</w:t>
      </w:r>
      <w:r>
        <w:fldChar w:fldCharType="end"/>
      </w:r>
    </w:p>
    <w:p w14:paraId="410060AD" w14:textId="77777777" w:rsidR="0020723C" w:rsidRPr="00734D3B" w:rsidRDefault="0020723C" w:rsidP="00F7764F">
      <w:pPr>
        <w:ind w:left="720" w:hanging="720"/>
        <w:rPr>
          <w:lang w:val="en-US"/>
        </w:rPr>
      </w:pPr>
      <w:r w:rsidRPr="00734D3B">
        <w:rPr>
          <w:lang w:val="en-US"/>
        </w:rPr>
        <w:t xml:space="preserve">Arizona Department of Environmental Quality. (2025, September 17). </w:t>
      </w:r>
      <w:r w:rsidRPr="00734D3B">
        <w:rPr>
          <w:i/>
          <w:iCs/>
          <w:lang w:val="en-US"/>
        </w:rPr>
        <w:t>Permit(s) needed for demolition and/or renovation activity</w:t>
      </w:r>
      <w:r w:rsidRPr="00734D3B">
        <w:rPr>
          <w:lang w:val="en-US"/>
        </w:rPr>
        <w:t xml:space="preserve">. </w:t>
      </w:r>
      <w:r>
        <w:fldChar w:fldCharType="begin"/>
      </w:r>
      <w:r w:rsidRPr="0026787D">
        <w:rPr>
          <w:lang w:val="en-US"/>
        </w:rPr>
        <w:instrText>HYPERLINK "https://azdeq.gov/permits-needed-demolition-andor-renovation-activity" \t "_new"</w:instrText>
      </w:r>
      <w:r>
        <w:fldChar w:fldCharType="separate"/>
      </w:r>
      <w:r w:rsidRPr="00734D3B">
        <w:rPr>
          <w:lang w:val="en-US"/>
        </w:rPr>
        <w:t>https://azdeq.gov/permits-needed-demolition-andor-renovation-activity</w:t>
      </w:r>
      <w:r>
        <w:fldChar w:fldCharType="end"/>
      </w:r>
    </w:p>
    <w:p w14:paraId="46899228" w14:textId="77777777" w:rsidR="0020723C" w:rsidRPr="00734D3B" w:rsidRDefault="0020723C" w:rsidP="00F7764F">
      <w:pPr>
        <w:ind w:left="720" w:hanging="720"/>
        <w:rPr>
          <w:lang w:val="en-US"/>
        </w:rPr>
      </w:pPr>
      <w:r w:rsidRPr="00734D3B">
        <w:rPr>
          <w:lang w:val="en-US"/>
        </w:rPr>
        <w:t xml:space="preserve">Associated Builders and Contractors. (2024). </w:t>
      </w:r>
      <w:r w:rsidRPr="00734D3B">
        <w:rPr>
          <w:i/>
          <w:iCs/>
          <w:lang w:val="en-US"/>
        </w:rPr>
        <w:t>Electrical contracting industry outlook 2024</w:t>
      </w:r>
      <w:r w:rsidRPr="00734D3B">
        <w:rPr>
          <w:lang w:val="en-US"/>
        </w:rPr>
        <w:t xml:space="preserve">. </w:t>
      </w:r>
      <w:r>
        <w:fldChar w:fldCharType="begin"/>
      </w:r>
      <w:r w:rsidRPr="0026787D">
        <w:rPr>
          <w:lang w:val="en-US"/>
        </w:rPr>
        <w:instrText>HYPERLINK "https://www.abc.org" \t "_new"</w:instrText>
      </w:r>
      <w:r>
        <w:fldChar w:fldCharType="separate"/>
      </w:r>
      <w:r w:rsidRPr="00734D3B">
        <w:rPr>
          <w:lang w:val="en-US"/>
        </w:rPr>
        <w:t>https://www.abc.org</w:t>
      </w:r>
      <w:r>
        <w:fldChar w:fldCharType="end"/>
      </w:r>
    </w:p>
    <w:p w14:paraId="26B8E30C" w14:textId="77777777" w:rsidR="0020723C" w:rsidRPr="00734D3B" w:rsidRDefault="0020723C" w:rsidP="00F7764F">
      <w:pPr>
        <w:ind w:left="720" w:hanging="720"/>
        <w:rPr>
          <w:lang w:val="en-US"/>
        </w:rPr>
      </w:pPr>
      <w:proofErr w:type="spellStart"/>
      <w:r w:rsidRPr="00734D3B">
        <w:rPr>
          <w:lang w:val="en-US"/>
        </w:rPr>
        <w:t>Blaxter</w:t>
      </w:r>
      <w:proofErr w:type="spellEnd"/>
      <w:r w:rsidRPr="00734D3B">
        <w:rPr>
          <w:lang w:val="en-US"/>
        </w:rPr>
        <w:t xml:space="preserve">, L., Hughes, C., &amp; Tight, M. (2010). </w:t>
      </w:r>
      <w:r w:rsidRPr="00734D3B">
        <w:rPr>
          <w:i/>
          <w:iCs/>
          <w:lang w:val="en-US"/>
        </w:rPr>
        <w:t>How to research</w:t>
      </w:r>
      <w:r w:rsidRPr="00734D3B">
        <w:rPr>
          <w:lang w:val="en-US"/>
        </w:rPr>
        <w:t xml:space="preserve"> (4th ed.). Open University Press.</w:t>
      </w:r>
    </w:p>
    <w:p w14:paraId="1DEB0706" w14:textId="77777777" w:rsidR="0020723C" w:rsidRPr="00734D3B" w:rsidRDefault="0020723C" w:rsidP="00F7764F">
      <w:pPr>
        <w:ind w:left="720" w:hanging="720"/>
      </w:pPr>
      <w:r w:rsidRPr="00734D3B">
        <w:rPr>
          <w:lang w:val="en-US"/>
        </w:rPr>
        <w:t>California Building Standards Commission. (2022). California Green Building Standards Code (</w:t>
      </w:r>
      <w:proofErr w:type="spellStart"/>
      <w:r w:rsidRPr="00734D3B">
        <w:rPr>
          <w:lang w:val="en-US"/>
        </w:rPr>
        <w:t>CALGreen</w:t>
      </w:r>
      <w:proofErr w:type="spellEnd"/>
      <w:r w:rsidRPr="00734D3B">
        <w:rPr>
          <w:lang w:val="en-US"/>
        </w:rPr>
        <w:t xml:space="preserve">), Part 11, Title 24, California Code of Regulations. </w:t>
      </w:r>
      <w:r>
        <w:fldChar w:fldCharType="begin"/>
      </w:r>
      <w:r w:rsidRPr="0026787D">
        <w:rPr>
          <w:lang w:val="en-US"/>
        </w:rPr>
        <w:instrText>HYPERLINK "https://www.dgs.ca.gov/BSC/CALGreen" \t "_new"</w:instrText>
      </w:r>
      <w:r>
        <w:fldChar w:fldCharType="separate"/>
      </w:r>
      <w:r w:rsidRPr="00734D3B">
        <w:t>https://www.dgs.ca.gov/BSC/CALGreen</w:t>
      </w:r>
      <w:r>
        <w:fldChar w:fldCharType="end"/>
      </w:r>
    </w:p>
    <w:p w14:paraId="5C79257A" w14:textId="77777777" w:rsidR="0020723C" w:rsidRPr="00734D3B" w:rsidRDefault="0020723C" w:rsidP="00315CA9">
      <w:pPr>
        <w:ind w:left="720" w:hanging="720"/>
      </w:pPr>
      <w:r w:rsidRPr="00734D3B">
        <w:t xml:space="preserve">Comisión Centroamericana de Ambiente y Desarrollo. (2015). </w:t>
      </w:r>
      <w:r w:rsidRPr="00734D3B">
        <w:rPr>
          <w:i/>
          <w:iCs/>
        </w:rPr>
        <w:t xml:space="preserve">Política Ambiental Regional Centroamericana </w:t>
      </w:r>
      <w:r w:rsidRPr="00734D3B">
        <w:t>(PARCA). Sistema de la Integración Centroamericana.https://www.sica.int/documentos/politica-ambiental-regional-centroamericana-parca_1_125227.html</w:t>
      </w:r>
    </w:p>
    <w:p w14:paraId="2E9FB148" w14:textId="77777777" w:rsidR="0020723C" w:rsidRPr="00734D3B" w:rsidRDefault="0020723C" w:rsidP="00315CA9">
      <w:pPr>
        <w:ind w:left="720" w:hanging="720"/>
      </w:pPr>
      <w:r w:rsidRPr="00734D3B">
        <w:t xml:space="preserve">Comisión Económica para América Latina y el Caribe. (2021). </w:t>
      </w:r>
      <w:r w:rsidRPr="00734D3B">
        <w:rPr>
          <w:i/>
          <w:iCs/>
        </w:rPr>
        <w:t>Evaluación de impacto ambiental en América Latina y el Caribe:</w:t>
      </w:r>
      <w:r w:rsidRPr="00734D3B">
        <w:t xml:space="preserve"> Avances, desafíos y oportunidades. CEPAL.https://www.cepal.org/es/publicaciones/46642-evaluacion-impacto-ambiental-america-latina-caribe-avances-desafios</w:t>
      </w:r>
    </w:p>
    <w:p w14:paraId="3F60E994" w14:textId="77777777" w:rsidR="0020723C" w:rsidRPr="00734D3B" w:rsidRDefault="0020723C" w:rsidP="00F7764F">
      <w:pPr>
        <w:ind w:left="720" w:hanging="720"/>
        <w:rPr>
          <w:lang w:val="en-US"/>
        </w:rPr>
      </w:pPr>
      <w:r w:rsidRPr="00734D3B">
        <w:rPr>
          <w:lang w:val="en-US"/>
        </w:rPr>
        <w:lastRenderedPageBreak/>
        <w:t xml:space="preserve">Environmental Protection Agency. (2022). </w:t>
      </w:r>
      <w:r w:rsidRPr="00734D3B">
        <w:rPr>
          <w:i/>
          <w:iCs/>
          <w:lang w:val="en-US"/>
        </w:rPr>
        <w:t xml:space="preserve">Sustainable data center design and operation guidelines. </w:t>
      </w:r>
      <w:r w:rsidRPr="00734D3B">
        <w:rPr>
          <w:lang w:val="en-US"/>
        </w:rPr>
        <w:t>United States Environmental Protection Agency (EPA).</w:t>
      </w:r>
    </w:p>
    <w:p w14:paraId="03EDA51E" w14:textId="77777777" w:rsidR="0020723C" w:rsidRPr="00734D3B" w:rsidRDefault="0020723C" w:rsidP="00F7764F">
      <w:pPr>
        <w:ind w:left="720" w:hanging="720"/>
        <w:rPr>
          <w:lang w:val="en-US"/>
        </w:rPr>
      </w:pPr>
      <w:r w:rsidRPr="00734D3B">
        <w:rPr>
          <w:lang w:val="en-US"/>
        </w:rPr>
        <w:t xml:space="preserve">Environmental Protection Agency. (2025, January 16). </w:t>
      </w:r>
      <w:r w:rsidRPr="00734D3B">
        <w:rPr>
          <w:i/>
          <w:iCs/>
          <w:lang w:val="en-US"/>
        </w:rPr>
        <w:t>Sustainable management of construction and demolition materials</w:t>
      </w:r>
      <w:r w:rsidRPr="00734D3B">
        <w:rPr>
          <w:lang w:val="en-US"/>
        </w:rPr>
        <w:t xml:space="preserve">. </w:t>
      </w:r>
      <w:r>
        <w:fldChar w:fldCharType="begin"/>
      </w:r>
      <w:r w:rsidRPr="0026787D">
        <w:rPr>
          <w:lang w:val="en-US"/>
        </w:rPr>
        <w:instrText>HYPERLINK "https://www.epa.gov/smm" \t "_new"</w:instrText>
      </w:r>
      <w:r>
        <w:fldChar w:fldCharType="separate"/>
      </w:r>
      <w:r w:rsidRPr="00734D3B">
        <w:rPr>
          <w:lang w:val="en-US"/>
        </w:rPr>
        <w:t>https://www.epa.gov/smm</w:t>
      </w:r>
      <w:r>
        <w:fldChar w:fldCharType="end"/>
      </w:r>
    </w:p>
    <w:p w14:paraId="4EE414EA" w14:textId="77777777" w:rsidR="0020723C" w:rsidRPr="00734D3B" w:rsidRDefault="0020723C" w:rsidP="00315CA9">
      <w:pPr>
        <w:ind w:left="720" w:hanging="720"/>
        <w:rPr>
          <w:lang w:val="en-US"/>
        </w:rPr>
      </w:pPr>
      <w:r w:rsidRPr="00734D3B">
        <w:rPr>
          <w:lang w:val="en-US"/>
        </w:rPr>
        <w:t xml:space="preserve">European Commission. (2018). </w:t>
      </w:r>
      <w:r w:rsidRPr="00734D3B">
        <w:rPr>
          <w:i/>
          <w:iCs/>
          <w:lang w:val="en-US"/>
        </w:rPr>
        <w:t>Environmental impact assessment of projects: Guidance on the preparation of the environmental impact assessment report</w:t>
      </w:r>
      <w:r w:rsidRPr="00734D3B">
        <w:rPr>
          <w:lang w:val="en-US"/>
        </w:rPr>
        <w:t xml:space="preserve"> (Directive 2011/92/EU as amended by 2014/52/EU). </w:t>
      </w:r>
      <w:r w:rsidRPr="00734D3B">
        <w:rPr>
          <w:i/>
          <w:iCs/>
          <w:lang w:val="en-US"/>
        </w:rPr>
        <w:t>Publications Office of the European Union.</w:t>
      </w:r>
      <w:r w:rsidRPr="00734D3B">
        <w:rPr>
          <w:lang w:val="en-US"/>
        </w:rPr>
        <w:t>https://environment.ec.europa.eu/topics/environmental-assessment/environmental-impact-assessment_en</w:t>
      </w:r>
    </w:p>
    <w:p w14:paraId="1F032482" w14:textId="77777777" w:rsidR="0020723C" w:rsidRPr="00734D3B" w:rsidRDefault="0020723C" w:rsidP="00F7764F">
      <w:pPr>
        <w:ind w:left="720" w:hanging="720"/>
      </w:pPr>
      <w:r w:rsidRPr="00734D3B">
        <w:rPr>
          <w:lang w:val="en-US"/>
        </w:rPr>
        <w:t xml:space="preserve">Geissdoerfer, M., </w:t>
      </w:r>
      <w:proofErr w:type="spellStart"/>
      <w:r w:rsidRPr="00734D3B">
        <w:rPr>
          <w:lang w:val="en-US"/>
        </w:rPr>
        <w:t>Savaget</w:t>
      </w:r>
      <w:proofErr w:type="spellEnd"/>
      <w:r w:rsidRPr="00734D3B">
        <w:rPr>
          <w:lang w:val="en-US"/>
        </w:rPr>
        <w:t xml:space="preserve">, P., Bocken, N. M. P., &amp; </w:t>
      </w:r>
      <w:proofErr w:type="spellStart"/>
      <w:r w:rsidRPr="00734D3B">
        <w:rPr>
          <w:lang w:val="en-US"/>
        </w:rPr>
        <w:t>Hultink</w:t>
      </w:r>
      <w:proofErr w:type="spellEnd"/>
      <w:r w:rsidRPr="00734D3B">
        <w:rPr>
          <w:lang w:val="en-US"/>
        </w:rPr>
        <w:t xml:space="preserve">, E. J. (2017). </w:t>
      </w:r>
      <w:r w:rsidRPr="00734D3B">
        <w:rPr>
          <w:i/>
          <w:iCs/>
          <w:lang w:val="en-US"/>
        </w:rPr>
        <w:t>The circular economy - A new sustainability paradigm?</w:t>
      </w:r>
      <w:r w:rsidRPr="00734D3B">
        <w:rPr>
          <w:lang w:val="en-US"/>
        </w:rPr>
        <w:t xml:space="preserve"> Journal of Cleaner Production, 143, 757-768. </w:t>
      </w:r>
      <w:r>
        <w:fldChar w:fldCharType="begin"/>
      </w:r>
      <w:r w:rsidRPr="0026787D">
        <w:rPr>
          <w:lang w:val="en-US"/>
        </w:rPr>
        <w:instrText>HYPERLINK "https://doi.org/10.1016/j.jclepro.2016.12.048" \t "_new"</w:instrText>
      </w:r>
      <w:r>
        <w:fldChar w:fldCharType="separate"/>
      </w:r>
      <w:r w:rsidRPr="00734D3B">
        <w:t>https://doi.org/10.1016/j.jclepro.2016.12.048</w:t>
      </w:r>
      <w:r>
        <w:fldChar w:fldCharType="end"/>
      </w:r>
    </w:p>
    <w:p w14:paraId="569C5E5A" w14:textId="77777777" w:rsidR="0020723C" w:rsidRPr="00734D3B" w:rsidRDefault="0020723C" w:rsidP="00F7764F">
      <w:pPr>
        <w:ind w:left="720" w:hanging="720"/>
        <w:rPr>
          <w:lang w:val="en-US"/>
        </w:rPr>
      </w:pPr>
      <w:r w:rsidRPr="00734D3B">
        <w:t xml:space="preserve">Gómez, M., &amp; Ortiz, P. (2021). </w:t>
      </w:r>
      <w:r w:rsidRPr="00734D3B">
        <w:rPr>
          <w:i/>
          <w:iCs/>
        </w:rPr>
        <w:t>Técnicas de investigación social y educativa</w:t>
      </w:r>
      <w:r w:rsidRPr="00734D3B">
        <w:t xml:space="preserve">. </w:t>
      </w:r>
      <w:r w:rsidRPr="00734D3B">
        <w:rPr>
          <w:lang w:val="en-US"/>
        </w:rPr>
        <w:t xml:space="preserve">Editorial </w:t>
      </w:r>
      <w:proofErr w:type="spellStart"/>
      <w:r w:rsidRPr="00734D3B">
        <w:rPr>
          <w:lang w:val="en-US"/>
        </w:rPr>
        <w:t>Síntesis</w:t>
      </w:r>
      <w:proofErr w:type="spellEnd"/>
      <w:r w:rsidRPr="00734D3B">
        <w:rPr>
          <w:lang w:val="en-US"/>
        </w:rPr>
        <w:t>.</w:t>
      </w:r>
    </w:p>
    <w:p w14:paraId="47DC7557" w14:textId="77777777" w:rsidR="0020723C" w:rsidRPr="00734D3B" w:rsidRDefault="0020723C" w:rsidP="00F7764F">
      <w:pPr>
        <w:ind w:left="720" w:hanging="720"/>
        <w:rPr>
          <w:lang w:val="en-US"/>
        </w:rPr>
      </w:pPr>
      <w:r w:rsidRPr="00734D3B">
        <w:rPr>
          <w:lang w:val="en-US"/>
        </w:rPr>
        <w:t xml:space="preserve">Google LLC. (2025). </w:t>
      </w:r>
      <w:r w:rsidRPr="00734D3B">
        <w:rPr>
          <w:i/>
          <w:iCs/>
          <w:lang w:val="en-US"/>
        </w:rPr>
        <w:t>Operating sustainably</w:t>
      </w:r>
      <w:r w:rsidRPr="00734D3B">
        <w:rPr>
          <w:lang w:val="en-US"/>
        </w:rPr>
        <w:t xml:space="preserve"> (data centers). </w:t>
      </w:r>
      <w:r>
        <w:fldChar w:fldCharType="begin"/>
      </w:r>
      <w:r w:rsidRPr="0026787D">
        <w:rPr>
          <w:lang w:val="en-US"/>
        </w:rPr>
        <w:instrText>HYPERLINK "https://datacenters.google/operating-sustainably" \t "_new"</w:instrText>
      </w:r>
      <w:r>
        <w:fldChar w:fldCharType="separate"/>
      </w:r>
      <w:r w:rsidRPr="00734D3B">
        <w:rPr>
          <w:lang w:val="en-US"/>
        </w:rPr>
        <w:t>https://datacenters.google/operating-sustainably</w:t>
      </w:r>
      <w:r>
        <w:fldChar w:fldCharType="end"/>
      </w:r>
    </w:p>
    <w:p w14:paraId="6F8E71DB" w14:textId="77777777" w:rsidR="0020723C" w:rsidRPr="00734D3B" w:rsidRDefault="0020723C" w:rsidP="00F7764F">
      <w:pPr>
        <w:ind w:left="720" w:hanging="720"/>
        <w:rPr>
          <w:lang w:val="en-US"/>
        </w:rPr>
      </w:pPr>
      <w:r w:rsidRPr="00734D3B">
        <w:rPr>
          <w:lang w:val="en-US"/>
        </w:rPr>
        <w:t>GPM Global. (2021</w:t>
      </w:r>
      <w:r w:rsidRPr="00734D3B">
        <w:rPr>
          <w:i/>
          <w:iCs/>
          <w:lang w:val="en-US"/>
        </w:rPr>
        <w:t>). The P5 Standard for Sustainability in Project Management</w:t>
      </w:r>
      <w:r w:rsidRPr="00734D3B">
        <w:rPr>
          <w:lang w:val="en-US"/>
        </w:rPr>
        <w:t xml:space="preserve"> (7th ed.). Green Project Management.</w:t>
      </w:r>
    </w:p>
    <w:p w14:paraId="46B2C3F0" w14:textId="77777777" w:rsidR="0020723C" w:rsidRPr="00734D3B" w:rsidRDefault="0020723C" w:rsidP="00F7764F">
      <w:pPr>
        <w:ind w:left="720" w:hanging="720"/>
        <w:rPr>
          <w:lang w:val="en-US"/>
        </w:rPr>
      </w:pPr>
      <w:r w:rsidRPr="00734D3B">
        <w:rPr>
          <w:lang w:val="en-US"/>
        </w:rPr>
        <w:t xml:space="preserve">Greater Phoenix Economic Council. (2024). </w:t>
      </w:r>
      <w:r w:rsidRPr="00734D3B">
        <w:rPr>
          <w:i/>
          <w:iCs/>
          <w:lang w:val="en-US"/>
        </w:rPr>
        <w:t>Data center growth and economic impact in Arizona</w:t>
      </w:r>
      <w:r w:rsidRPr="00734D3B">
        <w:rPr>
          <w:lang w:val="en-US"/>
        </w:rPr>
        <w:t xml:space="preserve">. </w:t>
      </w:r>
      <w:r>
        <w:fldChar w:fldCharType="begin"/>
      </w:r>
      <w:r w:rsidRPr="0026787D">
        <w:rPr>
          <w:lang w:val="en-US"/>
        </w:rPr>
        <w:instrText>HYPERLINK "https://www.gpec.org" \t "_new"</w:instrText>
      </w:r>
      <w:r>
        <w:fldChar w:fldCharType="separate"/>
      </w:r>
      <w:r w:rsidRPr="00734D3B">
        <w:rPr>
          <w:lang w:val="en-US"/>
        </w:rPr>
        <w:t>https://www.gpec.org</w:t>
      </w:r>
      <w:r>
        <w:fldChar w:fldCharType="end"/>
      </w:r>
    </w:p>
    <w:p w14:paraId="53139EE2" w14:textId="77777777" w:rsidR="0020723C" w:rsidRPr="00734D3B" w:rsidRDefault="0020723C" w:rsidP="00F7764F">
      <w:pPr>
        <w:ind w:left="720" w:hanging="720"/>
        <w:rPr>
          <w:lang w:val="en-US"/>
        </w:rPr>
      </w:pPr>
      <w:r w:rsidRPr="00734D3B">
        <w:rPr>
          <w:lang w:val="en-US"/>
        </w:rPr>
        <w:t xml:space="preserve">Hill, C., &amp; Jones, G. (2012). </w:t>
      </w:r>
      <w:r w:rsidRPr="00734D3B">
        <w:rPr>
          <w:i/>
          <w:iCs/>
          <w:lang w:val="en-US"/>
        </w:rPr>
        <w:t>Strategic management theory: An integrated approach</w:t>
      </w:r>
      <w:r w:rsidRPr="00734D3B">
        <w:rPr>
          <w:lang w:val="en-US"/>
        </w:rPr>
        <w:t xml:space="preserve"> (10th ed.). Cengage Learning.</w:t>
      </w:r>
    </w:p>
    <w:p w14:paraId="32C335FE" w14:textId="77777777" w:rsidR="0020723C" w:rsidRPr="00734D3B" w:rsidRDefault="0020723C" w:rsidP="00F7764F">
      <w:pPr>
        <w:ind w:left="720" w:hanging="720"/>
      </w:pPr>
      <w:r w:rsidRPr="00734D3B">
        <w:rPr>
          <w:lang w:val="en-US"/>
        </w:rPr>
        <w:t xml:space="preserve">International Energy Agency. (2023). </w:t>
      </w:r>
      <w:r w:rsidRPr="00734D3B">
        <w:rPr>
          <w:i/>
          <w:iCs/>
          <w:lang w:val="en-US"/>
        </w:rPr>
        <w:t xml:space="preserve">Data </w:t>
      </w:r>
      <w:proofErr w:type="spellStart"/>
      <w:r w:rsidRPr="00734D3B">
        <w:rPr>
          <w:i/>
          <w:iCs/>
          <w:lang w:val="en-US"/>
        </w:rPr>
        <w:t>centres</w:t>
      </w:r>
      <w:proofErr w:type="spellEnd"/>
      <w:r w:rsidRPr="00734D3B">
        <w:rPr>
          <w:i/>
          <w:iCs/>
          <w:lang w:val="en-US"/>
        </w:rPr>
        <w:t xml:space="preserve"> and data transmission </w:t>
      </w:r>
      <w:proofErr w:type="spellStart"/>
      <w:proofErr w:type="gramStart"/>
      <w:r w:rsidRPr="00734D3B">
        <w:rPr>
          <w:i/>
          <w:iCs/>
          <w:lang w:val="en-US"/>
        </w:rPr>
        <w:t>networks</w:t>
      </w:r>
      <w:r w:rsidRPr="00734D3B">
        <w:rPr>
          <w:lang w:val="en-US"/>
        </w:rPr>
        <w:t>.International</w:t>
      </w:r>
      <w:proofErr w:type="spellEnd"/>
      <w:proofErr w:type="gramEnd"/>
      <w:r w:rsidRPr="00734D3B">
        <w:rPr>
          <w:lang w:val="en-US"/>
        </w:rPr>
        <w:t xml:space="preserve"> Energy Agency (IEA). </w:t>
      </w:r>
      <w:hyperlink r:id="rId47" w:tgtFrame="_new" w:history="1">
        <w:r w:rsidRPr="00734D3B">
          <w:t>https://www.iea.org/reports/data-centres-and-data-transmission-networks</w:t>
        </w:r>
      </w:hyperlink>
    </w:p>
    <w:p w14:paraId="05FB2EB6" w14:textId="77777777" w:rsidR="0020723C" w:rsidRPr="00734D3B" w:rsidRDefault="0020723C" w:rsidP="00315CA9">
      <w:pPr>
        <w:ind w:left="720" w:hanging="720"/>
        <w:rPr>
          <w:lang w:val="en-US"/>
        </w:rPr>
      </w:pPr>
      <w:r w:rsidRPr="00734D3B">
        <w:rPr>
          <w:lang w:val="en-US"/>
        </w:rPr>
        <w:lastRenderedPageBreak/>
        <w:t xml:space="preserve">International Finance Corporation. (2012). </w:t>
      </w:r>
      <w:r w:rsidRPr="00734D3B">
        <w:rPr>
          <w:i/>
          <w:iCs/>
          <w:lang w:val="en-US"/>
        </w:rPr>
        <w:t>Performance standards on environmental and social sustainability.</w:t>
      </w:r>
      <w:r w:rsidRPr="00734D3B">
        <w:rPr>
          <w:lang w:val="en-US"/>
        </w:rPr>
        <w:t xml:space="preserve"> World Bank Group.</w:t>
      </w:r>
    </w:p>
    <w:p w14:paraId="103BC301" w14:textId="77777777" w:rsidR="0020723C" w:rsidRPr="00734D3B" w:rsidRDefault="0020723C" w:rsidP="00315CA9">
      <w:pPr>
        <w:ind w:left="720" w:hanging="720"/>
        <w:rPr>
          <w:lang w:val="en-US"/>
        </w:rPr>
      </w:pPr>
      <w:r w:rsidRPr="00734D3B">
        <w:rPr>
          <w:lang w:val="en-US"/>
        </w:rPr>
        <w:t>International Organization for Standardization. (2015</w:t>
      </w:r>
      <w:r w:rsidRPr="00734D3B">
        <w:rPr>
          <w:i/>
          <w:iCs/>
          <w:lang w:val="en-US"/>
        </w:rPr>
        <w:t>). ISO 14001:2015: Environmental management systems — Requirements with guidance for use</w:t>
      </w:r>
      <w:r w:rsidRPr="00734D3B">
        <w:rPr>
          <w:lang w:val="en-US"/>
        </w:rPr>
        <w:t xml:space="preserve">. </w:t>
      </w:r>
      <w:proofErr w:type="spellStart"/>
      <w:r w:rsidRPr="00734D3B">
        <w:rPr>
          <w:lang w:val="en-US"/>
        </w:rPr>
        <w:t>ISO.https</w:t>
      </w:r>
      <w:proofErr w:type="spellEnd"/>
      <w:r w:rsidRPr="00734D3B">
        <w:rPr>
          <w:lang w:val="en-US"/>
        </w:rPr>
        <w:t>://www.iso.org/standard/60857.html</w:t>
      </w:r>
    </w:p>
    <w:p w14:paraId="5FB4AA65" w14:textId="77777777" w:rsidR="0020723C" w:rsidRPr="00734D3B" w:rsidRDefault="0020723C" w:rsidP="00F7764F">
      <w:pPr>
        <w:ind w:left="720" w:hanging="720"/>
        <w:rPr>
          <w:lang w:val="en-US"/>
        </w:rPr>
      </w:pPr>
      <w:r w:rsidRPr="00734D3B">
        <w:rPr>
          <w:lang w:val="en-US"/>
        </w:rPr>
        <w:t xml:space="preserve">Kaplan, R. S., &amp; Norton, D. P. (2008). </w:t>
      </w:r>
      <w:r w:rsidRPr="00734D3B">
        <w:rPr>
          <w:i/>
          <w:iCs/>
          <w:lang w:val="en-US"/>
        </w:rPr>
        <w:t>The execution premium: Linking strategy to operations for competitive advantage.</w:t>
      </w:r>
      <w:r w:rsidRPr="00734D3B">
        <w:rPr>
          <w:lang w:val="en-US"/>
        </w:rPr>
        <w:t xml:space="preserve"> Harvard Business Press.</w:t>
      </w:r>
    </w:p>
    <w:p w14:paraId="30F9C4E7" w14:textId="77777777" w:rsidR="0020723C" w:rsidRPr="00734D3B" w:rsidRDefault="0020723C" w:rsidP="00F7764F">
      <w:pPr>
        <w:ind w:left="720" w:hanging="720"/>
        <w:rPr>
          <w:lang w:val="en-US"/>
        </w:rPr>
      </w:pPr>
      <w:r w:rsidRPr="00734D3B">
        <w:rPr>
          <w:lang w:val="en-US"/>
        </w:rPr>
        <w:t xml:space="preserve">Kerzner, H. (2022). </w:t>
      </w:r>
      <w:r w:rsidRPr="00734D3B">
        <w:rPr>
          <w:i/>
          <w:iCs/>
          <w:lang w:val="en-US"/>
        </w:rPr>
        <w:t>Project management: A systems approach to planning, scheduling, and controlling</w:t>
      </w:r>
      <w:r w:rsidRPr="00734D3B">
        <w:rPr>
          <w:lang w:val="en-US"/>
        </w:rPr>
        <w:t xml:space="preserve"> (13th ed.). Wiley.</w:t>
      </w:r>
    </w:p>
    <w:p w14:paraId="79038E15" w14:textId="77777777" w:rsidR="0020723C" w:rsidRPr="00734D3B" w:rsidRDefault="0020723C" w:rsidP="00790714">
      <w:pPr>
        <w:ind w:left="720" w:hanging="720"/>
        <w:rPr>
          <w:lang w:val="en-US"/>
        </w:rPr>
      </w:pPr>
      <w:r w:rsidRPr="00734D3B">
        <w:rPr>
          <w:lang w:val="en-US"/>
        </w:rPr>
        <w:t xml:space="preserve">Kotler, P., &amp; Armstrong, G. (2021). </w:t>
      </w:r>
      <w:r w:rsidRPr="00734D3B">
        <w:rPr>
          <w:i/>
          <w:iCs/>
          <w:lang w:val="en-US"/>
        </w:rPr>
        <w:t>Principles of Marketing</w:t>
      </w:r>
      <w:r w:rsidRPr="00734D3B">
        <w:rPr>
          <w:lang w:val="en-US"/>
        </w:rPr>
        <w:t xml:space="preserve"> (18th ed.). Pearson.</w:t>
      </w:r>
    </w:p>
    <w:p w14:paraId="186EB65D" w14:textId="420A69FC" w:rsidR="0020723C" w:rsidRPr="00734D3B" w:rsidRDefault="0020723C" w:rsidP="00F7764F">
      <w:pPr>
        <w:ind w:left="720" w:hanging="720"/>
        <w:rPr>
          <w:lang w:val="en-US"/>
        </w:rPr>
      </w:pPr>
      <w:r w:rsidRPr="00734D3B">
        <w:rPr>
          <w:lang w:val="en-US"/>
        </w:rPr>
        <w:t xml:space="preserve">Mang, P., &amp; Reed, B. (2012). </w:t>
      </w:r>
      <w:r w:rsidRPr="00734D3B">
        <w:rPr>
          <w:i/>
          <w:iCs/>
          <w:lang w:val="en-US"/>
        </w:rPr>
        <w:t xml:space="preserve">Designing for regeneration: Sustainable development, regenerative </w:t>
      </w:r>
      <w:r w:rsidR="00845594" w:rsidRPr="00734D3B">
        <w:rPr>
          <w:i/>
          <w:iCs/>
          <w:lang w:val="en-US"/>
        </w:rPr>
        <w:t>development,</w:t>
      </w:r>
      <w:r w:rsidRPr="00734D3B">
        <w:rPr>
          <w:i/>
          <w:iCs/>
          <w:lang w:val="en-US"/>
        </w:rPr>
        <w:t xml:space="preserve"> and the evolution of sustainability.</w:t>
      </w:r>
      <w:r w:rsidRPr="00734D3B">
        <w:rPr>
          <w:lang w:val="en-US"/>
        </w:rPr>
        <w:t xml:space="preserve"> Building Research &amp; Information, 40(1), 7-14. </w:t>
      </w:r>
      <w:r>
        <w:fldChar w:fldCharType="begin"/>
      </w:r>
      <w:r w:rsidRPr="0026787D">
        <w:rPr>
          <w:lang w:val="en-US"/>
        </w:rPr>
        <w:instrText>HYPERLINK "https://doi.org/10.1080/09613218.2012.632632" \t "_new"</w:instrText>
      </w:r>
      <w:r>
        <w:fldChar w:fldCharType="separate"/>
      </w:r>
      <w:r w:rsidRPr="00734D3B">
        <w:rPr>
          <w:lang w:val="en-US"/>
        </w:rPr>
        <w:t>https://doi.org/10.1080/09613218.2012.632632</w:t>
      </w:r>
      <w:r>
        <w:fldChar w:fldCharType="end"/>
      </w:r>
    </w:p>
    <w:p w14:paraId="6A56D5A4" w14:textId="77777777" w:rsidR="0020723C" w:rsidRPr="00AB7CA2" w:rsidRDefault="0020723C" w:rsidP="00F7764F">
      <w:pPr>
        <w:ind w:left="720" w:hanging="720"/>
      </w:pPr>
      <w:r w:rsidRPr="00734D3B">
        <w:rPr>
          <w:lang w:val="en-US"/>
        </w:rPr>
        <w:t xml:space="preserve">Meta Platforms, Inc. (2025). </w:t>
      </w:r>
      <w:r w:rsidRPr="00734D3B">
        <w:rPr>
          <w:i/>
          <w:iCs/>
          <w:lang w:val="en-US"/>
        </w:rPr>
        <w:t>2025 sustainability report</w:t>
      </w:r>
      <w:r w:rsidRPr="00734D3B">
        <w:rPr>
          <w:lang w:val="en-US"/>
        </w:rPr>
        <w:t xml:space="preserve">. </w:t>
      </w:r>
      <w:r>
        <w:fldChar w:fldCharType="begin"/>
      </w:r>
      <w:r w:rsidRPr="0026787D">
        <w:rPr>
          <w:lang w:val="en-US"/>
        </w:rPr>
        <w:instrText>HYPERLINK "https://sustainability.atmeta.com" \t "_new"</w:instrText>
      </w:r>
      <w:r>
        <w:fldChar w:fldCharType="separate"/>
      </w:r>
      <w:r w:rsidRPr="00AB7CA2">
        <w:t>https://sustainability.atmeta.com</w:t>
      </w:r>
      <w:r>
        <w:fldChar w:fldCharType="end"/>
      </w:r>
    </w:p>
    <w:p w14:paraId="204ED5D6" w14:textId="77777777" w:rsidR="0020723C" w:rsidRPr="00734D3B" w:rsidRDefault="0020723C" w:rsidP="00610FCF">
      <w:pPr>
        <w:ind w:left="720" w:hanging="720"/>
      </w:pPr>
      <w:r w:rsidRPr="00734D3B">
        <w:t>Ministerio de Salud de Costa Rica. (2025). Estrategia nacional para la gestión integral de residuos electrónicos.</w:t>
      </w:r>
    </w:p>
    <w:p w14:paraId="0B6E43BE" w14:textId="77777777" w:rsidR="0020723C" w:rsidRPr="00734D3B" w:rsidRDefault="0020723C" w:rsidP="00F7764F">
      <w:pPr>
        <w:ind w:left="720" w:hanging="720"/>
        <w:rPr>
          <w:lang w:val="en-US"/>
        </w:rPr>
      </w:pPr>
      <w:r w:rsidRPr="00734D3B">
        <w:rPr>
          <w:lang w:val="en-US"/>
        </w:rPr>
        <w:t xml:space="preserve">Mintzberg, H. (2000). </w:t>
      </w:r>
      <w:r w:rsidRPr="00734D3B">
        <w:rPr>
          <w:i/>
          <w:iCs/>
          <w:lang w:val="en-US"/>
        </w:rPr>
        <w:t>The rise and fall of strategic planning</w:t>
      </w:r>
      <w:r w:rsidRPr="00734D3B">
        <w:rPr>
          <w:lang w:val="en-US"/>
        </w:rPr>
        <w:t>. Free Press.</w:t>
      </w:r>
    </w:p>
    <w:p w14:paraId="20299110" w14:textId="77777777" w:rsidR="0020723C" w:rsidRPr="00734D3B" w:rsidRDefault="0020723C" w:rsidP="00F7764F">
      <w:pPr>
        <w:ind w:left="720" w:hanging="720"/>
        <w:rPr>
          <w:lang w:val="en-US"/>
        </w:rPr>
      </w:pPr>
      <w:r w:rsidRPr="00734D3B">
        <w:rPr>
          <w:lang w:val="en-US"/>
        </w:rPr>
        <w:t xml:space="preserve">Modular Building Institute. (2024). </w:t>
      </w:r>
      <w:r w:rsidRPr="00734D3B">
        <w:rPr>
          <w:i/>
          <w:iCs/>
          <w:lang w:val="en-US"/>
        </w:rPr>
        <w:t>Comparative study of waste reduction practices in construction</w:t>
      </w:r>
      <w:r w:rsidRPr="00734D3B">
        <w:rPr>
          <w:lang w:val="en-US"/>
        </w:rPr>
        <w:t xml:space="preserve">. </w:t>
      </w:r>
      <w:r>
        <w:fldChar w:fldCharType="begin"/>
      </w:r>
      <w:r w:rsidRPr="0026787D">
        <w:rPr>
          <w:lang w:val="en-US"/>
        </w:rPr>
        <w:instrText>HYPERLINK "https://mbimodularbuildinginstitute.growthzoneapp.com" \t "_new"</w:instrText>
      </w:r>
      <w:r>
        <w:fldChar w:fldCharType="separate"/>
      </w:r>
      <w:r w:rsidRPr="00734D3B">
        <w:rPr>
          <w:lang w:val="en-US"/>
        </w:rPr>
        <w:t>https://mbimodularbuildinginstitute.growthzoneapp.com</w:t>
      </w:r>
      <w:r>
        <w:fldChar w:fldCharType="end"/>
      </w:r>
    </w:p>
    <w:p w14:paraId="75AEDFC3" w14:textId="77777777" w:rsidR="0020723C" w:rsidRPr="00734D3B" w:rsidRDefault="0020723C" w:rsidP="00EC7B37">
      <w:pPr>
        <w:ind w:left="720" w:hanging="720"/>
        <w:rPr>
          <w:i/>
          <w:iCs/>
          <w:lang w:val="en-US"/>
        </w:rPr>
      </w:pPr>
      <w:r w:rsidRPr="00734D3B">
        <w:rPr>
          <w:lang w:val="en-US"/>
        </w:rPr>
        <w:t xml:space="preserve">Moheb-Alizadeh, H., et al. (2023). </w:t>
      </w:r>
      <w:r w:rsidRPr="00734D3B">
        <w:rPr>
          <w:i/>
          <w:iCs/>
          <w:lang w:val="en-US"/>
        </w:rPr>
        <w:t>Reverse logistics network design for e-waste management systems.</w:t>
      </w:r>
    </w:p>
    <w:p w14:paraId="50CB2A95" w14:textId="77777777" w:rsidR="0020723C" w:rsidRPr="00734D3B" w:rsidRDefault="0020723C" w:rsidP="00F7764F">
      <w:pPr>
        <w:ind w:left="720" w:hanging="720"/>
        <w:rPr>
          <w:lang w:val="en-US"/>
        </w:rPr>
      </w:pPr>
      <w:r w:rsidRPr="00734D3B">
        <w:rPr>
          <w:lang w:val="en-US"/>
        </w:rPr>
        <w:t xml:space="preserve">Murray, A., Skene, K., &amp; Haynes, K. (2017). The circular economy: An interdisciplinary exploration of the concept and application in a global context. </w:t>
      </w:r>
      <w:r w:rsidRPr="00734D3B">
        <w:rPr>
          <w:i/>
          <w:iCs/>
          <w:lang w:val="en-US"/>
        </w:rPr>
        <w:t>Journal of Business Ethics</w:t>
      </w:r>
      <w:r w:rsidRPr="00734D3B">
        <w:rPr>
          <w:lang w:val="en-US"/>
        </w:rPr>
        <w:t xml:space="preserve">, 140(3), 369-380. </w:t>
      </w:r>
      <w:r>
        <w:fldChar w:fldCharType="begin"/>
      </w:r>
      <w:r w:rsidRPr="0026787D">
        <w:rPr>
          <w:lang w:val="en-US"/>
        </w:rPr>
        <w:instrText>HYPERLINK "https://doi.org/10.1007/s10551-015-2693-2" \t "_new"</w:instrText>
      </w:r>
      <w:r>
        <w:fldChar w:fldCharType="separate"/>
      </w:r>
      <w:r w:rsidRPr="00734D3B">
        <w:rPr>
          <w:lang w:val="en-US"/>
        </w:rPr>
        <w:t>https://doi.org/10.1007/s10551-015-2693-2</w:t>
      </w:r>
      <w:r>
        <w:fldChar w:fldCharType="end"/>
      </w:r>
    </w:p>
    <w:p w14:paraId="1D2D81F4" w14:textId="77777777" w:rsidR="0020723C" w:rsidRPr="00734D3B" w:rsidRDefault="0020723C" w:rsidP="00F7764F">
      <w:pPr>
        <w:ind w:left="720" w:hanging="720"/>
      </w:pPr>
      <w:proofErr w:type="spellStart"/>
      <w:r w:rsidRPr="00734D3B">
        <w:rPr>
          <w:lang w:val="en-US"/>
        </w:rPr>
        <w:lastRenderedPageBreak/>
        <w:t>Naciones</w:t>
      </w:r>
      <w:proofErr w:type="spellEnd"/>
      <w:r w:rsidRPr="00734D3B">
        <w:rPr>
          <w:lang w:val="en-US"/>
        </w:rPr>
        <w:t xml:space="preserve"> Unidas. </w:t>
      </w:r>
      <w:r w:rsidRPr="00734D3B">
        <w:t xml:space="preserve">(2015). </w:t>
      </w:r>
      <w:r w:rsidRPr="00734D3B">
        <w:rPr>
          <w:i/>
          <w:iCs/>
        </w:rPr>
        <w:t>Transformar nuestro mundo: la Agenda 2030 para el Desarrollo Sostenible. Organización de las Naciones Unidas</w:t>
      </w:r>
      <w:r w:rsidRPr="00734D3B">
        <w:t xml:space="preserve">. </w:t>
      </w:r>
      <w:hyperlink r:id="rId48" w:tgtFrame="_new" w:history="1">
        <w:r w:rsidRPr="00734D3B">
          <w:t>https://sdgs.un.org/es/goals</w:t>
        </w:r>
      </w:hyperlink>
    </w:p>
    <w:p w14:paraId="75DF2FB9" w14:textId="77777777" w:rsidR="0020723C" w:rsidRPr="00734D3B" w:rsidRDefault="0020723C" w:rsidP="00F7764F">
      <w:pPr>
        <w:ind w:left="720" w:hanging="720"/>
        <w:rPr>
          <w:lang w:val="en-US"/>
        </w:rPr>
      </w:pPr>
      <w:r w:rsidRPr="00734D3B">
        <w:rPr>
          <w:lang w:val="en-US"/>
        </w:rPr>
        <w:t xml:space="preserve">National Electrical Contractors Association. (2023). </w:t>
      </w:r>
      <w:r w:rsidRPr="00734D3B">
        <w:rPr>
          <w:i/>
          <w:iCs/>
          <w:lang w:val="en-US"/>
        </w:rPr>
        <w:t>Arizona electrical construction industry overview.</w:t>
      </w:r>
      <w:r w:rsidRPr="00734D3B">
        <w:rPr>
          <w:lang w:val="en-US"/>
        </w:rPr>
        <w:t xml:space="preserve"> </w:t>
      </w:r>
      <w:r>
        <w:fldChar w:fldCharType="begin"/>
      </w:r>
      <w:r w:rsidRPr="0026787D">
        <w:rPr>
          <w:lang w:val="en-US"/>
        </w:rPr>
        <w:instrText>HYPERLINK "https://www.necanet.org" \t "_new"</w:instrText>
      </w:r>
      <w:r>
        <w:fldChar w:fldCharType="separate"/>
      </w:r>
      <w:r w:rsidRPr="00734D3B">
        <w:rPr>
          <w:lang w:val="en-US"/>
        </w:rPr>
        <w:t>https://www.necanet.org</w:t>
      </w:r>
      <w:r>
        <w:fldChar w:fldCharType="end"/>
      </w:r>
    </w:p>
    <w:p w14:paraId="0E36D45B" w14:textId="77777777" w:rsidR="0020723C" w:rsidRPr="00734D3B" w:rsidRDefault="0020723C" w:rsidP="00F7764F">
      <w:pPr>
        <w:ind w:left="720" w:hanging="720"/>
        <w:rPr>
          <w:lang w:val="en-US"/>
        </w:rPr>
      </w:pPr>
      <w:r w:rsidRPr="00734D3B">
        <w:rPr>
          <w:lang w:val="en-US"/>
        </w:rPr>
        <w:t>National Electrical Contractors Association. (2023</w:t>
      </w:r>
      <w:r w:rsidRPr="00734D3B">
        <w:rPr>
          <w:i/>
          <w:iCs/>
          <w:lang w:val="en-US"/>
        </w:rPr>
        <w:t>). Manual of labor units 2023 edition</w:t>
      </w:r>
      <w:r w:rsidRPr="00734D3B">
        <w:rPr>
          <w:lang w:val="en-US"/>
        </w:rPr>
        <w:t xml:space="preserve">. </w:t>
      </w:r>
      <w:r>
        <w:fldChar w:fldCharType="begin"/>
      </w:r>
      <w:r w:rsidRPr="0026787D">
        <w:rPr>
          <w:lang w:val="en-US"/>
        </w:rPr>
        <w:instrText>HYPERLINK "https://www.necanet.org" \t "_new"</w:instrText>
      </w:r>
      <w:r>
        <w:fldChar w:fldCharType="separate"/>
      </w:r>
      <w:r w:rsidRPr="00734D3B">
        <w:rPr>
          <w:lang w:val="en-US"/>
        </w:rPr>
        <w:t>https://www.necanet.org</w:t>
      </w:r>
      <w:r>
        <w:fldChar w:fldCharType="end"/>
      </w:r>
    </w:p>
    <w:p w14:paraId="687D5C2E" w14:textId="77777777" w:rsidR="0020723C" w:rsidRPr="00734D3B" w:rsidRDefault="0020723C" w:rsidP="00F7764F">
      <w:pPr>
        <w:ind w:left="720" w:hanging="720"/>
      </w:pPr>
      <w:r w:rsidRPr="00734D3B">
        <w:rPr>
          <w:lang w:val="en-US"/>
        </w:rPr>
        <w:t xml:space="preserve">Núñez-Morales, J. D. (2025). </w:t>
      </w:r>
      <w:r w:rsidRPr="00734D3B">
        <w:rPr>
          <w:i/>
          <w:iCs/>
          <w:lang w:val="en-US"/>
        </w:rPr>
        <w:t>The true environmental cost of data centers</w:t>
      </w:r>
      <w:r w:rsidRPr="00734D3B">
        <w:rPr>
          <w:lang w:val="en-US"/>
        </w:rPr>
        <w:t xml:space="preserve"> (Proceedings of the CIB). </w:t>
      </w:r>
      <w:r w:rsidRPr="00734D3B">
        <w:t xml:space="preserve">Purdue e-Pubs. </w:t>
      </w:r>
      <w:hyperlink r:id="rId49" w:history="1">
        <w:r w:rsidRPr="00734D3B">
          <w:rPr>
            <w:rStyle w:val="Hyperlink"/>
            <w:color w:val="auto"/>
          </w:rPr>
          <w:t>https://docs.lib.purdue.edu/cgi/viewcontent.cgi?article=2129&amp;context=cib-conferences</w:t>
        </w:r>
      </w:hyperlink>
    </w:p>
    <w:p w14:paraId="2C464899" w14:textId="77777777" w:rsidR="0020723C" w:rsidRPr="00734D3B" w:rsidRDefault="0020723C" w:rsidP="00F7764F">
      <w:pPr>
        <w:ind w:left="720" w:hanging="720"/>
        <w:rPr>
          <w:lang w:val="en-US"/>
        </w:rPr>
      </w:pPr>
      <w:r w:rsidRPr="00734D3B">
        <w:rPr>
          <w:lang w:val="en-US"/>
        </w:rPr>
        <w:t xml:space="preserve">Occupational Safety and Health Administration. (2022). Electrical standards (29 CFR 1910). </w:t>
      </w:r>
      <w:r>
        <w:fldChar w:fldCharType="begin"/>
      </w:r>
      <w:r w:rsidRPr="0026787D">
        <w:rPr>
          <w:lang w:val="en-US"/>
        </w:rPr>
        <w:instrText>HYPERLINK "https://www.osha.gov" \t "_new"</w:instrText>
      </w:r>
      <w:r>
        <w:fldChar w:fldCharType="separate"/>
      </w:r>
      <w:r w:rsidRPr="00734D3B">
        <w:rPr>
          <w:lang w:val="en-US"/>
        </w:rPr>
        <w:t>https://www.osha.gov</w:t>
      </w:r>
      <w:r>
        <w:fldChar w:fldCharType="end"/>
      </w:r>
    </w:p>
    <w:p w14:paraId="1F5BE10A" w14:textId="77777777" w:rsidR="0020723C" w:rsidRPr="00734D3B" w:rsidRDefault="0020723C" w:rsidP="00F7764F">
      <w:pPr>
        <w:ind w:left="720" w:hanging="720"/>
      </w:pPr>
      <w:r w:rsidRPr="00734D3B">
        <w:t xml:space="preserve">Organización Internacional del Trabajo (OIT). (2019). </w:t>
      </w:r>
      <w:r w:rsidRPr="00734D3B">
        <w:rPr>
          <w:i/>
          <w:iCs/>
        </w:rPr>
        <w:t>Declaración del Centenario sobre el futuro del trabajo. Oficina Internacional del Trabajo.</w:t>
      </w:r>
    </w:p>
    <w:p w14:paraId="22D4ECBD" w14:textId="77777777" w:rsidR="0020723C" w:rsidRPr="00734D3B" w:rsidRDefault="0020723C" w:rsidP="00F7764F">
      <w:pPr>
        <w:ind w:left="720" w:hanging="720"/>
        <w:rPr>
          <w:lang w:val="en-US"/>
        </w:rPr>
      </w:pPr>
      <w:r w:rsidRPr="00734D3B">
        <w:t xml:space="preserve">Porter, M. E. (1996). </w:t>
      </w:r>
      <w:proofErr w:type="spellStart"/>
      <w:r w:rsidRPr="00734D3B">
        <w:t>What</w:t>
      </w:r>
      <w:proofErr w:type="spellEnd"/>
      <w:r w:rsidRPr="00734D3B">
        <w:t xml:space="preserve"> </w:t>
      </w:r>
      <w:proofErr w:type="spellStart"/>
      <w:r w:rsidRPr="00734D3B">
        <w:t>is</w:t>
      </w:r>
      <w:proofErr w:type="spellEnd"/>
      <w:r w:rsidRPr="00734D3B">
        <w:t xml:space="preserve"> </w:t>
      </w:r>
      <w:proofErr w:type="spellStart"/>
      <w:r w:rsidRPr="00734D3B">
        <w:t>strategy</w:t>
      </w:r>
      <w:proofErr w:type="spellEnd"/>
      <w:r w:rsidRPr="00734D3B">
        <w:t xml:space="preserve">? </w:t>
      </w:r>
      <w:r w:rsidRPr="00734D3B">
        <w:rPr>
          <w:i/>
          <w:iCs/>
          <w:lang w:val="en-US"/>
        </w:rPr>
        <w:t>Harvard Business Review,</w:t>
      </w:r>
      <w:r w:rsidRPr="00734D3B">
        <w:rPr>
          <w:lang w:val="en-US"/>
        </w:rPr>
        <w:t xml:space="preserve"> 74(6), 61-78.</w:t>
      </w:r>
    </w:p>
    <w:p w14:paraId="5D8AD9A9" w14:textId="77777777" w:rsidR="0020723C" w:rsidRPr="00734D3B" w:rsidRDefault="0020723C" w:rsidP="00F7764F">
      <w:pPr>
        <w:ind w:left="720" w:hanging="720"/>
        <w:rPr>
          <w:lang w:val="en-US"/>
        </w:rPr>
      </w:pPr>
      <w:r w:rsidRPr="00734D3B">
        <w:rPr>
          <w:lang w:val="en-US"/>
        </w:rPr>
        <w:t xml:space="preserve">Porter, M. E., &amp; Kramer, M. R. (2011). Creating shared value: How to reinvent capitalism—and unleash a wave of innovation and growth. </w:t>
      </w:r>
      <w:r w:rsidRPr="00734D3B">
        <w:rPr>
          <w:i/>
          <w:iCs/>
          <w:lang w:val="en-US"/>
        </w:rPr>
        <w:t>Harvard Business Review</w:t>
      </w:r>
      <w:r w:rsidRPr="00734D3B">
        <w:rPr>
          <w:lang w:val="en-US"/>
        </w:rPr>
        <w:t>, 89(1-2), 62-77.</w:t>
      </w:r>
    </w:p>
    <w:p w14:paraId="32CD21C8" w14:textId="77777777" w:rsidR="0020723C" w:rsidRPr="00734D3B" w:rsidRDefault="0020723C" w:rsidP="00F7764F">
      <w:pPr>
        <w:ind w:left="720" w:hanging="720"/>
        <w:rPr>
          <w:lang w:val="en-US"/>
        </w:rPr>
      </w:pPr>
      <w:r w:rsidRPr="00734D3B">
        <w:rPr>
          <w:lang w:val="en-US"/>
        </w:rPr>
        <w:t xml:space="preserve">Porter, M. E., &amp; Kramer, M. R. (2019). Creating shared value. </w:t>
      </w:r>
      <w:r w:rsidRPr="00734D3B">
        <w:rPr>
          <w:i/>
          <w:iCs/>
          <w:lang w:val="en-US"/>
        </w:rPr>
        <w:t>Harvard Business Review</w:t>
      </w:r>
      <w:r w:rsidRPr="00734D3B">
        <w:rPr>
          <w:lang w:val="en-US"/>
        </w:rPr>
        <w:t>, 97(1), 66-77.</w:t>
      </w:r>
    </w:p>
    <w:p w14:paraId="0295B307" w14:textId="77777777" w:rsidR="0020723C" w:rsidRPr="00734D3B" w:rsidRDefault="0020723C" w:rsidP="00790714">
      <w:pPr>
        <w:ind w:left="720" w:hanging="720"/>
        <w:rPr>
          <w:lang w:val="en-US"/>
        </w:rPr>
      </w:pPr>
      <w:r w:rsidRPr="00734D3B">
        <w:rPr>
          <w:lang w:val="en-US"/>
        </w:rPr>
        <w:t xml:space="preserve">Project Management Institute. (2021). </w:t>
      </w:r>
      <w:r w:rsidRPr="00734D3B">
        <w:rPr>
          <w:i/>
          <w:iCs/>
          <w:lang w:val="en-US"/>
        </w:rPr>
        <w:t xml:space="preserve">A guide to the project management body of knowledge </w:t>
      </w:r>
      <w:r w:rsidRPr="00734D3B">
        <w:rPr>
          <w:lang w:val="en-US"/>
        </w:rPr>
        <w:t>(PMBOK® Guide) (7th ed.).</w:t>
      </w:r>
    </w:p>
    <w:p w14:paraId="4401BDF4" w14:textId="77777777" w:rsidR="0020723C" w:rsidRPr="00734D3B" w:rsidRDefault="0020723C" w:rsidP="00F7764F">
      <w:pPr>
        <w:ind w:left="720" w:hanging="720"/>
      </w:pPr>
      <w:r w:rsidRPr="00734D3B">
        <w:rPr>
          <w:lang w:val="en-US"/>
        </w:rPr>
        <w:t xml:space="preserve">Project Management Institute. (2021). </w:t>
      </w:r>
      <w:r w:rsidRPr="00734D3B">
        <w:rPr>
          <w:i/>
          <w:iCs/>
          <w:lang w:val="en-US"/>
        </w:rPr>
        <w:t>A guide to the project management body of knowledge (PMBOK® Guide) and the standard for project management</w:t>
      </w:r>
      <w:r w:rsidRPr="00734D3B">
        <w:rPr>
          <w:lang w:val="en-US"/>
        </w:rPr>
        <w:t xml:space="preserve"> (7th ed.). </w:t>
      </w:r>
      <w:r w:rsidRPr="00734D3B">
        <w:t>Project Management Institute.</w:t>
      </w:r>
    </w:p>
    <w:p w14:paraId="11E10C24" w14:textId="77777777" w:rsidR="0020723C" w:rsidRPr="00734D3B" w:rsidRDefault="0020723C" w:rsidP="00F7764F">
      <w:pPr>
        <w:ind w:left="720" w:hanging="720"/>
        <w:rPr>
          <w:lang w:val="en-US"/>
        </w:rPr>
      </w:pPr>
      <w:r w:rsidRPr="00734D3B">
        <w:t xml:space="preserve">Project Management Institute. (2023). </w:t>
      </w:r>
      <w:r w:rsidRPr="00734D3B">
        <w:rPr>
          <w:i/>
          <w:iCs/>
        </w:rPr>
        <w:t>Guía práctica de grupos de procesos en la dirección de proyectos.</w:t>
      </w:r>
      <w:r w:rsidRPr="00734D3B">
        <w:t xml:space="preserve"> </w:t>
      </w:r>
      <w:r w:rsidRPr="00734D3B">
        <w:rPr>
          <w:lang w:val="en-US"/>
        </w:rPr>
        <w:t>Project Management Institute.</w:t>
      </w:r>
    </w:p>
    <w:p w14:paraId="019B8B09" w14:textId="77777777" w:rsidR="0020723C" w:rsidRPr="00734D3B" w:rsidRDefault="0020723C" w:rsidP="00F7764F">
      <w:pPr>
        <w:ind w:left="720" w:hanging="720"/>
        <w:rPr>
          <w:lang w:val="en-US"/>
        </w:rPr>
      </w:pPr>
      <w:r w:rsidRPr="00734D3B">
        <w:rPr>
          <w:lang w:val="en-US"/>
        </w:rPr>
        <w:lastRenderedPageBreak/>
        <w:t xml:space="preserve">Project Management Institute. (2023). </w:t>
      </w:r>
      <w:r w:rsidRPr="00734D3B">
        <w:rPr>
          <w:i/>
          <w:iCs/>
          <w:lang w:val="en-US"/>
        </w:rPr>
        <w:t>The standard for project management</w:t>
      </w:r>
      <w:r w:rsidRPr="00734D3B">
        <w:rPr>
          <w:lang w:val="en-US"/>
        </w:rPr>
        <w:t>. Project Management Institute.</w:t>
      </w:r>
    </w:p>
    <w:p w14:paraId="47319676" w14:textId="77777777" w:rsidR="0020723C" w:rsidRPr="00734D3B" w:rsidRDefault="0020723C" w:rsidP="00F7764F">
      <w:pPr>
        <w:ind w:left="720" w:hanging="720"/>
        <w:rPr>
          <w:i/>
          <w:iCs/>
          <w:lang w:val="en-US"/>
        </w:rPr>
      </w:pPr>
      <w:r w:rsidRPr="00734D3B">
        <w:rPr>
          <w:lang w:val="en-US"/>
        </w:rPr>
        <w:t xml:space="preserve">Raworth, K. (2017). </w:t>
      </w:r>
      <w:r w:rsidRPr="00734D3B">
        <w:rPr>
          <w:i/>
          <w:iCs/>
          <w:lang w:val="en-US"/>
        </w:rPr>
        <w:t>Doughnut economics: Seven ways to think like a 21st-century economist. Chelsea Green Publishing.</w:t>
      </w:r>
    </w:p>
    <w:p w14:paraId="5465FD91" w14:textId="77777777" w:rsidR="0020723C" w:rsidRPr="00734D3B" w:rsidRDefault="0020723C" w:rsidP="00F7764F">
      <w:pPr>
        <w:ind w:left="720" w:hanging="720"/>
      </w:pPr>
      <w:r w:rsidRPr="00734D3B">
        <w:rPr>
          <w:lang w:val="en-US"/>
        </w:rPr>
        <w:t xml:space="preserve">Reed, B. (2007). Shifting from “sustainability” to regeneration. </w:t>
      </w:r>
      <w:r w:rsidRPr="00734D3B">
        <w:rPr>
          <w:i/>
          <w:iCs/>
        </w:rPr>
        <w:t xml:space="preserve">Building </w:t>
      </w:r>
      <w:proofErr w:type="spellStart"/>
      <w:r w:rsidRPr="00734D3B">
        <w:rPr>
          <w:i/>
          <w:iCs/>
        </w:rPr>
        <w:t>Research</w:t>
      </w:r>
      <w:proofErr w:type="spellEnd"/>
      <w:r w:rsidRPr="00734D3B">
        <w:rPr>
          <w:i/>
          <w:iCs/>
        </w:rPr>
        <w:t xml:space="preserve"> &amp; </w:t>
      </w:r>
      <w:proofErr w:type="spellStart"/>
      <w:r w:rsidRPr="00734D3B">
        <w:rPr>
          <w:i/>
          <w:iCs/>
        </w:rPr>
        <w:t>Information</w:t>
      </w:r>
      <w:proofErr w:type="spellEnd"/>
      <w:r w:rsidRPr="00734D3B">
        <w:t xml:space="preserve">, 35(6), 674-680. </w:t>
      </w:r>
      <w:hyperlink r:id="rId50" w:tgtFrame="_new" w:history="1">
        <w:r w:rsidRPr="00734D3B">
          <w:t>https://doi.org/10.1080/09613210701475753</w:t>
        </w:r>
      </w:hyperlink>
    </w:p>
    <w:p w14:paraId="67BD7AAA" w14:textId="77777777" w:rsidR="0020723C" w:rsidRPr="00734D3B" w:rsidRDefault="0020723C" w:rsidP="00790714">
      <w:pPr>
        <w:ind w:left="720" w:hanging="720"/>
      </w:pPr>
      <w:r w:rsidRPr="00734D3B">
        <w:t>Reglamento para la Gestión Integral de Residuos de Aparatos Eléctricos y Electrónicos N.º 35933-S.</w:t>
      </w:r>
    </w:p>
    <w:p w14:paraId="6B17C789" w14:textId="77777777" w:rsidR="0020723C" w:rsidRPr="00734D3B" w:rsidRDefault="0020723C" w:rsidP="00F7764F">
      <w:pPr>
        <w:ind w:left="720" w:hanging="720"/>
      </w:pPr>
      <w:r w:rsidRPr="00734D3B">
        <w:rPr>
          <w:lang w:val="en-US"/>
        </w:rPr>
        <w:t xml:space="preserve">Robbins, S. P., &amp; Coulter, M. (2018). </w:t>
      </w:r>
      <w:r w:rsidRPr="00734D3B">
        <w:rPr>
          <w:i/>
          <w:iCs/>
        </w:rPr>
        <w:t xml:space="preserve">Administración </w:t>
      </w:r>
      <w:r w:rsidRPr="00734D3B">
        <w:t>(14.ª ed.). Pearson Educación.</w:t>
      </w:r>
    </w:p>
    <w:p w14:paraId="0A4ED5AC" w14:textId="77777777" w:rsidR="0020723C" w:rsidRPr="00734D3B" w:rsidRDefault="0020723C" w:rsidP="00F7764F">
      <w:pPr>
        <w:ind w:left="720" w:hanging="720"/>
        <w:rPr>
          <w:lang w:val="en-US"/>
        </w:rPr>
      </w:pPr>
      <w:proofErr w:type="spellStart"/>
      <w:r w:rsidRPr="00734D3B">
        <w:rPr>
          <w:lang w:val="en-US"/>
        </w:rPr>
        <w:t>Rockström</w:t>
      </w:r>
      <w:proofErr w:type="spellEnd"/>
      <w:r w:rsidRPr="00734D3B">
        <w:rPr>
          <w:lang w:val="en-US"/>
        </w:rPr>
        <w:t xml:space="preserve">, J., Steffen, W., Noone, K., Persson, Å., Chapin III, F. S., Lambin, E., Lenton, T. M., Scheffer, M., Folke, C., &amp; </w:t>
      </w:r>
      <w:proofErr w:type="spellStart"/>
      <w:r w:rsidRPr="00734D3B">
        <w:rPr>
          <w:lang w:val="en-US"/>
        </w:rPr>
        <w:t>Schellnhuber</w:t>
      </w:r>
      <w:proofErr w:type="spellEnd"/>
      <w:r w:rsidRPr="00734D3B">
        <w:rPr>
          <w:lang w:val="en-US"/>
        </w:rPr>
        <w:t xml:space="preserve">, H. J. (2009). </w:t>
      </w:r>
      <w:r w:rsidRPr="00734D3B">
        <w:rPr>
          <w:i/>
          <w:iCs/>
          <w:lang w:val="en-US"/>
        </w:rPr>
        <w:t>A safe operating space for humanity. Nature</w:t>
      </w:r>
      <w:r w:rsidRPr="00734D3B">
        <w:rPr>
          <w:lang w:val="en-US"/>
        </w:rPr>
        <w:t xml:space="preserve">, 461(7263), 472-475. </w:t>
      </w:r>
      <w:r>
        <w:fldChar w:fldCharType="begin"/>
      </w:r>
      <w:r w:rsidRPr="0026787D">
        <w:rPr>
          <w:lang w:val="en-US"/>
        </w:rPr>
        <w:instrText>HYPERLINK "https://doi.org/10.1038/461472a" \t "_new"</w:instrText>
      </w:r>
      <w:r>
        <w:fldChar w:fldCharType="separate"/>
      </w:r>
      <w:r w:rsidRPr="00734D3B">
        <w:rPr>
          <w:lang w:val="en-US"/>
        </w:rPr>
        <w:t>https://doi.org/10.1038/461472a</w:t>
      </w:r>
      <w:r>
        <w:fldChar w:fldCharType="end"/>
      </w:r>
    </w:p>
    <w:p w14:paraId="0D67E78D" w14:textId="77777777" w:rsidR="0020723C" w:rsidRPr="00734D3B" w:rsidRDefault="0020723C" w:rsidP="00F7764F">
      <w:pPr>
        <w:ind w:left="720" w:hanging="720"/>
        <w:rPr>
          <w:lang w:val="en-US"/>
        </w:rPr>
      </w:pPr>
      <w:r w:rsidRPr="00734D3B">
        <w:t xml:space="preserve">Rodríguez, G., &amp; </w:t>
      </w:r>
      <w:proofErr w:type="spellStart"/>
      <w:r w:rsidRPr="00734D3B">
        <w:t>Valldeoriola</w:t>
      </w:r>
      <w:proofErr w:type="spellEnd"/>
      <w:r w:rsidRPr="00734D3B">
        <w:t xml:space="preserve">, J. (2019). </w:t>
      </w:r>
      <w:r w:rsidRPr="00734D3B">
        <w:rPr>
          <w:i/>
          <w:iCs/>
        </w:rPr>
        <w:t>Metodología de la investigación científica y tecnológica</w:t>
      </w:r>
      <w:r w:rsidRPr="00734D3B">
        <w:t xml:space="preserve">. </w:t>
      </w:r>
      <w:r w:rsidRPr="00734D3B">
        <w:rPr>
          <w:lang w:val="en-US"/>
        </w:rPr>
        <w:t xml:space="preserve">Editorial </w:t>
      </w:r>
      <w:proofErr w:type="spellStart"/>
      <w:r w:rsidRPr="00734D3B">
        <w:rPr>
          <w:lang w:val="en-US"/>
        </w:rPr>
        <w:t>Síntesis</w:t>
      </w:r>
      <w:proofErr w:type="spellEnd"/>
      <w:r w:rsidRPr="00734D3B">
        <w:rPr>
          <w:lang w:val="en-US"/>
        </w:rPr>
        <w:t>.</w:t>
      </w:r>
    </w:p>
    <w:p w14:paraId="662ACB4F" w14:textId="77777777" w:rsidR="0020723C" w:rsidRPr="00734D3B" w:rsidRDefault="0020723C" w:rsidP="00790714">
      <w:pPr>
        <w:ind w:left="720" w:hanging="720"/>
        <w:rPr>
          <w:i/>
          <w:iCs/>
          <w:lang w:val="en-US"/>
        </w:rPr>
      </w:pPr>
      <w:proofErr w:type="spellStart"/>
      <w:r w:rsidRPr="00734D3B">
        <w:rPr>
          <w:lang w:val="en-US"/>
        </w:rPr>
        <w:t>Samaye</w:t>
      </w:r>
      <w:proofErr w:type="spellEnd"/>
      <w:r w:rsidRPr="00734D3B">
        <w:rPr>
          <w:lang w:val="en-US"/>
        </w:rPr>
        <w:t xml:space="preserve">, I., Leloup, P., Sassatelli, G., &amp; </w:t>
      </w:r>
      <w:proofErr w:type="spellStart"/>
      <w:r w:rsidRPr="00734D3B">
        <w:rPr>
          <w:lang w:val="en-US"/>
        </w:rPr>
        <w:t>Gamatié</w:t>
      </w:r>
      <w:proofErr w:type="spellEnd"/>
      <w:r w:rsidRPr="00734D3B">
        <w:rPr>
          <w:lang w:val="en-US"/>
        </w:rPr>
        <w:t xml:space="preserve">, A. (2024). </w:t>
      </w:r>
      <w:r w:rsidRPr="00734D3B">
        <w:rPr>
          <w:i/>
          <w:iCs/>
          <w:lang w:val="en-US"/>
        </w:rPr>
        <w:t xml:space="preserve">Sustainable low-carbon emission mini data </w:t>
      </w:r>
      <w:proofErr w:type="spellStart"/>
      <w:r w:rsidRPr="00734D3B">
        <w:rPr>
          <w:i/>
          <w:iCs/>
          <w:lang w:val="en-US"/>
        </w:rPr>
        <w:t>centres</w:t>
      </w:r>
      <w:proofErr w:type="spellEnd"/>
      <w:r w:rsidRPr="00734D3B">
        <w:rPr>
          <w:i/>
          <w:iCs/>
          <w:lang w:val="en-US"/>
        </w:rPr>
        <w:t>.</w:t>
      </w:r>
    </w:p>
    <w:p w14:paraId="12C693A8" w14:textId="77777777" w:rsidR="0020723C" w:rsidRPr="00734D3B" w:rsidRDefault="0020723C" w:rsidP="00F7764F">
      <w:pPr>
        <w:ind w:left="720" w:hanging="720"/>
        <w:rPr>
          <w:lang w:val="en-US"/>
        </w:rPr>
      </w:pPr>
      <w:r w:rsidRPr="00734D3B">
        <w:rPr>
          <w:lang w:val="en-US"/>
        </w:rPr>
        <w:t xml:space="preserve">Silvius, A. J. G., &amp; Schipper, R. (2019). Sustainability in project management: A literature review and impact analysis. </w:t>
      </w:r>
      <w:r w:rsidRPr="00734D3B">
        <w:rPr>
          <w:i/>
          <w:iCs/>
          <w:lang w:val="en-US"/>
        </w:rPr>
        <w:t>Journal of Cleaner Production</w:t>
      </w:r>
      <w:r w:rsidRPr="00734D3B">
        <w:rPr>
          <w:lang w:val="en-US"/>
        </w:rPr>
        <w:t xml:space="preserve">, 238, 117810. </w:t>
      </w:r>
      <w:r>
        <w:fldChar w:fldCharType="begin"/>
      </w:r>
      <w:r w:rsidRPr="0026787D">
        <w:rPr>
          <w:lang w:val="en-US"/>
        </w:rPr>
        <w:instrText>HYPERLINK "https://doi.org/10.1016/j.jclepro.2019.117810" \t "_new"</w:instrText>
      </w:r>
      <w:r>
        <w:fldChar w:fldCharType="separate"/>
      </w:r>
      <w:r w:rsidRPr="00734D3B">
        <w:rPr>
          <w:lang w:val="en-US"/>
        </w:rPr>
        <w:t>https://doi.org/10.1016/j.jclepro.2019.117810</w:t>
      </w:r>
      <w:r>
        <w:fldChar w:fldCharType="end"/>
      </w:r>
    </w:p>
    <w:p w14:paraId="671B5478" w14:textId="77777777" w:rsidR="0020723C" w:rsidRPr="00734D3B" w:rsidRDefault="0020723C" w:rsidP="00790714">
      <w:pPr>
        <w:ind w:left="720" w:hanging="720"/>
        <w:rPr>
          <w:lang w:val="en-US"/>
        </w:rPr>
      </w:pPr>
      <w:r w:rsidRPr="00734D3B">
        <w:rPr>
          <w:lang w:val="en-US"/>
        </w:rPr>
        <w:t xml:space="preserve">Silvius, G., Schipper, R., &amp; Huemann, M. (2024). </w:t>
      </w:r>
      <w:r w:rsidRPr="00734D3B">
        <w:rPr>
          <w:i/>
          <w:iCs/>
          <w:lang w:val="en-US"/>
        </w:rPr>
        <w:t>Sustainable project management. En The Handbook of Project Management</w:t>
      </w:r>
      <w:r w:rsidRPr="00734D3B">
        <w:rPr>
          <w:lang w:val="en-US"/>
        </w:rPr>
        <w:t xml:space="preserve"> (6th ed.). Routledge</w:t>
      </w:r>
    </w:p>
    <w:p w14:paraId="1E846187" w14:textId="77777777" w:rsidR="0020723C" w:rsidRPr="00734D3B" w:rsidRDefault="0020723C" w:rsidP="00F7764F">
      <w:pPr>
        <w:ind w:left="720" w:hanging="720"/>
        <w:rPr>
          <w:lang w:val="en-US"/>
        </w:rPr>
      </w:pPr>
      <w:r w:rsidRPr="00734D3B">
        <w:rPr>
          <w:lang w:val="en-US"/>
        </w:rPr>
        <w:t xml:space="preserve">Steffen, W., Richardson, K., </w:t>
      </w:r>
      <w:proofErr w:type="spellStart"/>
      <w:r w:rsidRPr="00734D3B">
        <w:rPr>
          <w:lang w:val="en-US"/>
        </w:rPr>
        <w:t>Rockström</w:t>
      </w:r>
      <w:proofErr w:type="spellEnd"/>
      <w:r w:rsidRPr="00734D3B">
        <w:rPr>
          <w:lang w:val="en-US"/>
        </w:rPr>
        <w:t xml:space="preserve">, J., Cornell, S. E., Fetzer, I., Bennett, E. M., Biggs, R., Carpenter, S. R., &amp; de Vries, W. (2015). Planetary boundaries: Guiding human development on a changing planet. </w:t>
      </w:r>
      <w:r w:rsidRPr="00734D3B">
        <w:rPr>
          <w:i/>
          <w:iCs/>
          <w:lang w:val="en-US"/>
        </w:rPr>
        <w:t>Science</w:t>
      </w:r>
      <w:r w:rsidRPr="00734D3B">
        <w:rPr>
          <w:lang w:val="en-US"/>
        </w:rPr>
        <w:t xml:space="preserve">, 347(6223), 1259855. </w:t>
      </w:r>
      <w:r>
        <w:fldChar w:fldCharType="begin"/>
      </w:r>
      <w:r w:rsidRPr="0026787D">
        <w:rPr>
          <w:lang w:val="en-US"/>
        </w:rPr>
        <w:instrText>HYPERLINK "https://doi.org/10.1126/science.1259855" \t "_new"</w:instrText>
      </w:r>
      <w:r>
        <w:fldChar w:fldCharType="separate"/>
      </w:r>
      <w:r w:rsidRPr="00734D3B">
        <w:rPr>
          <w:lang w:val="en-US"/>
        </w:rPr>
        <w:t>https://doi.org/10.1126/science.1259855</w:t>
      </w:r>
      <w:r>
        <w:fldChar w:fldCharType="end"/>
      </w:r>
    </w:p>
    <w:p w14:paraId="579E3B07" w14:textId="77777777" w:rsidR="0020723C" w:rsidRPr="00734D3B" w:rsidRDefault="0020723C" w:rsidP="00F7764F">
      <w:pPr>
        <w:ind w:left="720" w:hanging="720"/>
      </w:pPr>
      <w:r w:rsidRPr="00734D3B">
        <w:rPr>
          <w:lang w:val="en-US"/>
        </w:rPr>
        <w:lastRenderedPageBreak/>
        <w:t xml:space="preserve">Switch Electric. (2025). </w:t>
      </w:r>
      <w:r w:rsidRPr="00734D3B">
        <w:rPr>
          <w:i/>
          <w:iCs/>
          <w:lang w:val="en-US"/>
        </w:rPr>
        <w:t>Organizational chart</w:t>
      </w:r>
      <w:r w:rsidRPr="00734D3B">
        <w:rPr>
          <w:lang w:val="en-US"/>
        </w:rPr>
        <w:t xml:space="preserve">. The Org. </w:t>
      </w:r>
      <w:r>
        <w:fldChar w:fldCharType="begin"/>
      </w:r>
      <w:r w:rsidRPr="0026787D">
        <w:rPr>
          <w:lang w:val="en-US"/>
        </w:rPr>
        <w:instrText>HYPERLINK "https://theorg.com/org/switch-electric/org-chart/miguel-garcia" \t "_new"</w:instrText>
      </w:r>
      <w:r>
        <w:fldChar w:fldCharType="separate"/>
      </w:r>
      <w:r w:rsidRPr="00734D3B">
        <w:t>https://theorg.com/org/switch-electric/org-chart/miguel-garcia</w:t>
      </w:r>
      <w:r>
        <w:fldChar w:fldCharType="end"/>
      </w:r>
    </w:p>
    <w:p w14:paraId="6C4B6437" w14:textId="77777777" w:rsidR="0020723C" w:rsidRPr="00734D3B" w:rsidRDefault="0020723C" w:rsidP="00F7764F">
      <w:pPr>
        <w:ind w:left="720" w:hanging="720"/>
        <w:rPr>
          <w:lang w:val="en-US"/>
        </w:rPr>
      </w:pPr>
      <w:r w:rsidRPr="00734D3B">
        <w:t xml:space="preserve">Tamayo y Tamayo, M. (2005). </w:t>
      </w:r>
      <w:r w:rsidRPr="00734D3B">
        <w:rPr>
          <w:i/>
          <w:iCs/>
        </w:rPr>
        <w:t>El proceso de la investigación científica</w:t>
      </w:r>
      <w:r w:rsidRPr="00734D3B">
        <w:t xml:space="preserve">. </w:t>
      </w:r>
      <w:proofErr w:type="spellStart"/>
      <w:r w:rsidRPr="00734D3B">
        <w:rPr>
          <w:lang w:val="en-US"/>
        </w:rPr>
        <w:t>Limusa</w:t>
      </w:r>
      <w:proofErr w:type="spellEnd"/>
      <w:r w:rsidRPr="00734D3B">
        <w:rPr>
          <w:lang w:val="en-US"/>
        </w:rPr>
        <w:t>.</w:t>
      </w:r>
    </w:p>
    <w:p w14:paraId="235088AB" w14:textId="77777777" w:rsidR="0020723C" w:rsidRPr="00734D3B" w:rsidRDefault="0020723C" w:rsidP="00F7764F">
      <w:pPr>
        <w:ind w:left="720" w:hanging="720"/>
        <w:rPr>
          <w:lang w:val="en-US"/>
        </w:rPr>
      </w:pPr>
      <w:r w:rsidRPr="00734D3B">
        <w:rPr>
          <w:lang w:val="en-US"/>
        </w:rPr>
        <w:t xml:space="preserve">Turner, J. R. (2014). </w:t>
      </w:r>
      <w:r w:rsidRPr="00734D3B">
        <w:rPr>
          <w:i/>
          <w:iCs/>
          <w:lang w:val="en-US"/>
        </w:rPr>
        <w:t>Handbook of project-based management: Leading strategic change in organizations</w:t>
      </w:r>
      <w:r w:rsidRPr="00734D3B">
        <w:rPr>
          <w:lang w:val="en-US"/>
        </w:rPr>
        <w:t xml:space="preserve"> (4th ed.). McGraw-Hill Education.</w:t>
      </w:r>
    </w:p>
    <w:p w14:paraId="6397D72B" w14:textId="77777777" w:rsidR="0020723C" w:rsidRPr="00734D3B" w:rsidRDefault="0020723C" w:rsidP="00F7764F">
      <w:pPr>
        <w:ind w:left="720" w:hanging="720"/>
        <w:rPr>
          <w:lang w:val="en-US"/>
        </w:rPr>
      </w:pPr>
      <w:r w:rsidRPr="00734D3B">
        <w:rPr>
          <w:lang w:val="en-US"/>
        </w:rPr>
        <w:t xml:space="preserve">U.S. Bureau of Labor Statistics. (2024). </w:t>
      </w:r>
      <w:r w:rsidRPr="00734D3B">
        <w:rPr>
          <w:i/>
          <w:iCs/>
          <w:lang w:val="en-US"/>
        </w:rPr>
        <w:t>Occupational employment and wage statistics: Construction industry, Arizona</w:t>
      </w:r>
      <w:r w:rsidRPr="00734D3B">
        <w:rPr>
          <w:lang w:val="en-US"/>
        </w:rPr>
        <w:t xml:space="preserve">. </w:t>
      </w:r>
      <w:r>
        <w:fldChar w:fldCharType="begin"/>
      </w:r>
      <w:r w:rsidRPr="0026787D">
        <w:rPr>
          <w:lang w:val="en-US"/>
        </w:rPr>
        <w:instrText>HYPERLINK "https://www.bls.gov" \t "_new"</w:instrText>
      </w:r>
      <w:r>
        <w:fldChar w:fldCharType="separate"/>
      </w:r>
      <w:r w:rsidRPr="00734D3B">
        <w:rPr>
          <w:lang w:val="en-US"/>
        </w:rPr>
        <w:t>https://www.bls.gov</w:t>
      </w:r>
      <w:r>
        <w:fldChar w:fldCharType="end"/>
      </w:r>
    </w:p>
    <w:p w14:paraId="53267EA9" w14:textId="77777777" w:rsidR="0020723C" w:rsidRPr="00734D3B" w:rsidRDefault="0020723C" w:rsidP="00F7764F">
      <w:pPr>
        <w:ind w:left="720" w:hanging="720"/>
        <w:rPr>
          <w:lang w:val="en-US"/>
        </w:rPr>
      </w:pPr>
      <w:r w:rsidRPr="00734D3B">
        <w:rPr>
          <w:lang w:val="en-US"/>
        </w:rPr>
        <w:t xml:space="preserve">U.S. Chamber of Commerce. (2024). </w:t>
      </w:r>
      <w:r w:rsidRPr="00734D3B">
        <w:rPr>
          <w:i/>
          <w:iCs/>
          <w:lang w:val="en-US"/>
        </w:rPr>
        <w:t>The economic impact of hyperscale data centers in the United States</w:t>
      </w:r>
      <w:r w:rsidRPr="00734D3B">
        <w:rPr>
          <w:lang w:val="en-US"/>
        </w:rPr>
        <w:t xml:space="preserve">. </w:t>
      </w:r>
      <w:r>
        <w:fldChar w:fldCharType="begin"/>
      </w:r>
      <w:r w:rsidRPr="0026787D">
        <w:rPr>
          <w:lang w:val="en-US"/>
        </w:rPr>
        <w:instrText>HYPERLINK "https://www.uschamber.com" \t "_new"</w:instrText>
      </w:r>
      <w:r>
        <w:fldChar w:fldCharType="separate"/>
      </w:r>
      <w:r w:rsidRPr="00734D3B">
        <w:rPr>
          <w:lang w:val="en-US"/>
        </w:rPr>
        <w:t>https://www.uschamber.com</w:t>
      </w:r>
      <w:r>
        <w:fldChar w:fldCharType="end"/>
      </w:r>
    </w:p>
    <w:p w14:paraId="06D604C5" w14:textId="77777777" w:rsidR="0020723C" w:rsidRPr="00734D3B" w:rsidRDefault="0020723C" w:rsidP="00F7764F">
      <w:pPr>
        <w:ind w:left="720" w:hanging="720"/>
        <w:rPr>
          <w:lang w:val="en-US"/>
        </w:rPr>
      </w:pPr>
      <w:r w:rsidRPr="00734D3B">
        <w:rPr>
          <w:lang w:val="en-US"/>
        </w:rPr>
        <w:t xml:space="preserve">U.S. Department of Energy. (2024). </w:t>
      </w:r>
      <w:r w:rsidRPr="00734D3B">
        <w:rPr>
          <w:i/>
          <w:iCs/>
          <w:lang w:val="en-US"/>
        </w:rPr>
        <w:t>Data centers and energy efficiency initiatives</w:t>
      </w:r>
      <w:r w:rsidRPr="00734D3B">
        <w:rPr>
          <w:lang w:val="en-US"/>
        </w:rPr>
        <w:t xml:space="preserve">. </w:t>
      </w:r>
      <w:r>
        <w:fldChar w:fldCharType="begin"/>
      </w:r>
      <w:r w:rsidRPr="0026787D">
        <w:rPr>
          <w:lang w:val="en-US"/>
        </w:rPr>
        <w:instrText>HYPERLINK "https://www.energy.gov" \t "_new"</w:instrText>
      </w:r>
      <w:r>
        <w:fldChar w:fldCharType="separate"/>
      </w:r>
      <w:r w:rsidRPr="00734D3B">
        <w:rPr>
          <w:lang w:val="en-US"/>
        </w:rPr>
        <w:t>https://www.energy.gov</w:t>
      </w:r>
      <w:r>
        <w:fldChar w:fldCharType="end"/>
      </w:r>
    </w:p>
    <w:p w14:paraId="5B81B835" w14:textId="77777777" w:rsidR="0020723C" w:rsidRPr="00734D3B" w:rsidRDefault="0020723C" w:rsidP="00F7764F">
      <w:pPr>
        <w:ind w:left="720" w:hanging="720"/>
      </w:pPr>
      <w:r w:rsidRPr="00734D3B">
        <w:rPr>
          <w:lang w:val="en-US"/>
        </w:rPr>
        <w:t>U.S. Green Building Council. (2024</w:t>
      </w:r>
      <w:r w:rsidRPr="00734D3B">
        <w:rPr>
          <w:i/>
          <w:iCs/>
          <w:lang w:val="en-US"/>
        </w:rPr>
        <w:t>). LEED v4 Building Design and Construction.</w:t>
      </w:r>
      <w:r w:rsidRPr="00734D3B">
        <w:rPr>
          <w:lang w:val="en-US"/>
        </w:rPr>
        <w:t xml:space="preserve"> </w:t>
      </w:r>
      <w:r>
        <w:fldChar w:fldCharType="begin"/>
      </w:r>
      <w:r w:rsidRPr="0026787D">
        <w:rPr>
          <w:lang w:val="en-US"/>
        </w:rPr>
        <w:instrText>HYPERLINK "https://www.usgbc.org" \t "_new"</w:instrText>
      </w:r>
      <w:r>
        <w:fldChar w:fldCharType="separate"/>
      </w:r>
      <w:r w:rsidRPr="00734D3B">
        <w:t>https://www.usgbc.org</w:t>
      </w:r>
      <w:r>
        <w:fldChar w:fldCharType="end"/>
      </w:r>
    </w:p>
    <w:p w14:paraId="1A849D67" w14:textId="77777777" w:rsidR="0020723C" w:rsidRPr="00734D3B" w:rsidRDefault="0020723C" w:rsidP="00F7764F">
      <w:pPr>
        <w:ind w:left="720" w:hanging="720"/>
      </w:pPr>
      <w:r w:rsidRPr="00734D3B">
        <w:t xml:space="preserve">UNESCO. (2017). </w:t>
      </w:r>
      <w:r w:rsidRPr="00734D3B">
        <w:rPr>
          <w:i/>
          <w:iCs/>
        </w:rPr>
        <w:t>Indicadores UNESCO de cultura para el desarrollo sostenible</w:t>
      </w:r>
      <w:r w:rsidRPr="00734D3B">
        <w:t>. Organización de las Naciones Unidas para la Educación, la Ciencia y la Cultura.</w:t>
      </w:r>
    </w:p>
    <w:p w14:paraId="6C972B38" w14:textId="77777777" w:rsidR="0020723C" w:rsidRPr="00734D3B" w:rsidRDefault="0020723C" w:rsidP="00315CA9">
      <w:pPr>
        <w:ind w:left="720" w:hanging="720"/>
        <w:rPr>
          <w:lang w:val="en-US"/>
        </w:rPr>
      </w:pPr>
      <w:r w:rsidRPr="00734D3B">
        <w:rPr>
          <w:lang w:val="en-US"/>
        </w:rPr>
        <w:t xml:space="preserve">United Nations Economic Commission for Europe. (2003). </w:t>
      </w:r>
      <w:r w:rsidRPr="00734D3B">
        <w:rPr>
          <w:i/>
          <w:iCs/>
          <w:lang w:val="en-US"/>
        </w:rPr>
        <w:t>Protocol on strategic environmental assessment to the Convention on Environmental Impact Assessment in a Transboundary Context.</w:t>
      </w:r>
      <w:r w:rsidRPr="00734D3B">
        <w:rPr>
          <w:lang w:val="en-US"/>
        </w:rPr>
        <w:t xml:space="preserve"> UNECE.https://unece.org/environment-policy/environmental-assessment/protocol-sea</w:t>
      </w:r>
    </w:p>
    <w:p w14:paraId="7E61E306" w14:textId="77777777" w:rsidR="0020723C" w:rsidRPr="00734D3B" w:rsidRDefault="0020723C" w:rsidP="00F7764F">
      <w:pPr>
        <w:ind w:left="720" w:hanging="720"/>
      </w:pPr>
      <w:r w:rsidRPr="00734D3B">
        <w:rPr>
          <w:lang w:val="en-US"/>
        </w:rPr>
        <w:t xml:space="preserve">United Nations Global Compact. </w:t>
      </w:r>
      <w:r w:rsidRPr="00734D3B">
        <w:t xml:space="preserve">(2015). </w:t>
      </w:r>
      <w:r w:rsidRPr="00734D3B">
        <w:rPr>
          <w:i/>
          <w:iCs/>
        </w:rPr>
        <w:t>Guía para la sostenibilidad empresarial: Dando forma a un futuro sostenible.</w:t>
      </w:r>
      <w:r w:rsidRPr="00734D3B">
        <w:t xml:space="preserve"> Naciones Unidas. </w:t>
      </w:r>
      <w:hyperlink r:id="rId51" w:tgtFrame="_new" w:history="1">
        <w:r w:rsidRPr="00734D3B">
          <w:t>https://unglobalcompact.org/library/1151</w:t>
        </w:r>
      </w:hyperlink>
    </w:p>
    <w:p w14:paraId="0C4F5BBD" w14:textId="77777777" w:rsidR="0020723C" w:rsidRPr="00734D3B" w:rsidRDefault="0020723C" w:rsidP="00F7764F">
      <w:pPr>
        <w:ind w:left="720" w:hanging="720"/>
        <w:rPr>
          <w:lang w:val="en-US"/>
        </w:rPr>
      </w:pPr>
      <w:proofErr w:type="spellStart"/>
      <w:r w:rsidRPr="00734D3B">
        <w:t>United</w:t>
      </w:r>
      <w:proofErr w:type="spellEnd"/>
      <w:r w:rsidRPr="00734D3B">
        <w:t xml:space="preserve"> Nations Global Compact. (2022). </w:t>
      </w:r>
      <w:r w:rsidRPr="00734D3B">
        <w:rPr>
          <w:i/>
          <w:iCs/>
        </w:rPr>
        <w:t xml:space="preserve">Principios del Pacto Mundial de las Naciones Unidas. </w:t>
      </w:r>
      <w:hyperlink r:id="rId52" w:tgtFrame="_new" w:history="1">
        <w:r w:rsidRPr="00734D3B">
          <w:rPr>
            <w:lang w:val="en-US"/>
          </w:rPr>
          <w:t>https://www.unglobalcompact.org/what-is-gc/mission/principle</w:t>
        </w:r>
      </w:hyperlink>
    </w:p>
    <w:p w14:paraId="5B7F0D31" w14:textId="77777777" w:rsidR="0020723C" w:rsidRPr="00734D3B" w:rsidRDefault="0020723C" w:rsidP="00F7764F">
      <w:pPr>
        <w:ind w:left="720" w:hanging="720"/>
        <w:rPr>
          <w:lang w:val="en-US"/>
        </w:rPr>
      </w:pPr>
      <w:r w:rsidRPr="00734D3B">
        <w:rPr>
          <w:lang w:val="en-US"/>
        </w:rPr>
        <w:t xml:space="preserve">United Nations. (2023). </w:t>
      </w:r>
      <w:r w:rsidRPr="00734D3B">
        <w:rPr>
          <w:i/>
          <w:iCs/>
          <w:lang w:val="en-US"/>
        </w:rPr>
        <w:t>Sustainable development goals report 2023</w:t>
      </w:r>
      <w:r w:rsidRPr="00734D3B">
        <w:rPr>
          <w:lang w:val="en-US"/>
        </w:rPr>
        <w:t xml:space="preserve">. </w:t>
      </w:r>
      <w:r>
        <w:fldChar w:fldCharType="begin"/>
      </w:r>
      <w:r w:rsidRPr="0026787D">
        <w:rPr>
          <w:lang w:val="en-US"/>
        </w:rPr>
        <w:instrText>HYPERLINK "https://unstats.un.org/sdgs" \t "_new"</w:instrText>
      </w:r>
      <w:r>
        <w:fldChar w:fldCharType="separate"/>
      </w:r>
      <w:r w:rsidRPr="00734D3B">
        <w:rPr>
          <w:lang w:val="en-US"/>
        </w:rPr>
        <w:t>https://unstats.un.org/sdgs</w:t>
      </w:r>
      <w:r>
        <w:fldChar w:fldCharType="end"/>
      </w:r>
    </w:p>
    <w:p w14:paraId="3429FF19" w14:textId="77777777" w:rsidR="0020723C" w:rsidRPr="00734D3B" w:rsidRDefault="0020723C" w:rsidP="00315CA9">
      <w:pPr>
        <w:ind w:left="720" w:hanging="720"/>
        <w:rPr>
          <w:lang w:val="en-US"/>
        </w:rPr>
      </w:pPr>
      <w:r w:rsidRPr="00734D3B">
        <w:rPr>
          <w:lang w:val="en-US"/>
        </w:rPr>
        <w:lastRenderedPageBreak/>
        <w:t>United States Environmental Protection Agency. (2020</w:t>
      </w:r>
      <w:r w:rsidRPr="00734D3B">
        <w:rPr>
          <w:i/>
          <w:iCs/>
          <w:lang w:val="en-US"/>
        </w:rPr>
        <w:t>). Summary of environmental laws and regulations</w:t>
      </w:r>
      <w:r w:rsidRPr="00734D3B">
        <w:rPr>
          <w:lang w:val="en-US"/>
        </w:rPr>
        <w:t>. https://www.epa.gov/laws-regulations</w:t>
      </w:r>
    </w:p>
    <w:p w14:paraId="4A2C23F2" w14:textId="3B1FDC06" w:rsidR="0020723C" w:rsidRPr="00734D3B" w:rsidRDefault="0020723C" w:rsidP="00315CA9">
      <w:pPr>
        <w:ind w:left="720" w:hanging="720"/>
        <w:rPr>
          <w:lang w:val="en-US"/>
        </w:rPr>
      </w:pPr>
      <w:r w:rsidRPr="00734D3B">
        <w:rPr>
          <w:lang w:val="en-US"/>
        </w:rPr>
        <w:t xml:space="preserve">World Bank Group. (2017). </w:t>
      </w:r>
      <w:r w:rsidRPr="00734D3B">
        <w:rPr>
          <w:i/>
          <w:iCs/>
          <w:lang w:val="en-US"/>
        </w:rPr>
        <w:t xml:space="preserve">Environmental, health, and safety </w:t>
      </w:r>
      <w:r w:rsidR="00845594" w:rsidRPr="00734D3B">
        <w:rPr>
          <w:i/>
          <w:iCs/>
          <w:lang w:val="en-US"/>
        </w:rPr>
        <w:t>guidelines</w:t>
      </w:r>
      <w:r w:rsidR="00845594" w:rsidRPr="00734D3B">
        <w:rPr>
          <w:lang w:val="en-US"/>
        </w:rPr>
        <w:t>. https://www.worldbank.org/en/projects-operations/environmental-and-social-framework/ehs-guidelines</w:t>
      </w:r>
    </w:p>
    <w:p w14:paraId="1A6BC7CB" w14:textId="77777777" w:rsidR="0020723C" w:rsidRPr="00734D3B" w:rsidRDefault="0020723C" w:rsidP="00F7764F">
      <w:pPr>
        <w:ind w:left="720" w:hanging="720"/>
        <w:rPr>
          <w:lang w:val="en-US"/>
        </w:rPr>
      </w:pPr>
      <w:r w:rsidRPr="00734D3B">
        <w:rPr>
          <w:lang w:val="en-US"/>
        </w:rPr>
        <w:t xml:space="preserve">Wysocki, R. K. (2019). </w:t>
      </w:r>
      <w:r w:rsidRPr="00734D3B">
        <w:rPr>
          <w:i/>
          <w:iCs/>
          <w:lang w:val="en-US"/>
        </w:rPr>
        <w:t>Effective project management: Traditional, agile, extreme</w:t>
      </w:r>
      <w:r w:rsidRPr="00734D3B">
        <w:rPr>
          <w:lang w:val="en-US"/>
        </w:rPr>
        <w:t xml:space="preserve"> (8th ed.). Wiley.</w:t>
      </w:r>
    </w:p>
    <w:p w14:paraId="33DC7829" w14:textId="77777777" w:rsidR="0020723C" w:rsidRPr="00734D3B" w:rsidRDefault="0020723C" w:rsidP="00F7764F">
      <w:pPr>
        <w:ind w:left="720" w:hanging="720"/>
      </w:pPr>
      <w:proofErr w:type="spellStart"/>
      <w:r w:rsidRPr="00734D3B">
        <w:rPr>
          <w:lang w:val="en-US"/>
        </w:rPr>
        <w:t>Zwikael</w:t>
      </w:r>
      <w:proofErr w:type="spellEnd"/>
      <w:r w:rsidRPr="00734D3B">
        <w:rPr>
          <w:lang w:val="en-US"/>
        </w:rPr>
        <w:t>, O. (2022</w:t>
      </w:r>
      <w:r w:rsidRPr="00734D3B">
        <w:rPr>
          <w:i/>
          <w:iCs/>
          <w:lang w:val="en-US"/>
        </w:rPr>
        <w:t>). Project strategy: Aligning projects with organizational objectives</w:t>
      </w:r>
      <w:r w:rsidRPr="00734D3B">
        <w:rPr>
          <w:lang w:val="en-US"/>
        </w:rPr>
        <w:t xml:space="preserve">. </w:t>
      </w:r>
      <w:r w:rsidRPr="00734D3B">
        <w:t>Routledge.</w:t>
      </w:r>
    </w:p>
    <w:p w14:paraId="79E6FF5C" w14:textId="77777777" w:rsidR="00777A67" w:rsidRPr="00734D3B" w:rsidRDefault="00777A67" w:rsidP="008831A4">
      <w:pPr>
        <w:ind w:firstLine="706"/>
      </w:pPr>
    </w:p>
    <w:p w14:paraId="6CA5F115" w14:textId="77777777" w:rsidR="004102A3" w:rsidRPr="00734D3B" w:rsidRDefault="004102A3" w:rsidP="008831A4">
      <w:pPr>
        <w:ind w:firstLine="706"/>
      </w:pPr>
    </w:p>
    <w:p w14:paraId="42845C6A" w14:textId="77777777" w:rsidR="00EF0982" w:rsidRPr="00734D3B" w:rsidRDefault="00EF0982">
      <w:pPr>
        <w:spacing w:line="240" w:lineRule="auto"/>
        <w:ind w:firstLine="0"/>
        <w:rPr>
          <w:b/>
          <w:bCs/>
        </w:rPr>
      </w:pPr>
      <w:bookmarkStart w:id="389" w:name="_Toc99026287"/>
      <w:r w:rsidRPr="00734D3B">
        <w:br w:type="page"/>
      </w:r>
    </w:p>
    <w:p w14:paraId="53B835FE" w14:textId="722CFA1F" w:rsidR="00412EB6" w:rsidRPr="00734D3B" w:rsidRDefault="00264EEB" w:rsidP="00702DE7">
      <w:pPr>
        <w:pStyle w:val="Heading1"/>
        <w:numPr>
          <w:ilvl w:val="0"/>
          <w:numId w:val="0"/>
        </w:numPr>
        <w:ind w:left="360" w:hanging="360"/>
      </w:pPr>
      <w:bookmarkStart w:id="390" w:name="_Toc227936450"/>
      <w:r w:rsidRPr="00734D3B">
        <w:lastRenderedPageBreak/>
        <w:t>Anexos</w:t>
      </w:r>
      <w:bookmarkStart w:id="391" w:name="_Toc354770534"/>
      <w:bookmarkEnd w:id="389"/>
      <w:bookmarkEnd w:id="390"/>
    </w:p>
    <w:p w14:paraId="02625FF5" w14:textId="77777777" w:rsidR="00412EB6" w:rsidRPr="00734D3B" w:rsidRDefault="00412EB6" w:rsidP="00A175AE">
      <w:pPr>
        <w:pStyle w:val="Heading1"/>
        <w:numPr>
          <w:ilvl w:val="0"/>
          <w:numId w:val="0"/>
        </w:numPr>
        <w:ind w:left="360" w:hanging="360"/>
      </w:pPr>
      <w:bookmarkStart w:id="392" w:name="_Toc227936451"/>
      <w:r w:rsidRPr="00734D3B">
        <w:t>Anexo 1: ACTA (CHÁRTER) DEL PFG</w:t>
      </w:r>
      <w:bookmarkEnd w:id="392"/>
    </w:p>
    <w:p w14:paraId="1307EBC2" w14:textId="77777777" w:rsidR="00412EB6" w:rsidRPr="00734D3B" w:rsidRDefault="00412EB6" w:rsidP="00D7259E">
      <w:pPr>
        <w:spacing w:line="240" w:lineRule="auto"/>
        <w:ind w:firstLine="0"/>
        <w:rPr>
          <w:rFonts w:cs="Arial"/>
          <w:b/>
          <w:szCs w:val="22"/>
        </w:rPr>
      </w:pPr>
      <w:r w:rsidRPr="00734D3B">
        <w:rPr>
          <w:rFonts w:cs="Arial"/>
          <w:b/>
          <w:szCs w:val="22"/>
        </w:rPr>
        <w:t xml:space="preserve">ACTA DE LA PROPUESTA DE </w:t>
      </w:r>
    </w:p>
    <w:p w14:paraId="31EC3C55" w14:textId="77777777" w:rsidR="00412EB6" w:rsidRPr="00734D3B" w:rsidRDefault="00412EB6" w:rsidP="00D7259E">
      <w:pPr>
        <w:spacing w:line="240" w:lineRule="auto"/>
        <w:ind w:firstLine="0"/>
        <w:rPr>
          <w:rFonts w:cs="Arial"/>
          <w:b/>
          <w:szCs w:val="22"/>
        </w:rPr>
      </w:pPr>
      <w:r w:rsidRPr="00734D3B">
        <w:rPr>
          <w:rFonts w:cs="Arial"/>
          <w:b/>
          <w:szCs w:val="22"/>
        </w:rPr>
        <w:t>PROYECTO FINAL DE GRADUACIÓN (PFG)</w:t>
      </w:r>
    </w:p>
    <w:p w14:paraId="4ED364F7" w14:textId="77777777" w:rsidR="00412EB6" w:rsidRPr="00734D3B" w:rsidRDefault="00412EB6" w:rsidP="00D7259E">
      <w:pPr>
        <w:spacing w:line="240" w:lineRule="auto"/>
        <w:ind w:firstLine="0"/>
        <w:rPr>
          <w:rFonts w:cs="Arial"/>
          <w:b/>
          <w:szCs w:val="22"/>
        </w:rPr>
      </w:pPr>
    </w:p>
    <w:p w14:paraId="1ED53AA3"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Nombre del (de la) estudiante</w:t>
      </w:r>
    </w:p>
    <w:p w14:paraId="7537500F" w14:textId="77777777" w:rsidR="00412EB6" w:rsidRPr="00734D3B" w:rsidRDefault="00412EB6" w:rsidP="00D7259E">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734D3B" w14:paraId="41792C23" w14:textId="77777777" w:rsidTr="000C22DE">
        <w:tc>
          <w:tcPr>
            <w:tcW w:w="9396" w:type="dxa"/>
          </w:tcPr>
          <w:p w14:paraId="66074F46" w14:textId="2065D382" w:rsidR="00412EB6" w:rsidRPr="00734D3B" w:rsidRDefault="000B21EC" w:rsidP="00D7259E">
            <w:pPr>
              <w:tabs>
                <w:tab w:val="left" w:pos="1185"/>
              </w:tabs>
              <w:spacing w:line="240" w:lineRule="auto"/>
              <w:ind w:firstLine="0"/>
              <w:contextualSpacing/>
              <w:rPr>
                <w:rFonts w:eastAsia="Calibri" w:cs="Arial"/>
                <w:szCs w:val="22"/>
              </w:rPr>
            </w:pPr>
            <w:r w:rsidRPr="00734D3B">
              <w:rPr>
                <w:rFonts w:eastAsia="Calibri" w:cs="Arial"/>
                <w:szCs w:val="22"/>
              </w:rPr>
              <w:t xml:space="preserve">Ana </w:t>
            </w:r>
            <w:r w:rsidR="00F14082" w:rsidRPr="00734D3B">
              <w:rPr>
                <w:rFonts w:eastAsia="Calibri" w:cs="Arial"/>
                <w:szCs w:val="22"/>
              </w:rPr>
              <w:t>Rodríguez</w:t>
            </w:r>
            <w:r w:rsidRPr="00734D3B">
              <w:rPr>
                <w:rFonts w:eastAsia="Calibri" w:cs="Arial"/>
                <w:szCs w:val="22"/>
              </w:rPr>
              <w:t xml:space="preserve"> Barrantes </w:t>
            </w:r>
          </w:p>
        </w:tc>
      </w:tr>
    </w:tbl>
    <w:p w14:paraId="609F1048" w14:textId="77777777" w:rsidR="00412EB6" w:rsidRPr="00734D3B" w:rsidRDefault="00412EB6" w:rsidP="00D7259E">
      <w:pPr>
        <w:spacing w:line="240" w:lineRule="auto"/>
        <w:ind w:left="720" w:firstLine="0"/>
        <w:contextualSpacing/>
        <w:rPr>
          <w:rFonts w:cs="Arial"/>
          <w:szCs w:val="22"/>
        </w:rPr>
      </w:pPr>
    </w:p>
    <w:p w14:paraId="514084A1"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 xml:space="preserve">Nombre del PFG </w:t>
      </w:r>
    </w:p>
    <w:p w14:paraId="332CF299" w14:textId="77777777" w:rsidR="00412EB6" w:rsidRPr="00734D3B" w:rsidRDefault="00412EB6" w:rsidP="00D7259E">
      <w:pPr>
        <w:spacing w:line="240" w:lineRule="auto"/>
        <w:ind w:firstLine="0"/>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734D3B" w14:paraId="2CD72E70" w14:textId="77777777" w:rsidTr="000C22DE">
        <w:tc>
          <w:tcPr>
            <w:tcW w:w="8692" w:type="dxa"/>
          </w:tcPr>
          <w:p w14:paraId="5B4CC0A7" w14:textId="77777777" w:rsidR="00796181" w:rsidRPr="00734D3B" w:rsidRDefault="00796181" w:rsidP="00D7259E">
            <w:pPr>
              <w:ind w:firstLine="0"/>
              <w:rPr>
                <w:rFonts w:ascii="Times New Roman" w:hAnsi="Times New Roman"/>
                <w:szCs w:val="22"/>
              </w:rPr>
            </w:pPr>
            <w:r w:rsidRPr="00734D3B">
              <w:rPr>
                <w:rFonts w:cs="Arial"/>
                <w:szCs w:val="22"/>
              </w:rPr>
              <w:t>Guía metodológica de gestión sostenible para contratistas eléctricos en proyectos de data centers en Arizona, con énfasis en el manejo de residuos y la reducción de impactos ambientales</w:t>
            </w:r>
            <w:r w:rsidRPr="00734D3B">
              <w:rPr>
                <w:rFonts w:ascii="Times New Roman" w:hAnsi="Times New Roman"/>
                <w:szCs w:val="22"/>
              </w:rPr>
              <w:t>.</w:t>
            </w:r>
          </w:p>
          <w:p w14:paraId="4A36A14F" w14:textId="77777777" w:rsidR="00412EB6" w:rsidRPr="00734D3B" w:rsidRDefault="00412EB6" w:rsidP="00D7259E">
            <w:pPr>
              <w:spacing w:line="240" w:lineRule="auto"/>
              <w:ind w:firstLine="0"/>
              <w:rPr>
                <w:rFonts w:eastAsia="Calibri" w:cs="Arial"/>
                <w:szCs w:val="22"/>
              </w:rPr>
            </w:pPr>
          </w:p>
        </w:tc>
      </w:tr>
    </w:tbl>
    <w:p w14:paraId="561D5740" w14:textId="77777777" w:rsidR="00412EB6" w:rsidRPr="00734D3B" w:rsidRDefault="00412EB6" w:rsidP="00D7259E">
      <w:pPr>
        <w:spacing w:line="240" w:lineRule="auto"/>
        <w:ind w:firstLine="0"/>
        <w:rPr>
          <w:rFonts w:cs="Arial"/>
          <w:szCs w:val="22"/>
        </w:rPr>
      </w:pPr>
    </w:p>
    <w:p w14:paraId="3EA926EA"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Área temática del sector o actividad</w:t>
      </w:r>
    </w:p>
    <w:p w14:paraId="7A46B1BA" w14:textId="77777777" w:rsidR="00412EB6" w:rsidRPr="00734D3B" w:rsidRDefault="00412EB6" w:rsidP="00D7259E">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734D3B" w14:paraId="47847C72" w14:textId="77777777" w:rsidTr="000C22DE">
        <w:tc>
          <w:tcPr>
            <w:tcW w:w="8692" w:type="dxa"/>
          </w:tcPr>
          <w:p w14:paraId="051D1ACB" w14:textId="4DF9C574" w:rsidR="00412EB6" w:rsidRPr="00734D3B" w:rsidRDefault="00412EB6" w:rsidP="00D7259E">
            <w:pPr>
              <w:spacing w:line="240" w:lineRule="auto"/>
              <w:ind w:firstLine="0"/>
              <w:rPr>
                <w:rFonts w:eastAsia="Calibri" w:cs="Arial"/>
                <w:szCs w:val="22"/>
              </w:rPr>
            </w:pPr>
            <w:r w:rsidRPr="00734D3B">
              <w:rPr>
                <w:rFonts w:eastAsia="Calibri" w:cs="Arial"/>
                <w:szCs w:val="22"/>
              </w:rPr>
              <w:t xml:space="preserve">Construcción </w:t>
            </w:r>
          </w:p>
          <w:p w14:paraId="489998B7" w14:textId="77777777" w:rsidR="00412EB6" w:rsidRPr="00734D3B" w:rsidRDefault="00412EB6" w:rsidP="00D7259E">
            <w:pPr>
              <w:spacing w:line="240" w:lineRule="auto"/>
              <w:ind w:firstLine="0"/>
              <w:rPr>
                <w:rFonts w:eastAsia="Calibri" w:cs="Arial"/>
                <w:szCs w:val="22"/>
              </w:rPr>
            </w:pPr>
          </w:p>
        </w:tc>
      </w:tr>
    </w:tbl>
    <w:p w14:paraId="40A704B2" w14:textId="77777777" w:rsidR="00412EB6" w:rsidRPr="00734D3B" w:rsidRDefault="00412EB6" w:rsidP="00D7259E">
      <w:pPr>
        <w:spacing w:line="240" w:lineRule="auto"/>
        <w:ind w:firstLine="0"/>
        <w:rPr>
          <w:rFonts w:cs="Arial"/>
          <w:szCs w:val="22"/>
        </w:rPr>
      </w:pPr>
    </w:p>
    <w:p w14:paraId="626BEDFD"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Firma de la persona estudiante</w:t>
      </w:r>
    </w:p>
    <w:p w14:paraId="6195EE21" w14:textId="77777777" w:rsidR="00412EB6" w:rsidRPr="00734D3B" w:rsidRDefault="00412EB6" w:rsidP="00D7259E">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734D3B" w14:paraId="7B889641" w14:textId="77777777" w:rsidTr="000C22DE">
        <w:tc>
          <w:tcPr>
            <w:tcW w:w="9396" w:type="dxa"/>
          </w:tcPr>
          <w:p w14:paraId="100ACEBA" w14:textId="6C0CDEE0" w:rsidR="00412EB6" w:rsidRPr="00734D3B" w:rsidRDefault="00096F93" w:rsidP="00D7259E">
            <w:pPr>
              <w:spacing w:line="240" w:lineRule="auto"/>
              <w:ind w:firstLine="0"/>
              <w:contextualSpacing/>
              <w:rPr>
                <w:rFonts w:eastAsia="Calibri" w:cs="Arial"/>
                <w:szCs w:val="22"/>
              </w:rPr>
            </w:pPr>
            <w:r w:rsidRPr="00734D3B">
              <w:rPr>
                <w:rFonts w:eastAsia="Calibri" w:cs="Arial"/>
                <w:noProof/>
                <w:szCs w:val="22"/>
              </w:rPr>
              <w:drawing>
                <wp:inline distT="0" distB="0" distL="0" distR="0" wp14:anchorId="44CF321C" wp14:editId="5BC22407">
                  <wp:extent cx="1800225" cy="285115"/>
                  <wp:effectExtent l="0" t="0" r="9525" b="635"/>
                  <wp:docPr id="1766521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21434" name=""/>
                          <pic:cNvPicPr/>
                        </pic:nvPicPr>
                        <pic:blipFill>
                          <a:blip r:embed="rId53"/>
                          <a:stretch>
                            <a:fillRect/>
                          </a:stretch>
                        </pic:blipFill>
                        <pic:spPr>
                          <a:xfrm>
                            <a:off x="0" y="0"/>
                            <a:ext cx="1804178" cy="285741"/>
                          </a:xfrm>
                          <a:prstGeom prst="rect">
                            <a:avLst/>
                          </a:prstGeom>
                        </pic:spPr>
                      </pic:pic>
                    </a:graphicData>
                  </a:graphic>
                </wp:inline>
              </w:drawing>
            </w:r>
          </w:p>
          <w:p w14:paraId="4FDD656B" w14:textId="5765C162" w:rsidR="00672D4D" w:rsidRPr="00734D3B" w:rsidRDefault="00672D4D" w:rsidP="00D7259E">
            <w:pPr>
              <w:spacing w:line="240" w:lineRule="auto"/>
              <w:ind w:firstLine="0"/>
              <w:contextualSpacing/>
              <w:rPr>
                <w:rFonts w:eastAsia="Calibri" w:cs="Arial"/>
                <w:szCs w:val="22"/>
              </w:rPr>
            </w:pPr>
          </w:p>
        </w:tc>
      </w:tr>
    </w:tbl>
    <w:p w14:paraId="41F93A64" w14:textId="77777777" w:rsidR="00412EB6" w:rsidRPr="00734D3B" w:rsidRDefault="00412EB6" w:rsidP="00D7259E">
      <w:pPr>
        <w:spacing w:line="240" w:lineRule="auto"/>
        <w:ind w:left="720" w:firstLine="0"/>
        <w:contextualSpacing/>
        <w:rPr>
          <w:rFonts w:cs="Arial"/>
          <w:szCs w:val="22"/>
        </w:rPr>
      </w:pPr>
    </w:p>
    <w:p w14:paraId="1141F50F"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 xml:space="preserve">Nombre de la persona docente SG </w:t>
      </w:r>
    </w:p>
    <w:p w14:paraId="2A62F50D" w14:textId="77777777" w:rsidR="00412EB6" w:rsidRPr="00734D3B" w:rsidRDefault="00412EB6" w:rsidP="00D7259E">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734D3B" w14:paraId="408F3F51" w14:textId="77777777" w:rsidTr="000C22DE">
        <w:tc>
          <w:tcPr>
            <w:tcW w:w="9396" w:type="dxa"/>
          </w:tcPr>
          <w:p w14:paraId="315FBAD5" w14:textId="77777777" w:rsidR="00412EB6" w:rsidRPr="00734D3B" w:rsidRDefault="00412EB6" w:rsidP="00D7259E">
            <w:pPr>
              <w:spacing w:line="240" w:lineRule="auto"/>
              <w:ind w:firstLine="0"/>
              <w:contextualSpacing/>
              <w:rPr>
                <w:rFonts w:eastAsia="Calibri" w:cs="Arial"/>
                <w:szCs w:val="22"/>
              </w:rPr>
            </w:pPr>
          </w:p>
        </w:tc>
      </w:tr>
    </w:tbl>
    <w:p w14:paraId="527CDA45" w14:textId="77777777" w:rsidR="00412EB6" w:rsidRPr="00734D3B" w:rsidRDefault="00412EB6" w:rsidP="00D7259E">
      <w:pPr>
        <w:spacing w:line="240" w:lineRule="auto"/>
        <w:ind w:left="720" w:firstLine="0"/>
        <w:contextualSpacing/>
        <w:rPr>
          <w:rFonts w:cs="Arial"/>
          <w:szCs w:val="22"/>
        </w:rPr>
      </w:pPr>
    </w:p>
    <w:p w14:paraId="1ACE6CB9"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Firma de la persona docente</w:t>
      </w:r>
    </w:p>
    <w:p w14:paraId="7C2DBF02" w14:textId="77777777" w:rsidR="00412EB6" w:rsidRPr="00734D3B" w:rsidRDefault="00412EB6" w:rsidP="00D7259E">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734D3B" w14:paraId="2EBF74B2" w14:textId="77777777" w:rsidTr="000C22DE">
        <w:tc>
          <w:tcPr>
            <w:tcW w:w="9396" w:type="dxa"/>
          </w:tcPr>
          <w:p w14:paraId="0205ACB6" w14:textId="57908CA9" w:rsidR="00AE423E" w:rsidRPr="00734D3B" w:rsidRDefault="001F6C0B" w:rsidP="00D7259E">
            <w:pPr>
              <w:spacing w:line="240" w:lineRule="auto"/>
              <w:ind w:firstLine="0"/>
              <w:contextualSpacing/>
              <w:rPr>
                <w:rFonts w:eastAsia="Calibri" w:cs="Arial"/>
                <w:szCs w:val="22"/>
              </w:rPr>
            </w:pPr>
            <w:r w:rsidRPr="00734D3B">
              <w:rPr>
                <w:rFonts w:eastAsia="Calibri" w:cs="Arial"/>
                <w:noProof/>
                <w:szCs w:val="22"/>
              </w:rPr>
              <w:drawing>
                <wp:inline distT="0" distB="0" distL="0" distR="0" wp14:anchorId="5F710CC1" wp14:editId="18166745">
                  <wp:extent cx="1389529" cy="649378"/>
                  <wp:effectExtent l="0" t="0" r="0" b="0"/>
                  <wp:docPr id="115194770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7704" name="Imagen 115194770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00350" cy="654435"/>
                          </a:xfrm>
                          <a:prstGeom prst="rect">
                            <a:avLst/>
                          </a:prstGeom>
                        </pic:spPr>
                      </pic:pic>
                    </a:graphicData>
                  </a:graphic>
                </wp:inline>
              </w:drawing>
            </w:r>
          </w:p>
        </w:tc>
      </w:tr>
    </w:tbl>
    <w:p w14:paraId="01EC9B73" w14:textId="77777777" w:rsidR="00412EB6" w:rsidRPr="00734D3B" w:rsidRDefault="00412EB6" w:rsidP="00D7259E">
      <w:pPr>
        <w:spacing w:line="240" w:lineRule="auto"/>
        <w:ind w:left="720" w:firstLine="0"/>
        <w:contextualSpacing/>
        <w:rPr>
          <w:rFonts w:cs="Arial"/>
          <w:szCs w:val="22"/>
        </w:rPr>
      </w:pPr>
    </w:p>
    <w:p w14:paraId="6D143988"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412EB6" w:rsidRPr="00734D3B" w14:paraId="00DA72CE" w14:textId="77777777" w:rsidTr="000C22DE">
        <w:tc>
          <w:tcPr>
            <w:tcW w:w="5290" w:type="dxa"/>
          </w:tcPr>
          <w:p w14:paraId="3BEFFD70" w14:textId="3FB8427C" w:rsidR="00412EB6" w:rsidRPr="00734D3B" w:rsidRDefault="001F6C0B" w:rsidP="00D7259E">
            <w:pPr>
              <w:spacing w:line="240" w:lineRule="auto"/>
              <w:ind w:firstLine="0"/>
              <w:contextualSpacing/>
              <w:rPr>
                <w:rFonts w:eastAsia="Calibri" w:cs="Arial"/>
                <w:szCs w:val="22"/>
              </w:rPr>
            </w:pPr>
            <w:r w:rsidRPr="00734D3B">
              <w:rPr>
                <w:rFonts w:eastAsia="Calibri" w:cs="Arial"/>
                <w:szCs w:val="22"/>
              </w:rPr>
              <w:t>24 de octubre 2025</w:t>
            </w:r>
          </w:p>
        </w:tc>
      </w:tr>
    </w:tbl>
    <w:p w14:paraId="5772F664" w14:textId="77777777" w:rsidR="00412EB6" w:rsidRPr="00734D3B" w:rsidRDefault="00412EB6" w:rsidP="00D7259E">
      <w:pPr>
        <w:spacing w:line="240" w:lineRule="auto"/>
        <w:ind w:firstLine="0"/>
        <w:rPr>
          <w:rFonts w:cs="Arial"/>
          <w:szCs w:val="22"/>
        </w:rPr>
      </w:pPr>
    </w:p>
    <w:p w14:paraId="706344F3"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3"/>
      </w:tblGrid>
      <w:tr w:rsidR="00412EB6" w:rsidRPr="00734D3B" w14:paraId="572E2F00" w14:textId="77777777" w:rsidTr="000C22DE">
        <w:tc>
          <w:tcPr>
            <w:tcW w:w="2645" w:type="dxa"/>
          </w:tcPr>
          <w:p w14:paraId="2B5915CA" w14:textId="0B0C4777" w:rsidR="00412EB6" w:rsidRPr="00734D3B" w:rsidRDefault="00412EB6" w:rsidP="00D7259E">
            <w:pPr>
              <w:spacing w:line="240" w:lineRule="auto"/>
              <w:ind w:firstLine="0"/>
              <w:rPr>
                <w:rFonts w:eastAsia="Calibri" w:cs="Arial"/>
                <w:szCs w:val="22"/>
                <w:highlight w:val="yellow"/>
              </w:rPr>
            </w:pPr>
          </w:p>
        </w:tc>
        <w:tc>
          <w:tcPr>
            <w:tcW w:w="2645" w:type="dxa"/>
          </w:tcPr>
          <w:p w14:paraId="13A5B56F" w14:textId="1BA86F5F" w:rsidR="00412EB6" w:rsidRPr="00734D3B" w:rsidRDefault="00412EB6" w:rsidP="00D7259E">
            <w:pPr>
              <w:spacing w:line="240" w:lineRule="auto"/>
              <w:ind w:firstLine="0"/>
              <w:rPr>
                <w:rFonts w:eastAsia="Calibri" w:cs="Arial"/>
                <w:szCs w:val="22"/>
                <w:highlight w:val="yellow"/>
              </w:rPr>
            </w:pPr>
          </w:p>
        </w:tc>
      </w:tr>
    </w:tbl>
    <w:p w14:paraId="21CDFE60" w14:textId="77777777" w:rsidR="00412EB6" w:rsidRPr="00734D3B" w:rsidRDefault="00412EB6" w:rsidP="00D7259E">
      <w:pPr>
        <w:spacing w:line="240" w:lineRule="auto"/>
        <w:ind w:firstLine="0"/>
        <w:rPr>
          <w:rFonts w:cs="Arial"/>
          <w:szCs w:val="22"/>
        </w:rPr>
      </w:pPr>
    </w:p>
    <w:p w14:paraId="0FCFAE0C"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lastRenderedPageBreak/>
        <w:t>Pregunta de investigación</w:t>
      </w:r>
    </w:p>
    <w:p w14:paraId="2D54CD97" w14:textId="77777777" w:rsidR="00412EB6" w:rsidRPr="00734D3B" w:rsidRDefault="00412EB6" w:rsidP="00D7259E">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734D3B" w:rsidRPr="00734D3B" w14:paraId="1E664D77" w14:textId="77777777" w:rsidTr="000C22DE">
        <w:tc>
          <w:tcPr>
            <w:tcW w:w="8692" w:type="dxa"/>
          </w:tcPr>
          <w:p w14:paraId="546D51E6" w14:textId="79D0232F" w:rsidR="00417EA9" w:rsidRPr="00734D3B" w:rsidRDefault="00417EA9" w:rsidP="00D7259E">
            <w:pPr>
              <w:ind w:firstLine="0"/>
              <w:rPr>
                <w:rFonts w:cs="Arial"/>
                <w:szCs w:val="22"/>
              </w:rPr>
            </w:pPr>
            <w:r w:rsidRPr="00734D3B">
              <w:rPr>
                <w:rFonts w:cs="Arial"/>
                <w:szCs w:val="22"/>
              </w:rPr>
              <w:t>¿Cómo estructurar una guía metodológica de gestión sostenible para contratistas eléctricos en proyectos de data centers en Arizona</w:t>
            </w:r>
            <w:r w:rsidR="00967B29" w:rsidRPr="00734D3B">
              <w:rPr>
                <w:rFonts w:cs="Arial"/>
                <w:szCs w:val="22"/>
              </w:rPr>
              <w:t xml:space="preserve">, </w:t>
            </w:r>
            <w:proofErr w:type="gramStart"/>
            <w:r w:rsidR="00967B29" w:rsidRPr="00734D3B">
              <w:rPr>
                <w:rFonts w:cs="Arial"/>
                <w:szCs w:val="22"/>
              </w:rPr>
              <w:t>Estados Unidos,</w:t>
            </w:r>
            <w:r w:rsidRPr="00734D3B">
              <w:rPr>
                <w:rFonts w:cs="Arial"/>
                <w:szCs w:val="22"/>
              </w:rPr>
              <w:t xml:space="preserve"> para mejorar el manejo de residuos y reducir los impactos ambientales de la construcción</w:t>
            </w:r>
            <w:r w:rsidR="000C4184" w:rsidRPr="00734D3B">
              <w:rPr>
                <w:rFonts w:cs="Arial"/>
                <w:szCs w:val="22"/>
              </w:rPr>
              <w:t xml:space="preserve"> eléctrica</w:t>
            </w:r>
            <w:r w:rsidRPr="00734D3B">
              <w:rPr>
                <w:rFonts w:cs="Arial"/>
                <w:szCs w:val="22"/>
              </w:rPr>
              <w:t>?</w:t>
            </w:r>
            <w:proofErr w:type="gramEnd"/>
          </w:p>
          <w:p w14:paraId="22908C62" w14:textId="77777777" w:rsidR="00412EB6" w:rsidRPr="00734D3B" w:rsidRDefault="00412EB6" w:rsidP="00D7259E">
            <w:pPr>
              <w:spacing w:line="240" w:lineRule="auto"/>
              <w:ind w:firstLine="0"/>
              <w:rPr>
                <w:rFonts w:eastAsia="Calibri" w:cs="Arial"/>
                <w:szCs w:val="22"/>
              </w:rPr>
            </w:pPr>
          </w:p>
        </w:tc>
      </w:tr>
    </w:tbl>
    <w:p w14:paraId="55B69B1B"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Hipótesis de investigación</w:t>
      </w:r>
    </w:p>
    <w:p w14:paraId="59694295" w14:textId="77777777" w:rsidR="00412EB6" w:rsidRPr="00734D3B" w:rsidRDefault="00412EB6" w:rsidP="00D7259E">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734D3B" w14:paraId="7131A92F" w14:textId="77777777" w:rsidTr="000C22DE">
        <w:tc>
          <w:tcPr>
            <w:tcW w:w="9396" w:type="dxa"/>
          </w:tcPr>
          <w:p w14:paraId="1A7CA1E8" w14:textId="0E01565A" w:rsidR="00BC27A2" w:rsidRPr="00734D3B" w:rsidRDefault="00BC27A2" w:rsidP="00D7259E">
            <w:pPr>
              <w:ind w:firstLine="0"/>
              <w:rPr>
                <w:rFonts w:cs="Arial"/>
                <w:szCs w:val="22"/>
              </w:rPr>
            </w:pPr>
            <w:r w:rsidRPr="00734D3B">
              <w:rPr>
                <w:rFonts w:cs="Arial"/>
                <w:szCs w:val="22"/>
              </w:rPr>
              <w:t>Es posible diseñar e implementar una guía metodológica de gestión sostenible adaptada a contratistas eléctricos en proyectos de data centers en Arizona</w:t>
            </w:r>
            <w:r w:rsidR="00967B29" w:rsidRPr="00734D3B">
              <w:rPr>
                <w:rFonts w:cs="Arial"/>
                <w:szCs w:val="22"/>
              </w:rPr>
              <w:t xml:space="preserve">, </w:t>
            </w:r>
            <w:r w:rsidR="000C4184" w:rsidRPr="00AB7CA2">
              <w:rPr>
                <w:rFonts w:cs="Arial"/>
                <w:szCs w:val="22"/>
              </w:rPr>
              <w:t>EE. UU.</w:t>
            </w:r>
            <w:r w:rsidR="00967B29" w:rsidRPr="00AB7CA2">
              <w:rPr>
                <w:rFonts w:cs="Arial"/>
                <w:szCs w:val="22"/>
              </w:rPr>
              <w:t>,</w:t>
            </w:r>
            <w:r w:rsidRPr="00734D3B">
              <w:rPr>
                <w:rFonts w:cs="Arial"/>
                <w:szCs w:val="22"/>
              </w:rPr>
              <w:t xml:space="preserve"> para optimizar el manejo de residuos y reducir los impactos ambientales, tomando como referencia buenas prácticas internacionales y </w:t>
            </w:r>
            <w:r w:rsidRPr="00734D3B">
              <w:rPr>
                <w:rFonts w:cs="Arial"/>
              </w:rPr>
              <w:t>regionales.</w:t>
            </w:r>
          </w:p>
          <w:p w14:paraId="6F8C3748" w14:textId="77777777" w:rsidR="00412EB6" w:rsidRPr="00734D3B" w:rsidRDefault="00412EB6" w:rsidP="00D7259E">
            <w:pPr>
              <w:spacing w:line="240" w:lineRule="auto"/>
              <w:ind w:firstLine="0"/>
              <w:contextualSpacing/>
              <w:rPr>
                <w:rFonts w:eastAsia="Calibri" w:cs="Arial"/>
                <w:szCs w:val="22"/>
              </w:rPr>
            </w:pPr>
          </w:p>
        </w:tc>
      </w:tr>
    </w:tbl>
    <w:p w14:paraId="19345CCC" w14:textId="77777777" w:rsidR="00412EB6" w:rsidRPr="00734D3B" w:rsidRDefault="00412EB6" w:rsidP="00D7259E">
      <w:pPr>
        <w:spacing w:line="240" w:lineRule="auto"/>
        <w:ind w:firstLine="0"/>
        <w:rPr>
          <w:rFonts w:cs="Arial"/>
          <w:szCs w:val="22"/>
        </w:rPr>
      </w:pPr>
    </w:p>
    <w:p w14:paraId="08D8C72B"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734D3B" w14:paraId="5ED8BC94" w14:textId="77777777" w:rsidTr="000C22DE">
        <w:tc>
          <w:tcPr>
            <w:tcW w:w="8692" w:type="dxa"/>
          </w:tcPr>
          <w:p w14:paraId="2F86F731" w14:textId="16DAF974" w:rsidR="00656E19" w:rsidRPr="00734D3B" w:rsidRDefault="00656E19" w:rsidP="00D7259E">
            <w:pPr>
              <w:pStyle w:val="NormalWeb"/>
              <w:ind w:firstLine="0"/>
              <w:rPr>
                <w:color w:val="auto"/>
                <w:sz w:val="22"/>
                <w:szCs w:val="22"/>
              </w:rPr>
            </w:pPr>
            <w:r w:rsidRPr="00734D3B">
              <w:rPr>
                <w:color w:val="auto"/>
                <w:sz w:val="22"/>
                <w:szCs w:val="22"/>
              </w:rPr>
              <w:t>Diseñar una guía metodológica de gestión sostenible dirigida a contratistas eléctricos que ejecutan proyectos de data centers en Arizona</w:t>
            </w:r>
            <w:r w:rsidR="00967B29" w:rsidRPr="00AB7CA2">
              <w:rPr>
                <w:color w:val="auto"/>
                <w:sz w:val="22"/>
                <w:szCs w:val="22"/>
              </w:rPr>
              <w:t xml:space="preserve">, </w:t>
            </w:r>
            <w:r w:rsidR="000C4184" w:rsidRPr="00AB7CA2">
              <w:rPr>
                <w:color w:val="auto"/>
                <w:sz w:val="22"/>
                <w:szCs w:val="22"/>
              </w:rPr>
              <w:t>EE. UU.</w:t>
            </w:r>
            <w:r w:rsidR="00967B29" w:rsidRPr="00AB7CA2">
              <w:rPr>
                <w:color w:val="auto"/>
                <w:sz w:val="22"/>
                <w:szCs w:val="22"/>
              </w:rPr>
              <w:t>,</w:t>
            </w:r>
            <w:r w:rsidRPr="00AB7CA2">
              <w:rPr>
                <w:color w:val="auto"/>
                <w:sz w:val="22"/>
                <w:szCs w:val="22"/>
              </w:rPr>
              <w:t xml:space="preserve"> </w:t>
            </w:r>
            <w:r w:rsidRPr="00AB7CA2">
              <w:rPr>
                <w:rStyle w:val="Strong"/>
                <w:b w:val="0"/>
                <w:bCs w:val="0"/>
                <w:color w:val="auto"/>
                <w:sz w:val="22"/>
                <w:szCs w:val="22"/>
              </w:rPr>
              <w:t>para</w:t>
            </w:r>
            <w:r w:rsidRPr="00734D3B">
              <w:rPr>
                <w:rStyle w:val="Strong"/>
                <w:b w:val="0"/>
                <w:bCs w:val="0"/>
                <w:color w:val="auto"/>
                <w:sz w:val="22"/>
                <w:szCs w:val="22"/>
              </w:rPr>
              <w:t xml:space="preserve"> optimizar el manejo de residuos y reducir los impactos ambientales</w:t>
            </w:r>
            <w:r w:rsidRPr="00734D3B">
              <w:rPr>
                <w:color w:val="auto"/>
                <w:sz w:val="22"/>
                <w:szCs w:val="22"/>
              </w:rPr>
              <w:t xml:space="preserve"> asociados a la construcción</w:t>
            </w:r>
            <w:r w:rsidR="00C40709" w:rsidRPr="00734D3B">
              <w:rPr>
                <w:color w:val="auto"/>
                <w:sz w:val="22"/>
                <w:szCs w:val="22"/>
              </w:rPr>
              <w:t xml:space="preserve"> de data centers</w:t>
            </w:r>
            <w:r w:rsidR="00967B29" w:rsidRPr="00734D3B">
              <w:rPr>
                <w:color w:val="auto"/>
                <w:sz w:val="22"/>
                <w:szCs w:val="22"/>
              </w:rPr>
              <w:t>, según las buenas prácticas internacionales en gestión de proyectos sostenibles</w:t>
            </w:r>
            <w:r w:rsidRPr="00734D3B">
              <w:rPr>
                <w:color w:val="auto"/>
                <w:sz w:val="22"/>
                <w:szCs w:val="22"/>
              </w:rPr>
              <w:t>.</w:t>
            </w:r>
          </w:p>
          <w:p w14:paraId="5BA833D1" w14:textId="66F460F9" w:rsidR="00412EB6" w:rsidRPr="00734D3B" w:rsidRDefault="00412EB6" w:rsidP="00D7259E">
            <w:pPr>
              <w:spacing w:line="240" w:lineRule="auto"/>
              <w:ind w:firstLine="0"/>
              <w:rPr>
                <w:rFonts w:eastAsia="Calibri" w:cs="Arial"/>
                <w:szCs w:val="22"/>
              </w:rPr>
            </w:pPr>
          </w:p>
        </w:tc>
      </w:tr>
    </w:tbl>
    <w:p w14:paraId="3BC769EF" w14:textId="77777777" w:rsidR="00412EB6" w:rsidRPr="00734D3B" w:rsidRDefault="00412EB6" w:rsidP="00D7259E">
      <w:pPr>
        <w:spacing w:line="240" w:lineRule="auto"/>
        <w:ind w:firstLine="0"/>
        <w:rPr>
          <w:rFonts w:cs="Arial"/>
          <w:szCs w:val="22"/>
        </w:rPr>
      </w:pPr>
    </w:p>
    <w:p w14:paraId="6C37CC70"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734D3B" w:rsidRPr="00734D3B" w14:paraId="56001621" w14:textId="77777777" w:rsidTr="000C22DE">
        <w:tc>
          <w:tcPr>
            <w:tcW w:w="8255" w:type="dxa"/>
          </w:tcPr>
          <w:p w14:paraId="44614E34" w14:textId="565E4308" w:rsidR="003544AF" w:rsidRPr="00734D3B" w:rsidRDefault="003544AF" w:rsidP="001D692F">
            <w:pPr>
              <w:pStyle w:val="NormalWeb"/>
              <w:numPr>
                <w:ilvl w:val="0"/>
                <w:numId w:val="5"/>
              </w:numPr>
              <w:spacing w:before="100" w:beforeAutospacing="1" w:after="100" w:afterAutospacing="1"/>
              <w:rPr>
                <w:color w:val="auto"/>
                <w:sz w:val="22"/>
                <w:szCs w:val="22"/>
              </w:rPr>
            </w:pPr>
            <w:r w:rsidRPr="00734D3B">
              <w:rPr>
                <w:color w:val="auto"/>
                <w:sz w:val="22"/>
                <w:szCs w:val="22"/>
              </w:rPr>
              <w:t>Diagnosticar el estado actual de las prácticas de sostenibilidad y gestión de residuos aplicadas por contratistas eléctricos en proyectos de data centers en Arizona</w:t>
            </w:r>
            <w:r w:rsidR="00967B29" w:rsidRPr="00734D3B">
              <w:rPr>
                <w:color w:val="auto"/>
                <w:sz w:val="22"/>
                <w:szCs w:val="22"/>
              </w:rPr>
              <w:t xml:space="preserve">, </w:t>
            </w:r>
            <w:r w:rsidR="000C4184" w:rsidRPr="00734D3B">
              <w:rPr>
                <w:color w:val="auto"/>
                <w:sz w:val="22"/>
                <w:szCs w:val="22"/>
              </w:rPr>
              <w:t>EE. UU.</w:t>
            </w:r>
            <w:r w:rsidR="00967B29" w:rsidRPr="00734D3B">
              <w:rPr>
                <w:color w:val="auto"/>
                <w:sz w:val="22"/>
                <w:szCs w:val="22"/>
              </w:rPr>
              <w:t>,</w:t>
            </w:r>
            <w:r w:rsidRPr="00734D3B">
              <w:rPr>
                <w:color w:val="auto"/>
                <w:sz w:val="22"/>
                <w:szCs w:val="22"/>
              </w:rPr>
              <w:t xml:space="preserve"> </w:t>
            </w:r>
            <w:r w:rsidRPr="00734D3B">
              <w:rPr>
                <w:rStyle w:val="Strong"/>
                <w:b w:val="0"/>
                <w:bCs w:val="0"/>
                <w:color w:val="auto"/>
                <w:sz w:val="22"/>
                <w:szCs w:val="22"/>
              </w:rPr>
              <w:t>para identificar brechas y oportunidades de mejora</w:t>
            </w:r>
            <w:r w:rsidRPr="00734D3B">
              <w:rPr>
                <w:color w:val="auto"/>
                <w:sz w:val="22"/>
                <w:szCs w:val="22"/>
              </w:rPr>
              <w:t>.</w:t>
            </w:r>
          </w:p>
          <w:p w14:paraId="6401F51C" w14:textId="77777777" w:rsidR="003544AF" w:rsidRPr="00734D3B" w:rsidRDefault="003544AF" w:rsidP="001D692F">
            <w:pPr>
              <w:pStyle w:val="NormalWeb"/>
              <w:numPr>
                <w:ilvl w:val="0"/>
                <w:numId w:val="5"/>
              </w:numPr>
              <w:spacing w:before="100" w:beforeAutospacing="1" w:after="100" w:afterAutospacing="1"/>
              <w:rPr>
                <w:color w:val="auto"/>
                <w:sz w:val="22"/>
                <w:szCs w:val="22"/>
              </w:rPr>
            </w:pPr>
            <w:r w:rsidRPr="00734D3B">
              <w:rPr>
                <w:color w:val="auto"/>
                <w:sz w:val="22"/>
                <w:szCs w:val="22"/>
              </w:rPr>
              <w:t xml:space="preserve">Analizar marcos normativos y buenas prácticas internacionales y regionales aplicables a la gestión ambiental en proyectos eléctricos </w:t>
            </w:r>
            <w:r w:rsidRPr="00734D3B">
              <w:rPr>
                <w:rStyle w:val="Strong"/>
                <w:b w:val="0"/>
                <w:bCs w:val="0"/>
                <w:color w:val="auto"/>
                <w:sz w:val="22"/>
                <w:szCs w:val="22"/>
              </w:rPr>
              <w:t>para fundamentar el diseño de la guía metodológica</w:t>
            </w:r>
            <w:r w:rsidRPr="00734D3B">
              <w:rPr>
                <w:color w:val="auto"/>
                <w:sz w:val="22"/>
                <w:szCs w:val="22"/>
              </w:rPr>
              <w:t>.</w:t>
            </w:r>
          </w:p>
          <w:p w14:paraId="3A25134E" w14:textId="181BA15E" w:rsidR="003544AF" w:rsidRPr="00734D3B" w:rsidRDefault="003544AF" w:rsidP="001D692F">
            <w:pPr>
              <w:pStyle w:val="NormalWeb"/>
              <w:numPr>
                <w:ilvl w:val="0"/>
                <w:numId w:val="5"/>
              </w:numPr>
              <w:spacing w:before="100" w:beforeAutospacing="1" w:after="100" w:afterAutospacing="1"/>
              <w:rPr>
                <w:color w:val="auto"/>
                <w:sz w:val="22"/>
                <w:szCs w:val="22"/>
              </w:rPr>
            </w:pPr>
            <w:r w:rsidRPr="00734D3B">
              <w:rPr>
                <w:color w:val="auto"/>
                <w:sz w:val="22"/>
                <w:szCs w:val="22"/>
              </w:rPr>
              <w:lastRenderedPageBreak/>
              <w:t xml:space="preserve">Diseñar lineamientos y procedimientos prácticos para la reducción, segregación, reutilización y disposición adecuada de residuos eléctricos en proyectos </w:t>
            </w:r>
            <w:r w:rsidR="00A6696D" w:rsidRPr="00734D3B">
              <w:rPr>
                <w:color w:val="auto"/>
                <w:sz w:val="22"/>
                <w:szCs w:val="22"/>
              </w:rPr>
              <w:t>de construcción</w:t>
            </w:r>
            <w:r w:rsidRPr="00734D3B">
              <w:rPr>
                <w:color w:val="auto"/>
                <w:sz w:val="22"/>
                <w:szCs w:val="22"/>
              </w:rPr>
              <w:t xml:space="preserve"> data centers </w:t>
            </w:r>
            <w:r w:rsidRPr="00734D3B">
              <w:rPr>
                <w:rStyle w:val="Strong"/>
                <w:b w:val="0"/>
                <w:bCs w:val="0"/>
                <w:color w:val="auto"/>
                <w:sz w:val="22"/>
                <w:szCs w:val="22"/>
              </w:rPr>
              <w:t>para orientar la gestión sostenible de contratistas eléctricos</w:t>
            </w:r>
            <w:r w:rsidRPr="00734D3B">
              <w:rPr>
                <w:color w:val="auto"/>
                <w:sz w:val="22"/>
                <w:szCs w:val="22"/>
              </w:rPr>
              <w:t>.</w:t>
            </w:r>
          </w:p>
          <w:p w14:paraId="4337FD60" w14:textId="30D4134F" w:rsidR="00412EB6" w:rsidRPr="00734D3B" w:rsidRDefault="00652AD9" w:rsidP="001D692F">
            <w:pPr>
              <w:pStyle w:val="NormalWeb"/>
              <w:numPr>
                <w:ilvl w:val="0"/>
                <w:numId w:val="5"/>
              </w:numPr>
              <w:spacing w:before="100" w:beforeAutospacing="1" w:after="100" w:afterAutospacing="1"/>
              <w:rPr>
                <w:rFonts w:eastAsia="Calibri"/>
                <w:color w:val="auto"/>
                <w:szCs w:val="22"/>
              </w:rPr>
            </w:pPr>
            <w:r w:rsidRPr="00734D3B">
              <w:rPr>
                <w:color w:val="auto"/>
                <w:sz w:val="22"/>
                <w:szCs w:val="22"/>
              </w:rPr>
              <w:t>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p>
        </w:tc>
      </w:tr>
    </w:tbl>
    <w:p w14:paraId="5C5DCA0D" w14:textId="77777777" w:rsidR="00412EB6" w:rsidRPr="00734D3B" w:rsidRDefault="00412EB6" w:rsidP="00D7259E">
      <w:pPr>
        <w:spacing w:line="240" w:lineRule="auto"/>
        <w:ind w:left="720" w:firstLine="0"/>
        <w:contextualSpacing/>
        <w:rPr>
          <w:rFonts w:cs="Arial"/>
          <w:szCs w:val="22"/>
        </w:rPr>
      </w:pPr>
    </w:p>
    <w:p w14:paraId="151D3B4D" w14:textId="77777777" w:rsidR="00412EB6" w:rsidRPr="00734D3B" w:rsidRDefault="00412EB6" w:rsidP="00D7259E">
      <w:pPr>
        <w:spacing w:line="240" w:lineRule="auto"/>
        <w:ind w:firstLine="0"/>
        <w:rPr>
          <w:rFonts w:cs="Arial"/>
          <w:szCs w:val="22"/>
        </w:rPr>
      </w:pPr>
    </w:p>
    <w:p w14:paraId="1D78C600" w14:textId="77777777" w:rsidR="00412EB6" w:rsidRPr="00734D3B" w:rsidRDefault="00412EB6" w:rsidP="00D7259E">
      <w:pPr>
        <w:spacing w:line="240" w:lineRule="auto"/>
        <w:ind w:firstLine="0"/>
        <w:rPr>
          <w:rFonts w:cs="Arial"/>
          <w:szCs w:val="22"/>
        </w:rPr>
      </w:pPr>
    </w:p>
    <w:p w14:paraId="3D50BD59" w14:textId="77777777" w:rsidR="00412EB6" w:rsidRPr="00734D3B" w:rsidRDefault="00412EB6" w:rsidP="00D7259E">
      <w:pPr>
        <w:spacing w:line="240" w:lineRule="auto"/>
        <w:ind w:firstLine="0"/>
        <w:rPr>
          <w:rFonts w:cs="Arial"/>
          <w:szCs w:val="22"/>
        </w:rPr>
      </w:pPr>
    </w:p>
    <w:p w14:paraId="5D7CE6E2" w14:textId="77777777" w:rsidR="00412EB6" w:rsidRPr="00734D3B" w:rsidRDefault="00412EB6" w:rsidP="00D7259E">
      <w:pPr>
        <w:spacing w:line="240" w:lineRule="auto"/>
        <w:ind w:firstLine="0"/>
        <w:rPr>
          <w:rFonts w:cs="Arial"/>
          <w:szCs w:val="22"/>
        </w:rPr>
      </w:pPr>
    </w:p>
    <w:p w14:paraId="5EEE780B" w14:textId="77777777" w:rsidR="00DC4C25" w:rsidRPr="00734D3B" w:rsidRDefault="00DC4C25" w:rsidP="00D7259E">
      <w:pPr>
        <w:spacing w:line="240" w:lineRule="auto"/>
        <w:ind w:firstLine="0"/>
        <w:rPr>
          <w:rFonts w:cs="Arial"/>
          <w:szCs w:val="22"/>
        </w:rPr>
      </w:pPr>
    </w:p>
    <w:p w14:paraId="36197EAC" w14:textId="77777777" w:rsidR="00DC4C25" w:rsidRPr="00734D3B" w:rsidRDefault="00DC4C25" w:rsidP="00D7259E">
      <w:pPr>
        <w:spacing w:line="240" w:lineRule="auto"/>
        <w:ind w:firstLine="0"/>
        <w:rPr>
          <w:rFonts w:cs="Arial"/>
          <w:szCs w:val="22"/>
        </w:rPr>
      </w:pPr>
    </w:p>
    <w:p w14:paraId="03164261" w14:textId="77777777" w:rsidR="00DC4C25" w:rsidRPr="00734D3B" w:rsidRDefault="00DC4C25" w:rsidP="00D7259E">
      <w:pPr>
        <w:spacing w:line="240" w:lineRule="auto"/>
        <w:ind w:firstLine="0"/>
        <w:rPr>
          <w:rFonts w:cs="Arial"/>
          <w:szCs w:val="22"/>
        </w:rPr>
      </w:pPr>
    </w:p>
    <w:p w14:paraId="171AA850" w14:textId="77777777" w:rsidR="00DC4C25" w:rsidRPr="00734D3B" w:rsidRDefault="00DC4C25" w:rsidP="00D7259E">
      <w:pPr>
        <w:spacing w:line="240" w:lineRule="auto"/>
        <w:ind w:firstLine="0"/>
        <w:rPr>
          <w:rFonts w:cs="Arial"/>
          <w:szCs w:val="22"/>
        </w:rPr>
      </w:pPr>
    </w:p>
    <w:p w14:paraId="4B1FEE70" w14:textId="77777777" w:rsidR="00DC4C25" w:rsidRPr="00734D3B" w:rsidRDefault="00DC4C25" w:rsidP="00D7259E">
      <w:pPr>
        <w:spacing w:line="240" w:lineRule="auto"/>
        <w:ind w:firstLine="0"/>
        <w:rPr>
          <w:rFonts w:cs="Arial"/>
          <w:szCs w:val="22"/>
        </w:rPr>
      </w:pPr>
    </w:p>
    <w:p w14:paraId="7AB0509C" w14:textId="77777777" w:rsidR="00DC4C25" w:rsidRPr="00734D3B" w:rsidRDefault="00DC4C25" w:rsidP="00D7259E">
      <w:pPr>
        <w:spacing w:line="240" w:lineRule="auto"/>
        <w:ind w:firstLine="0"/>
        <w:rPr>
          <w:rFonts w:cs="Arial"/>
          <w:szCs w:val="22"/>
        </w:rPr>
      </w:pPr>
    </w:p>
    <w:p w14:paraId="0C665BA9" w14:textId="77777777" w:rsidR="00DC4C25" w:rsidRPr="00734D3B" w:rsidRDefault="00DC4C25" w:rsidP="00D7259E">
      <w:pPr>
        <w:spacing w:line="240" w:lineRule="auto"/>
        <w:ind w:firstLine="0"/>
        <w:rPr>
          <w:rFonts w:cs="Arial"/>
          <w:szCs w:val="22"/>
        </w:rPr>
      </w:pPr>
    </w:p>
    <w:p w14:paraId="50ED2C7C" w14:textId="77777777" w:rsidR="00DC4C25" w:rsidRPr="00734D3B" w:rsidRDefault="00DC4C25" w:rsidP="00D7259E">
      <w:pPr>
        <w:spacing w:line="240" w:lineRule="auto"/>
        <w:ind w:firstLine="0"/>
        <w:rPr>
          <w:rFonts w:cs="Arial"/>
          <w:szCs w:val="22"/>
        </w:rPr>
      </w:pPr>
    </w:p>
    <w:p w14:paraId="15E98BED" w14:textId="77777777" w:rsidR="00DC4C25" w:rsidRPr="00734D3B" w:rsidRDefault="00DC4C25" w:rsidP="00D7259E">
      <w:pPr>
        <w:spacing w:line="240" w:lineRule="auto"/>
        <w:ind w:firstLine="0"/>
        <w:rPr>
          <w:rFonts w:cs="Arial"/>
          <w:szCs w:val="22"/>
        </w:rPr>
      </w:pPr>
    </w:p>
    <w:p w14:paraId="7B3DBB02" w14:textId="77777777" w:rsidR="00DC4C25" w:rsidRPr="00734D3B" w:rsidRDefault="00DC4C25" w:rsidP="00D7259E">
      <w:pPr>
        <w:spacing w:line="240" w:lineRule="auto"/>
        <w:ind w:firstLine="0"/>
        <w:rPr>
          <w:rFonts w:cs="Arial"/>
          <w:szCs w:val="22"/>
        </w:rPr>
      </w:pPr>
    </w:p>
    <w:p w14:paraId="41F9A09F" w14:textId="77777777" w:rsidR="00DC4C25" w:rsidRPr="00734D3B" w:rsidRDefault="00DC4C25" w:rsidP="00D7259E">
      <w:pPr>
        <w:spacing w:line="240" w:lineRule="auto"/>
        <w:ind w:firstLine="0"/>
        <w:rPr>
          <w:rFonts w:cs="Arial"/>
          <w:szCs w:val="22"/>
        </w:rPr>
      </w:pPr>
    </w:p>
    <w:p w14:paraId="61B37992" w14:textId="77777777" w:rsidR="00DC4C25" w:rsidRPr="00734D3B" w:rsidRDefault="00DC4C25" w:rsidP="00D7259E">
      <w:pPr>
        <w:spacing w:line="240" w:lineRule="auto"/>
        <w:ind w:firstLine="0"/>
        <w:rPr>
          <w:rFonts w:cs="Arial"/>
          <w:szCs w:val="22"/>
        </w:rPr>
      </w:pPr>
    </w:p>
    <w:p w14:paraId="39120932" w14:textId="77777777" w:rsidR="00764636" w:rsidRPr="00734D3B" w:rsidRDefault="00764636" w:rsidP="00D7259E">
      <w:pPr>
        <w:spacing w:line="240" w:lineRule="auto"/>
        <w:ind w:firstLine="0"/>
        <w:rPr>
          <w:rFonts w:cs="Arial"/>
          <w:szCs w:val="22"/>
        </w:rPr>
      </w:pPr>
    </w:p>
    <w:p w14:paraId="1BB246FE"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734D3B" w:rsidRPr="00734D3B" w14:paraId="1909AA2A" w14:textId="77777777" w:rsidTr="000C22DE">
        <w:tc>
          <w:tcPr>
            <w:tcW w:w="8692" w:type="dxa"/>
          </w:tcPr>
          <w:p w14:paraId="1E192E91" w14:textId="77777777" w:rsidR="00412EB6" w:rsidRPr="00734D3B" w:rsidRDefault="00412EB6" w:rsidP="00D7259E">
            <w:pPr>
              <w:spacing w:line="240" w:lineRule="auto"/>
              <w:ind w:firstLine="0"/>
              <w:rPr>
                <w:rFonts w:eastAsia="Calibri" w:cs="Arial"/>
                <w:szCs w:val="22"/>
                <w:highlight w:val="yellow"/>
              </w:rPr>
            </w:pPr>
          </w:p>
          <w:p w14:paraId="2A79CA90" w14:textId="77777777" w:rsidR="00426CD9" w:rsidRPr="00734D3B" w:rsidRDefault="00426CD9" w:rsidP="00D7259E">
            <w:pPr>
              <w:spacing w:after="200"/>
              <w:ind w:firstLine="0"/>
              <w:rPr>
                <w:rFonts w:cs="Arial"/>
              </w:rPr>
            </w:pPr>
            <w:r w:rsidRPr="00734D3B">
              <w:rPr>
                <w:rFonts w:cs="Arial"/>
              </w:rPr>
              <w:t>El crecimiento acelerado de la industria de data centers en Arizona ha generado una alta demanda de infraestructura eléctrica especializada. Sin embargo, estos proyectos, aunque cumplen estándares técnicos y de seguridad, carecen de lineamientos claros en sostenibilidad, especialmente en el manejo y disposición de residuos de construcción y demolición. Esta carencia deja a los contratistas sin una referencia que facilite la adopción de prácticas responsables en obra.</w:t>
            </w:r>
          </w:p>
          <w:p w14:paraId="115E7E91" w14:textId="00862808" w:rsidR="00241FC4" w:rsidRPr="00734D3B" w:rsidRDefault="002A7A9E" w:rsidP="00D7259E">
            <w:pPr>
              <w:spacing w:after="200"/>
              <w:rPr>
                <w:rFonts w:cs="Arial"/>
              </w:rPr>
            </w:pPr>
            <w:r w:rsidRPr="00734D3B">
              <w:rPr>
                <w:rFonts w:cs="Arial"/>
              </w:rPr>
              <w:t>Actualmente, y con base en mi experiencia profesional,</w:t>
            </w:r>
            <w:r w:rsidR="00241FC4" w:rsidRPr="00734D3B">
              <w:rPr>
                <w:rFonts w:cs="Arial"/>
              </w:rPr>
              <w:t xml:space="preserve"> no existe en Arizona una guía metodológica dirigida a contratistas eléctricos que integre prácticas sostenibles adaptadas a la realidad de los proyectos de centros de datos. Según la U.S. </w:t>
            </w:r>
            <w:proofErr w:type="spellStart"/>
            <w:r w:rsidR="00241FC4" w:rsidRPr="00734D3B">
              <w:rPr>
                <w:rFonts w:cs="Arial"/>
              </w:rPr>
              <w:t>Environmental</w:t>
            </w:r>
            <w:proofErr w:type="spellEnd"/>
            <w:r w:rsidR="00241FC4" w:rsidRPr="00734D3B">
              <w:rPr>
                <w:rFonts w:cs="Arial"/>
              </w:rPr>
              <w:t xml:space="preserve"> </w:t>
            </w:r>
            <w:proofErr w:type="spellStart"/>
            <w:r w:rsidR="00241FC4" w:rsidRPr="00734D3B">
              <w:rPr>
                <w:rFonts w:cs="Arial"/>
              </w:rPr>
              <w:t>Protection</w:t>
            </w:r>
            <w:proofErr w:type="spellEnd"/>
            <w:r w:rsidR="00241FC4" w:rsidRPr="00734D3B">
              <w:rPr>
                <w:rFonts w:cs="Arial"/>
              </w:rPr>
              <w:t xml:space="preserve"> Agency (EPA), en 2018 se generaron aproximadamente 600 millones de toneladas de residuos de construcción y demolición en Estados Unidos, de los cuales un 25 % terminó en vertederos. Una parte significativa corresponde a materiales eléctricos como cables, bandejas y tuberías, </w:t>
            </w:r>
            <w:r w:rsidR="00241FC4" w:rsidRPr="00734D3B">
              <w:rPr>
                <w:rFonts w:cs="Arial"/>
              </w:rPr>
              <w:lastRenderedPageBreak/>
              <w:t>comunes en este tipo de obras, lo que incrementa costos de transporte y disposición y aumenta el impacto ambiental.</w:t>
            </w:r>
          </w:p>
          <w:p w14:paraId="7C754A6F" w14:textId="4E8BA62A" w:rsidR="00431CB0" w:rsidRPr="00734D3B" w:rsidRDefault="00431CB0" w:rsidP="00D7259E">
            <w:pPr>
              <w:spacing w:after="200"/>
              <w:ind w:firstLine="0"/>
              <w:rPr>
                <w:rFonts w:cs="Arial"/>
              </w:rPr>
            </w:pPr>
            <w:r w:rsidRPr="00734D3B">
              <w:rPr>
                <w:rFonts w:cs="Arial"/>
              </w:rPr>
              <w:t>La elaboración de una guía metodológica de gestión sostenible permitirá optimizar la gestión de residuos, reducir costos y mejorar la reputación ambiental de las empresas ante clientes globales que exigen prácticas responsables. Además, facilitará la adopción de estándares como LEED v4, alineará a la industria eléctrica local con tendencias internacionales y ofrecerá una ventaja competitiva al promover una construcción eléctrica más eficiente y ambientalmente responsable.</w:t>
            </w:r>
          </w:p>
          <w:p w14:paraId="4F9F3459" w14:textId="77777777" w:rsidR="001E2E3C" w:rsidRPr="00734D3B" w:rsidRDefault="001E2E3C" w:rsidP="00D7259E">
            <w:pPr>
              <w:spacing w:line="240" w:lineRule="auto"/>
              <w:ind w:firstLine="0"/>
              <w:rPr>
                <w:rFonts w:eastAsia="Calibri" w:cs="Arial"/>
                <w:szCs w:val="22"/>
                <w:highlight w:val="yellow"/>
              </w:rPr>
            </w:pPr>
          </w:p>
          <w:p w14:paraId="4F80BE19" w14:textId="77777777" w:rsidR="00412EB6" w:rsidRPr="00734D3B" w:rsidRDefault="00412EB6" w:rsidP="00D7259E">
            <w:pPr>
              <w:spacing w:line="240" w:lineRule="auto"/>
              <w:ind w:firstLine="0"/>
              <w:contextualSpacing/>
              <w:rPr>
                <w:rFonts w:eastAsia="Calibri" w:cs="Arial"/>
                <w:szCs w:val="22"/>
              </w:rPr>
            </w:pPr>
          </w:p>
        </w:tc>
      </w:tr>
    </w:tbl>
    <w:p w14:paraId="22D1C202" w14:textId="77777777" w:rsidR="00412EB6" w:rsidRPr="00734D3B" w:rsidRDefault="00412EB6" w:rsidP="00D7259E">
      <w:pPr>
        <w:spacing w:line="240" w:lineRule="auto"/>
        <w:ind w:left="720" w:firstLine="0"/>
        <w:contextualSpacing/>
        <w:rPr>
          <w:rFonts w:cs="Arial"/>
          <w:szCs w:val="22"/>
        </w:rPr>
      </w:pPr>
    </w:p>
    <w:p w14:paraId="4E292041" w14:textId="77777777" w:rsidR="00431CB0" w:rsidRPr="00734D3B" w:rsidRDefault="00431CB0" w:rsidP="00D7259E">
      <w:pPr>
        <w:spacing w:line="240" w:lineRule="auto"/>
        <w:ind w:left="720" w:firstLine="0"/>
        <w:contextualSpacing/>
        <w:rPr>
          <w:rFonts w:cs="Arial"/>
          <w:szCs w:val="22"/>
        </w:rPr>
      </w:pPr>
    </w:p>
    <w:p w14:paraId="52C0B4A0"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 xml:space="preserve">Estructura de desglose de trabajo (EDT). En forma tabular, que describa el entregable principal y los secundarios -productos o servicios que generará el PFG-. </w:t>
      </w:r>
    </w:p>
    <w:tbl>
      <w:tblPr>
        <w:tblpPr w:leftFromText="180" w:rightFromText="180" w:vertAnchor="page" w:horzAnchor="margin" w:tblpY="1021"/>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734D3B" w:rsidRPr="00734D3B" w14:paraId="7C5CF8BF" w14:textId="77777777" w:rsidTr="00051D70">
        <w:trPr>
          <w:trHeight w:val="4220"/>
        </w:trPr>
        <w:tc>
          <w:tcPr>
            <w:tcW w:w="9112" w:type="dxa"/>
          </w:tcPr>
          <w:p w14:paraId="298DDF47" w14:textId="77777777" w:rsidR="007234F3" w:rsidRPr="00734D3B" w:rsidRDefault="007234F3" w:rsidP="001D692F">
            <w:pPr>
              <w:numPr>
                <w:ilvl w:val="0"/>
                <w:numId w:val="3"/>
              </w:numPr>
              <w:spacing w:line="240" w:lineRule="auto"/>
              <w:contextualSpacing/>
              <w:rPr>
                <w:rFonts w:eastAsia="Calibri" w:cs="Arial"/>
                <w:b/>
                <w:bCs/>
                <w:szCs w:val="22"/>
              </w:rPr>
            </w:pPr>
            <w:r w:rsidRPr="00734D3B">
              <w:rPr>
                <w:rFonts w:eastAsia="Calibri" w:cs="Arial"/>
                <w:b/>
                <w:bCs/>
                <w:szCs w:val="22"/>
              </w:rPr>
              <w:lastRenderedPageBreak/>
              <w:t>PFG</w:t>
            </w:r>
          </w:p>
          <w:p w14:paraId="1C7E79EB" w14:textId="77777777" w:rsidR="007234F3" w:rsidRPr="00734D3B" w:rsidRDefault="007234F3" w:rsidP="00D7259E">
            <w:pPr>
              <w:spacing w:line="240" w:lineRule="auto"/>
              <w:ind w:left="720" w:firstLine="0"/>
              <w:contextualSpacing/>
              <w:rPr>
                <w:rFonts w:eastAsia="Calibri" w:cs="Arial"/>
                <w:szCs w:val="22"/>
              </w:rPr>
            </w:pPr>
          </w:p>
          <w:p w14:paraId="42BB67D5" w14:textId="77777777" w:rsidR="007234F3" w:rsidRPr="00734D3B" w:rsidRDefault="007234F3" w:rsidP="001D692F">
            <w:pPr>
              <w:numPr>
                <w:ilvl w:val="1"/>
                <w:numId w:val="4"/>
              </w:numPr>
              <w:spacing w:line="240" w:lineRule="auto"/>
              <w:contextualSpacing/>
              <w:rPr>
                <w:rFonts w:eastAsia="Calibri" w:cs="Arial"/>
                <w:b/>
                <w:bCs/>
                <w:szCs w:val="22"/>
              </w:rPr>
            </w:pPr>
            <w:r w:rsidRPr="00734D3B">
              <w:rPr>
                <w:rFonts w:eastAsia="Calibri" w:cs="Arial"/>
                <w:b/>
                <w:bCs/>
                <w:szCs w:val="22"/>
              </w:rPr>
              <w:t>Perfil del PFG</w:t>
            </w:r>
          </w:p>
          <w:p w14:paraId="2A8B2355"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1.1.1 Acta de Proyecto-Investigación bibliográfica preliminar</w:t>
            </w:r>
          </w:p>
          <w:p w14:paraId="36D73C43"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1.1.2 Acta de Proyecto-EDT-Cronograma</w:t>
            </w:r>
          </w:p>
          <w:p w14:paraId="7A2F9BA5"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1.1.3 Marco Teórico I Parte</w:t>
            </w:r>
          </w:p>
          <w:p w14:paraId="0F7309D2"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1.1.4 Marco Teórico II Parte</w:t>
            </w:r>
          </w:p>
          <w:p w14:paraId="4B4C80F3"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1.1.5 Marco Metodológico</w:t>
            </w:r>
          </w:p>
          <w:p w14:paraId="50FBC4F1"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1.1.6 Introducción</w:t>
            </w:r>
          </w:p>
          <w:p w14:paraId="65BF2325"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1.1.7 Documento integrado</w:t>
            </w:r>
          </w:p>
          <w:p w14:paraId="70B43B39"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1.1.8 Revisión Documento integrado</w:t>
            </w:r>
          </w:p>
          <w:p w14:paraId="4D50F26B" w14:textId="7777777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1.1.9 Seminario de Graduación aprobado</w:t>
            </w:r>
          </w:p>
          <w:p w14:paraId="3570BE53" w14:textId="77777777" w:rsidR="007234F3" w:rsidRPr="00734D3B" w:rsidRDefault="007234F3" w:rsidP="001D692F">
            <w:pPr>
              <w:numPr>
                <w:ilvl w:val="1"/>
                <w:numId w:val="4"/>
              </w:numPr>
              <w:spacing w:line="240" w:lineRule="auto"/>
              <w:contextualSpacing/>
              <w:rPr>
                <w:rFonts w:eastAsia="Calibri" w:cs="Arial"/>
                <w:b/>
                <w:bCs/>
                <w:szCs w:val="22"/>
              </w:rPr>
            </w:pPr>
            <w:r w:rsidRPr="00734D3B">
              <w:rPr>
                <w:rFonts w:eastAsia="Calibri" w:cs="Arial"/>
                <w:b/>
                <w:bCs/>
                <w:szCs w:val="22"/>
              </w:rPr>
              <w:t>Desarrollo del PFG</w:t>
            </w:r>
          </w:p>
          <w:p w14:paraId="41424C9F" w14:textId="71DFA841"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1.2.1 Diagnosticar el estado actual de las prácticas de sostenibilidad y gestión de residuos aplicadas por contratistas eléctricos en proyectos de data centers en Arizona, EE. UU., para identificar brechas y oportunidades de mejora.</w:t>
            </w:r>
          </w:p>
          <w:p w14:paraId="27823AC4" w14:textId="763CC647" w:rsidR="007234F3" w:rsidRPr="00734D3B" w:rsidRDefault="007234F3" w:rsidP="00D7259E">
            <w:pPr>
              <w:spacing w:line="240" w:lineRule="auto"/>
              <w:ind w:left="1080" w:firstLine="0"/>
              <w:contextualSpacing/>
              <w:rPr>
                <w:rFonts w:eastAsia="Calibri" w:cs="Arial"/>
                <w:szCs w:val="22"/>
              </w:rPr>
            </w:pPr>
            <w:r w:rsidRPr="00734D3B">
              <w:rPr>
                <w:rFonts w:eastAsia="Calibri" w:cs="Arial"/>
                <w:szCs w:val="22"/>
              </w:rPr>
              <w:t xml:space="preserve">        1.2.1.1 </w:t>
            </w:r>
            <w:r w:rsidR="00154E43" w:rsidRPr="00734D3B">
              <w:rPr>
                <w:rFonts w:eastAsia="Calibri" w:cs="Arial"/>
                <w:szCs w:val="22"/>
              </w:rPr>
              <w:t>Informe de diagnóstico de prácticas actuales de sostenibilidad y manejo de residuos</w:t>
            </w:r>
            <w:r w:rsidRPr="00734D3B">
              <w:rPr>
                <w:rFonts w:eastAsia="Calibri" w:cs="Arial"/>
                <w:szCs w:val="22"/>
              </w:rPr>
              <w:t xml:space="preserve">. </w:t>
            </w:r>
          </w:p>
          <w:p w14:paraId="2CE72270" w14:textId="65AF164C" w:rsidR="007234F3" w:rsidRPr="00734D3B" w:rsidRDefault="007234F3" w:rsidP="00D7259E">
            <w:pPr>
              <w:spacing w:line="240" w:lineRule="auto"/>
              <w:ind w:left="1600" w:hanging="520"/>
              <w:contextualSpacing/>
              <w:rPr>
                <w:rFonts w:eastAsia="Calibri" w:cs="Arial"/>
                <w:szCs w:val="22"/>
              </w:rPr>
            </w:pPr>
            <w:r w:rsidRPr="00734D3B">
              <w:rPr>
                <w:rFonts w:eastAsia="Calibri" w:cs="Arial"/>
                <w:szCs w:val="22"/>
              </w:rPr>
              <w:t xml:space="preserve">        1.2.1.2 </w:t>
            </w:r>
            <w:r w:rsidR="009D7BB0" w:rsidRPr="00734D3B">
              <w:rPr>
                <w:rFonts w:eastAsia="Calibri" w:cs="Arial"/>
                <w:szCs w:val="22"/>
              </w:rPr>
              <w:t>Matriz de brechas y oportunidades de mejora</w:t>
            </w:r>
            <w:r w:rsidRPr="00734D3B">
              <w:rPr>
                <w:rFonts w:eastAsia="Calibri" w:cs="Arial"/>
                <w:szCs w:val="22"/>
              </w:rPr>
              <w:t xml:space="preserve">.        </w:t>
            </w:r>
          </w:p>
          <w:p w14:paraId="3A20F376" w14:textId="08ADE377" w:rsidR="007234F3" w:rsidRPr="00734D3B" w:rsidRDefault="002C31CC" w:rsidP="00D7259E">
            <w:pPr>
              <w:spacing w:line="240" w:lineRule="auto"/>
              <w:ind w:left="1080" w:firstLine="0"/>
              <w:contextualSpacing/>
              <w:rPr>
                <w:rFonts w:eastAsia="Calibri" w:cs="Arial"/>
                <w:szCs w:val="22"/>
              </w:rPr>
            </w:pPr>
            <w:r w:rsidRPr="00734D3B">
              <w:rPr>
                <w:rFonts w:eastAsia="Calibri" w:cs="Arial"/>
                <w:szCs w:val="22"/>
              </w:rPr>
              <w:t xml:space="preserve">1.2.2 </w:t>
            </w:r>
            <w:r w:rsidRPr="00734D3B">
              <w:t>Analizar</w:t>
            </w:r>
            <w:r w:rsidR="00BA581B" w:rsidRPr="00734D3B">
              <w:rPr>
                <w:rFonts w:eastAsia="Calibri" w:cs="Arial"/>
                <w:szCs w:val="22"/>
              </w:rPr>
              <w:t xml:space="preserve"> marcos normativos y buenas prácticas internacionales y regionales aplicables a la gestión ambiental en proyectos eléctricos para fundamentar el diseño de la guía metodológica.</w:t>
            </w:r>
          </w:p>
          <w:p w14:paraId="07989B4E" w14:textId="54A73BAB" w:rsidR="006D5331" w:rsidRPr="00734D3B" w:rsidRDefault="00BA581B" w:rsidP="00D7259E">
            <w:pPr>
              <w:spacing w:line="240" w:lineRule="auto"/>
              <w:ind w:left="1080" w:firstLine="0"/>
              <w:contextualSpacing/>
              <w:rPr>
                <w:rFonts w:eastAsia="Calibri" w:cs="Arial"/>
                <w:szCs w:val="22"/>
              </w:rPr>
            </w:pPr>
            <w:r w:rsidRPr="00734D3B">
              <w:rPr>
                <w:rFonts w:eastAsia="Calibri" w:cs="Arial"/>
                <w:szCs w:val="22"/>
              </w:rPr>
              <w:t xml:space="preserve">        1.2.</w:t>
            </w:r>
            <w:r w:rsidR="00EE46C6" w:rsidRPr="00734D3B">
              <w:rPr>
                <w:rFonts w:eastAsia="Calibri" w:cs="Arial"/>
                <w:szCs w:val="22"/>
              </w:rPr>
              <w:t>2</w:t>
            </w:r>
            <w:r w:rsidRPr="00734D3B">
              <w:rPr>
                <w:rFonts w:eastAsia="Calibri" w:cs="Arial"/>
                <w:szCs w:val="22"/>
              </w:rPr>
              <w:t xml:space="preserve">.1 </w:t>
            </w:r>
            <w:r w:rsidR="00680D1E" w:rsidRPr="00734D3B">
              <w:rPr>
                <w:rFonts w:eastAsia="Calibri" w:cs="Arial"/>
                <w:szCs w:val="22"/>
              </w:rPr>
              <w:t>Revisión documental de normativa y estándares aplicable</w:t>
            </w:r>
            <w:r w:rsidR="006D5331" w:rsidRPr="00734D3B">
              <w:rPr>
                <w:rFonts w:eastAsia="Calibri" w:cs="Arial"/>
                <w:szCs w:val="22"/>
              </w:rPr>
              <w:t>.</w:t>
            </w:r>
          </w:p>
          <w:p w14:paraId="4A94C685" w14:textId="2270C65C" w:rsidR="00BA581B" w:rsidRPr="00734D3B" w:rsidRDefault="006D5331" w:rsidP="00D7259E">
            <w:pPr>
              <w:spacing w:line="240" w:lineRule="auto"/>
              <w:ind w:left="1080" w:firstLine="0"/>
              <w:contextualSpacing/>
              <w:rPr>
                <w:rFonts w:eastAsia="Calibri" w:cs="Arial"/>
                <w:szCs w:val="22"/>
              </w:rPr>
            </w:pPr>
            <w:r w:rsidRPr="00734D3B">
              <w:rPr>
                <w:rFonts w:eastAsia="Calibri" w:cs="Arial"/>
                <w:szCs w:val="22"/>
              </w:rPr>
              <w:t xml:space="preserve">        </w:t>
            </w:r>
            <w:r w:rsidR="00BA581B" w:rsidRPr="00734D3B">
              <w:rPr>
                <w:rFonts w:eastAsia="Calibri" w:cs="Arial"/>
                <w:szCs w:val="22"/>
              </w:rPr>
              <w:t>1.2.</w:t>
            </w:r>
            <w:r w:rsidR="00EE46C6" w:rsidRPr="00734D3B">
              <w:rPr>
                <w:rFonts w:eastAsia="Calibri" w:cs="Arial"/>
                <w:szCs w:val="22"/>
              </w:rPr>
              <w:t>2</w:t>
            </w:r>
            <w:r w:rsidR="00BA581B" w:rsidRPr="00734D3B">
              <w:rPr>
                <w:rFonts w:eastAsia="Calibri" w:cs="Arial"/>
                <w:szCs w:val="22"/>
              </w:rPr>
              <w:t xml:space="preserve">.2 </w:t>
            </w:r>
            <w:r w:rsidRPr="00734D3B">
              <w:rPr>
                <w:rFonts w:eastAsia="Calibri" w:cs="Arial"/>
                <w:szCs w:val="22"/>
              </w:rPr>
              <w:t xml:space="preserve">Informe comparativo de buenas prácticas internacionales y </w:t>
            </w:r>
            <w:r w:rsidR="002C31CC" w:rsidRPr="00734D3B">
              <w:rPr>
                <w:rFonts w:eastAsia="Calibri" w:cs="Arial"/>
                <w:szCs w:val="22"/>
              </w:rPr>
              <w:t>nacionales.</w:t>
            </w:r>
          </w:p>
          <w:p w14:paraId="264EB9B4" w14:textId="6F971CAC" w:rsidR="007234F3" w:rsidRPr="00734D3B" w:rsidRDefault="000E310B" w:rsidP="00D7259E">
            <w:pPr>
              <w:spacing w:line="240" w:lineRule="auto"/>
              <w:ind w:left="1080" w:firstLine="0"/>
              <w:contextualSpacing/>
              <w:rPr>
                <w:rFonts w:eastAsia="Calibri" w:cs="Arial"/>
                <w:szCs w:val="22"/>
              </w:rPr>
            </w:pPr>
            <w:r w:rsidRPr="00734D3B">
              <w:rPr>
                <w:rFonts w:eastAsia="Calibri" w:cs="Arial"/>
                <w:szCs w:val="22"/>
              </w:rPr>
              <w:t xml:space="preserve">1.2.3 </w:t>
            </w:r>
            <w:r w:rsidRPr="00734D3B">
              <w:t>Diseñar</w:t>
            </w:r>
            <w:r w:rsidRPr="00734D3B">
              <w:rPr>
                <w:rFonts w:eastAsia="Calibri" w:cs="Arial"/>
                <w:szCs w:val="22"/>
              </w:rPr>
              <w:t xml:space="preserve"> lineamientos y procedimientos prácticos para la reducción, segregación, reutilización y disposición adecuada de residuos eléctricos en proyectos de construcción de data centers para orientar la gestión sostenible de contratistas eléctricos.</w:t>
            </w:r>
          </w:p>
          <w:p w14:paraId="3BF4EC10" w14:textId="056F3CD2" w:rsidR="00EE46C6" w:rsidRPr="00734D3B" w:rsidRDefault="00EE46C6" w:rsidP="00D7259E">
            <w:pPr>
              <w:spacing w:line="240" w:lineRule="auto"/>
              <w:ind w:left="1080" w:firstLine="0"/>
              <w:contextualSpacing/>
              <w:rPr>
                <w:rFonts w:eastAsia="Calibri" w:cs="Arial"/>
                <w:szCs w:val="22"/>
              </w:rPr>
            </w:pPr>
            <w:r w:rsidRPr="00734D3B">
              <w:rPr>
                <w:rFonts w:eastAsia="Calibri" w:cs="Arial"/>
                <w:szCs w:val="22"/>
              </w:rPr>
              <w:t xml:space="preserve">        1.2.3.1 </w:t>
            </w:r>
            <w:r w:rsidR="00981F12" w:rsidRPr="00734D3B">
              <w:rPr>
                <w:rFonts w:eastAsia="Calibri" w:cs="Arial"/>
                <w:szCs w:val="22"/>
              </w:rPr>
              <w:t>Manual de lineamientos para la gestión sostenible de residuos eléctricos</w:t>
            </w:r>
          </w:p>
          <w:p w14:paraId="46BC2C1B" w14:textId="77D06FE6" w:rsidR="00EE46C6" w:rsidRPr="00734D3B" w:rsidRDefault="00EE46C6" w:rsidP="00D7259E">
            <w:pPr>
              <w:spacing w:line="240" w:lineRule="auto"/>
              <w:ind w:left="1080" w:firstLine="0"/>
              <w:contextualSpacing/>
              <w:rPr>
                <w:rFonts w:eastAsia="Calibri" w:cs="Arial"/>
                <w:szCs w:val="22"/>
              </w:rPr>
            </w:pPr>
            <w:r w:rsidRPr="00734D3B">
              <w:rPr>
                <w:rFonts w:eastAsia="Calibri" w:cs="Arial"/>
                <w:szCs w:val="22"/>
              </w:rPr>
              <w:t xml:space="preserve">        1.2.3.2 </w:t>
            </w:r>
            <w:r w:rsidR="00981F12" w:rsidRPr="00734D3B">
              <w:rPr>
                <w:rFonts w:eastAsia="Calibri" w:cs="Arial"/>
                <w:szCs w:val="22"/>
              </w:rPr>
              <w:t>Procedimientos operativos estandarizados para la gestión de residuos</w:t>
            </w:r>
          </w:p>
          <w:p w14:paraId="3536FE44" w14:textId="43F4CE82" w:rsidR="007234F3" w:rsidRPr="00734D3B" w:rsidRDefault="001A2551" w:rsidP="00D7259E">
            <w:pPr>
              <w:spacing w:line="240" w:lineRule="auto"/>
              <w:ind w:left="1080" w:firstLine="0"/>
              <w:contextualSpacing/>
              <w:rPr>
                <w:rFonts w:eastAsia="Calibri" w:cs="Arial"/>
                <w:szCs w:val="22"/>
              </w:rPr>
            </w:pPr>
            <w:r w:rsidRPr="00734D3B">
              <w:rPr>
                <w:rFonts w:eastAsia="Calibri" w:cs="Arial"/>
                <w:szCs w:val="22"/>
              </w:rPr>
              <w:t>1.2.4</w:t>
            </w:r>
            <w:r w:rsidR="00652AD9" w:rsidRPr="00734D3B">
              <w:t xml:space="preserve"> </w:t>
            </w:r>
            <w:r w:rsidR="00603A07" w:rsidRPr="00734D3B">
              <w:t>Diseñar y estructurar una guía metodológica que integre el diagnóstico, las buenas prácticas, los lineamientos operativos y un sistema de indicadores de desempeño ambiental, para que sea replicable y factible de implementar en proyectos de construcción eléctrica de data centers en Arizona, EE. UU.</w:t>
            </w:r>
          </w:p>
          <w:p w14:paraId="25EB273F" w14:textId="4538C781" w:rsidR="001A2551" w:rsidRPr="00734D3B" w:rsidRDefault="001A2551" w:rsidP="00D7259E">
            <w:pPr>
              <w:spacing w:line="240" w:lineRule="auto"/>
              <w:ind w:left="1080" w:firstLine="0"/>
              <w:contextualSpacing/>
              <w:rPr>
                <w:rFonts w:eastAsia="Calibri" w:cs="Arial"/>
                <w:szCs w:val="22"/>
              </w:rPr>
            </w:pPr>
            <w:r w:rsidRPr="00734D3B">
              <w:rPr>
                <w:rFonts w:eastAsia="Calibri" w:cs="Arial"/>
                <w:szCs w:val="22"/>
              </w:rPr>
              <w:t xml:space="preserve">        1.2.4.1 </w:t>
            </w:r>
            <w:r w:rsidR="00425BBD" w:rsidRPr="00734D3B">
              <w:rPr>
                <w:rFonts w:eastAsia="Calibri" w:cs="Arial"/>
                <w:szCs w:val="22"/>
              </w:rPr>
              <w:t>Sistema de indicadores de desempeño ambiental (KPI) para contratistas eléctricos</w:t>
            </w:r>
            <w:r w:rsidR="00603A07" w:rsidRPr="00734D3B">
              <w:rPr>
                <w:rFonts w:eastAsia="Calibri" w:cs="Arial"/>
                <w:szCs w:val="22"/>
              </w:rPr>
              <w:t>.</w:t>
            </w:r>
          </w:p>
          <w:p w14:paraId="2C6BF8E9" w14:textId="1A6654F6" w:rsidR="00603A07" w:rsidRPr="00734D3B" w:rsidRDefault="00603A07" w:rsidP="00D7259E">
            <w:pPr>
              <w:spacing w:line="240" w:lineRule="auto"/>
              <w:ind w:left="1080" w:firstLine="0"/>
              <w:contextualSpacing/>
              <w:rPr>
                <w:rFonts w:eastAsia="Calibri" w:cs="Arial"/>
                <w:szCs w:val="22"/>
              </w:rPr>
            </w:pPr>
            <w:r w:rsidRPr="00734D3B">
              <w:rPr>
                <w:rFonts w:eastAsia="Calibri" w:cs="Arial"/>
                <w:szCs w:val="22"/>
              </w:rPr>
              <w:t xml:space="preserve">        1.2.4.2 Guía metodológica de gestión sostenible para contratistas eléctricos en proyectos de data centers</w:t>
            </w:r>
            <w:r w:rsidR="00D948E7" w:rsidRPr="00734D3B">
              <w:rPr>
                <w:rFonts w:eastAsia="Calibri" w:cs="Arial"/>
                <w:szCs w:val="22"/>
              </w:rPr>
              <w:t>.</w:t>
            </w:r>
          </w:p>
          <w:p w14:paraId="3F8D8EBD" w14:textId="77777777" w:rsidR="007234F3" w:rsidRPr="00734D3B" w:rsidRDefault="007234F3" w:rsidP="00D7259E">
            <w:pPr>
              <w:spacing w:line="240" w:lineRule="auto"/>
              <w:ind w:left="1080" w:firstLine="0"/>
              <w:contextualSpacing/>
              <w:rPr>
                <w:rFonts w:eastAsia="Calibri" w:cs="Arial"/>
                <w:b/>
                <w:bCs/>
                <w:szCs w:val="22"/>
              </w:rPr>
            </w:pPr>
            <w:r w:rsidRPr="00734D3B">
              <w:rPr>
                <w:rFonts w:eastAsia="Calibri" w:cs="Arial"/>
                <w:b/>
                <w:bCs/>
                <w:szCs w:val="22"/>
              </w:rPr>
              <w:t>1.2.5 Conclusiones</w:t>
            </w:r>
          </w:p>
          <w:p w14:paraId="34A9D1C9" w14:textId="77777777" w:rsidR="007234F3" w:rsidRPr="00734D3B" w:rsidRDefault="007234F3" w:rsidP="00D7259E">
            <w:pPr>
              <w:spacing w:line="240" w:lineRule="auto"/>
              <w:ind w:left="1080" w:firstLine="0"/>
              <w:contextualSpacing/>
              <w:rPr>
                <w:rFonts w:eastAsia="Calibri" w:cs="Arial"/>
                <w:b/>
                <w:bCs/>
                <w:szCs w:val="22"/>
              </w:rPr>
            </w:pPr>
            <w:r w:rsidRPr="00734D3B">
              <w:rPr>
                <w:rFonts w:eastAsia="Calibri" w:cs="Arial"/>
                <w:b/>
                <w:bCs/>
                <w:szCs w:val="22"/>
              </w:rPr>
              <w:t>1.2.6 Recomendaciones</w:t>
            </w:r>
          </w:p>
          <w:p w14:paraId="71E1DFC9" w14:textId="77777777" w:rsidR="007234F3" w:rsidRPr="00734D3B" w:rsidRDefault="007234F3" w:rsidP="00D7259E">
            <w:pPr>
              <w:spacing w:line="240" w:lineRule="auto"/>
              <w:ind w:left="1080" w:firstLine="0"/>
              <w:contextualSpacing/>
              <w:rPr>
                <w:rFonts w:eastAsia="Calibri" w:cs="Arial"/>
                <w:b/>
                <w:bCs/>
                <w:szCs w:val="22"/>
              </w:rPr>
            </w:pPr>
            <w:r w:rsidRPr="00734D3B">
              <w:rPr>
                <w:rFonts w:eastAsia="Calibri" w:cs="Arial"/>
                <w:b/>
                <w:bCs/>
                <w:szCs w:val="22"/>
              </w:rPr>
              <w:t xml:space="preserve">1.2.7 Listas de referencias </w:t>
            </w:r>
          </w:p>
          <w:p w14:paraId="01532513" w14:textId="77777777" w:rsidR="007234F3" w:rsidRPr="00734D3B" w:rsidRDefault="007234F3" w:rsidP="00D7259E">
            <w:pPr>
              <w:spacing w:line="240" w:lineRule="auto"/>
              <w:ind w:left="1080" w:firstLine="0"/>
              <w:contextualSpacing/>
              <w:rPr>
                <w:rFonts w:eastAsia="Calibri" w:cs="Arial"/>
                <w:b/>
                <w:bCs/>
                <w:szCs w:val="22"/>
              </w:rPr>
            </w:pPr>
            <w:r w:rsidRPr="00734D3B">
              <w:rPr>
                <w:rFonts w:eastAsia="Calibri" w:cs="Arial"/>
                <w:b/>
                <w:bCs/>
                <w:szCs w:val="22"/>
              </w:rPr>
              <w:t>1.2.8 Anexos</w:t>
            </w:r>
          </w:p>
          <w:p w14:paraId="6DC1F189" w14:textId="77777777" w:rsidR="007234F3" w:rsidRPr="00734D3B" w:rsidRDefault="007234F3" w:rsidP="00D7259E">
            <w:pPr>
              <w:spacing w:line="240" w:lineRule="auto"/>
              <w:ind w:left="1080" w:firstLine="0"/>
              <w:contextualSpacing/>
              <w:rPr>
                <w:rFonts w:eastAsia="Calibri" w:cs="Arial"/>
                <w:b/>
                <w:bCs/>
                <w:szCs w:val="22"/>
              </w:rPr>
            </w:pPr>
            <w:r w:rsidRPr="00734D3B">
              <w:rPr>
                <w:rFonts w:eastAsia="Calibri" w:cs="Arial"/>
                <w:b/>
                <w:bCs/>
                <w:szCs w:val="22"/>
              </w:rPr>
              <w:t>1.2.9 Aprobación del tutor para lectura</w:t>
            </w:r>
          </w:p>
          <w:p w14:paraId="445C1858" w14:textId="77777777" w:rsidR="007234F3" w:rsidRPr="00734D3B" w:rsidRDefault="007234F3" w:rsidP="001D692F">
            <w:pPr>
              <w:numPr>
                <w:ilvl w:val="1"/>
                <w:numId w:val="4"/>
              </w:numPr>
              <w:spacing w:line="240" w:lineRule="auto"/>
              <w:contextualSpacing/>
              <w:rPr>
                <w:rFonts w:eastAsia="Calibri" w:cs="Arial"/>
                <w:b/>
                <w:bCs/>
                <w:szCs w:val="22"/>
              </w:rPr>
            </w:pPr>
            <w:r w:rsidRPr="00734D3B">
              <w:rPr>
                <w:rFonts w:eastAsia="Calibri" w:cs="Arial"/>
                <w:b/>
                <w:bCs/>
                <w:szCs w:val="22"/>
              </w:rPr>
              <w:t>Revisión de lectores</w:t>
            </w:r>
          </w:p>
          <w:p w14:paraId="221B7B90" w14:textId="77B60657" w:rsidR="00E81829" w:rsidRPr="00734D3B" w:rsidRDefault="00E96FA0" w:rsidP="00D7259E">
            <w:pPr>
              <w:spacing w:line="240" w:lineRule="auto"/>
              <w:ind w:left="1080" w:firstLine="0"/>
              <w:contextualSpacing/>
              <w:rPr>
                <w:rFonts w:eastAsia="Calibri" w:cs="Arial"/>
                <w:szCs w:val="22"/>
              </w:rPr>
            </w:pPr>
            <w:r w:rsidRPr="00734D3B">
              <w:rPr>
                <w:rFonts w:eastAsia="Calibri" w:cs="Arial"/>
                <w:szCs w:val="22"/>
              </w:rPr>
              <w:t>1.3.1 Asignación de Lectores</w:t>
            </w:r>
          </w:p>
          <w:p w14:paraId="54F8D769" w14:textId="5D2FEB55" w:rsidR="00E96FA0" w:rsidRPr="00734D3B" w:rsidRDefault="00E96FA0" w:rsidP="00D7259E">
            <w:pPr>
              <w:ind w:left="1080" w:firstLine="0"/>
              <w:rPr>
                <w:rFonts w:eastAsia="Calibri"/>
              </w:rPr>
            </w:pPr>
            <w:r w:rsidRPr="00734D3B">
              <w:rPr>
                <w:rFonts w:eastAsia="Calibri"/>
              </w:rPr>
              <w:t xml:space="preserve">1.3.2 </w:t>
            </w:r>
            <w:r w:rsidR="0017075B" w:rsidRPr="00734D3B">
              <w:rPr>
                <w:rFonts w:eastAsia="Calibri"/>
              </w:rPr>
              <w:t>Revisión</w:t>
            </w:r>
            <w:r w:rsidRPr="00734D3B">
              <w:rPr>
                <w:rFonts w:eastAsia="Calibri"/>
              </w:rPr>
              <w:t xml:space="preserve"> </w:t>
            </w:r>
            <w:r w:rsidR="0017075B" w:rsidRPr="00734D3B">
              <w:rPr>
                <w:rFonts w:eastAsia="Calibri"/>
              </w:rPr>
              <w:t>PFG por parte de lectores</w:t>
            </w:r>
          </w:p>
          <w:p w14:paraId="1EBD51EA" w14:textId="3E04137C" w:rsidR="0017075B" w:rsidRPr="00734D3B" w:rsidRDefault="0017075B" w:rsidP="00D7259E">
            <w:pPr>
              <w:spacing w:line="240" w:lineRule="auto"/>
              <w:ind w:left="1080" w:firstLine="0"/>
              <w:contextualSpacing/>
              <w:rPr>
                <w:rFonts w:eastAsia="Calibri" w:cs="Arial"/>
                <w:szCs w:val="22"/>
              </w:rPr>
            </w:pPr>
            <w:r w:rsidRPr="00734D3B">
              <w:rPr>
                <w:rFonts w:eastAsia="Calibri" w:cs="Arial"/>
                <w:szCs w:val="22"/>
              </w:rPr>
              <w:lastRenderedPageBreak/>
              <w:t xml:space="preserve">1.3.3 Mejoras al PFG </w:t>
            </w:r>
            <w:r w:rsidR="00BF0FAB" w:rsidRPr="00734D3B">
              <w:rPr>
                <w:rFonts w:eastAsia="Calibri" w:cs="Arial"/>
                <w:szCs w:val="22"/>
              </w:rPr>
              <w:t>o informe de revisión</w:t>
            </w:r>
          </w:p>
          <w:p w14:paraId="7FD17B03" w14:textId="342CFEE1" w:rsidR="00BF0FAB" w:rsidRPr="00734D3B" w:rsidRDefault="00BF0FAB" w:rsidP="00D7259E">
            <w:pPr>
              <w:spacing w:line="240" w:lineRule="auto"/>
              <w:ind w:left="1080" w:firstLine="0"/>
              <w:contextualSpacing/>
              <w:rPr>
                <w:rFonts w:eastAsia="Calibri" w:cs="Arial"/>
                <w:szCs w:val="22"/>
              </w:rPr>
            </w:pPr>
            <w:r w:rsidRPr="00734D3B">
              <w:rPr>
                <w:rFonts w:eastAsia="Calibri" w:cs="Arial"/>
                <w:szCs w:val="22"/>
              </w:rPr>
              <w:t>1.3.4</w:t>
            </w:r>
            <w:r w:rsidR="0095117D" w:rsidRPr="00734D3B">
              <w:rPr>
                <w:rFonts w:eastAsia="Calibri" w:cs="Arial"/>
                <w:szCs w:val="22"/>
              </w:rPr>
              <w:t xml:space="preserve"> Segunda revisión de </w:t>
            </w:r>
            <w:r w:rsidR="00051D70" w:rsidRPr="00734D3B">
              <w:rPr>
                <w:rFonts w:eastAsia="Calibri" w:cs="Arial"/>
                <w:szCs w:val="22"/>
              </w:rPr>
              <w:t>l</w:t>
            </w:r>
            <w:r w:rsidR="0095117D" w:rsidRPr="00734D3B">
              <w:rPr>
                <w:rFonts w:eastAsia="Calibri" w:cs="Arial"/>
                <w:szCs w:val="22"/>
              </w:rPr>
              <w:t>ectores</w:t>
            </w:r>
          </w:p>
          <w:p w14:paraId="67028277" w14:textId="18AFFAB0" w:rsidR="00BF0FAB" w:rsidRPr="00734D3B" w:rsidRDefault="0095117D" w:rsidP="00D7259E">
            <w:pPr>
              <w:spacing w:line="240" w:lineRule="auto"/>
              <w:ind w:left="1080" w:firstLine="0"/>
              <w:contextualSpacing/>
              <w:rPr>
                <w:rFonts w:eastAsia="Calibri"/>
              </w:rPr>
            </w:pPr>
            <w:r w:rsidRPr="00734D3B">
              <w:rPr>
                <w:rFonts w:eastAsia="Calibri" w:cs="Arial"/>
                <w:szCs w:val="22"/>
              </w:rPr>
              <w:t xml:space="preserve">1.3.5 </w:t>
            </w:r>
            <w:r w:rsidR="00051D70" w:rsidRPr="00734D3B">
              <w:rPr>
                <w:rFonts w:eastAsia="Calibri" w:cs="Arial"/>
                <w:szCs w:val="22"/>
              </w:rPr>
              <w:t>Aprobación lectores</w:t>
            </w:r>
          </w:p>
          <w:p w14:paraId="1B6D47B2" w14:textId="77777777" w:rsidR="007234F3" w:rsidRPr="00734D3B" w:rsidRDefault="007234F3" w:rsidP="001D692F">
            <w:pPr>
              <w:pStyle w:val="ListParagraph"/>
              <w:numPr>
                <w:ilvl w:val="1"/>
                <w:numId w:val="4"/>
              </w:numPr>
              <w:spacing w:line="240" w:lineRule="auto"/>
              <w:contextualSpacing/>
              <w:rPr>
                <w:rFonts w:eastAsia="Calibri" w:cs="Arial"/>
                <w:szCs w:val="22"/>
              </w:rPr>
            </w:pPr>
            <w:r w:rsidRPr="00734D3B">
              <w:rPr>
                <w:rFonts w:eastAsia="Calibri" w:cs="Arial"/>
                <w:b/>
                <w:bCs/>
                <w:szCs w:val="22"/>
              </w:rPr>
              <w:t xml:space="preserve">Evaluación </w:t>
            </w:r>
            <w:r w:rsidR="00A51FAF" w:rsidRPr="00734D3B">
              <w:rPr>
                <w:rFonts w:eastAsia="Calibri" w:cs="Arial"/>
                <w:b/>
                <w:bCs/>
                <w:szCs w:val="22"/>
              </w:rPr>
              <w:t xml:space="preserve"> </w:t>
            </w:r>
          </w:p>
          <w:p w14:paraId="5DD7BE20" w14:textId="4DB4624F" w:rsidR="00051D70" w:rsidRPr="00734D3B" w:rsidRDefault="00051D70" w:rsidP="00D7259E">
            <w:pPr>
              <w:spacing w:line="240" w:lineRule="auto"/>
              <w:ind w:left="1080" w:firstLine="0"/>
              <w:contextualSpacing/>
              <w:rPr>
                <w:rFonts w:eastAsia="Calibri" w:cs="Arial"/>
                <w:szCs w:val="22"/>
              </w:rPr>
            </w:pPr>
            <w:r w:rsidRPr="00734D3B">
              <w:rPr>
                <w:rFonts w:eastAsia="Calibri" w:cs="Arial"/>
                <w:szCs w:val="22"/>
              </w:rPr>
              <w:t>1.4.1 Calificación del tribunal</w:t>
            </w:r>
          </w:p>
          <w:p w14:paraId="05C09652" w14:textId="77777777" w:rsidR="00051D70" w:rsidRPr="00734D3B" w:rsidRDefault="00051D70" w:rsidP="00D7259E">
            <w:pPr>
              <w:ind w:left="1080" w:firstLine="0"/>
              <w:rPr>
                <w:rFonts w:eastAsia="Calibri"/>
              </w:rPr>
            </w:pPr>
            <w:r w:rsidRPr="00734D3B">
              <w:rPr>
                <w:rFonts w:eastAsia="Calibri"/>
              </w:rPr>
              <w:t>1.4.2 Aprobación Final del PFG.</w:t>
            </w:r>
          </w:p>
          <w:p w14:paraId="647F228A" w14:textId="055B3053" w:rsidR="00051D70" w:rsidRPr="00734D3B" w:rsidRDefault="00051D70" w:rsidP="00D7259E">
            <w:pPr>
              <w:ind w:left="1080" w:firstLine="0"/>
              <w:rPr>
                <w:rFonts w:eastAsia="Calibri"/>
              </w:rPr>
            </w:pPr>
          </w:p>
        </w:tc>
      </w:tr>
    </w:tbl>
    <w:p w14:paraId="44DE44BD" w14:textId="77777777" w:rsidR="00412EB6" w:rsidRPr="00734D3B" w:rsidRDefault="00412EB6" w:rsidP="00D7259E">
      <w:pPr>
        <w:spacing w:line="240" w:lineRule="auto"/>
        <w:ind w:firstLine="0"/>
        <w:rPr>
          <w:rFonts w:cs="Arial"/>
          <w:szCs w:val="22"/>
        </w:rPr>
      </w:pPr>
    </w:p>
    <w:p w14:paraId="1DFFE3B9"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734D3B" w:rsidRPr="00734D3B" w14:paraId="4A5C9887" w14:textId="77777777" w:rsidTr="000C22DE">
        <w:tc>
          <w:tcPr>
            <w:tcW w:w="8692" w:type="dxa"/>
          </w:tcPr>
          <w:p w14:paraId="4F39FB34" w14:textId="7F7DA6C3" w:rsidR="00412EB6" w:rsidRPr="00734D3B" w:rsidRDefault="00C338CB" w:rsidP="00D7259E">
            <w:pPr>
              <w:spacing w:line="240" w:lineRule="auto"/>
              <w:ind w:firstLine="0"/>
              <w:rPr>
                <w:rFonts w:eastAsia="Calibri" w:cs="Arial"/>
                <w:szCs w:val="22"/>
              </w:rPr>
            </w:pPr>
            <w:r w:rsidRPr="00734D3B">
              <w:rPr>
                <w:rFonts w:eastAsia="Calibri" w:cs="Arial"/>
                <w:szCs w:val="22"/>
              </w:rPr>
              <w:t>La elaboración de este Proyecto Final de Graduación no implica costos adicionales</w:t>
            </w:r>
            <w:r w:rsidR="00EB6EA8" w:rsidRPr="00734D3B">
              <w:rPr>
                <w:rFonts w:eastAsia="Calibri" w:cs="Arial"/>
                <w:szCs w:val="22"/>
              </w:rPr>
              <w:t xml:space="preserve"> considerables</w:t>
            </w:r>
            <w:r w:rsidRPr="00734D3B">
              <w:rPr>
                <w:rFonts w:eastAsia="Calibri" w:cs="Arial"/>
                <w:szCs w:val="22"/>
              </w:rPr>
              <w:t>, ya que las actividades previstas; revisión bibliográfica, análisis de marcos normativos, diseño de lineamientos y redacción del documento, se desarrollarán con recursos propios y herramientas de uso común. No se prevén gastos significativos en licencias, giras técnicas ni contratación de servicios externos ya que es parte de mi área laboral, por lo que el proyecto podrá realizarse sin requerir un presupuesto específico adicional.</w:t>
            </w:r>
          </w:p>
          <w:p w14:paraId="7E66D73F" w14:textId="77777777" w:rsidR="00412EB6" w:rsidRPr="00734D3B" w:rsidRDefault="00412EB6" w:rsidP="00D7259E">
            <w:pPr>
              <w:spacing w:line="240" w:lineRule="auto"/>
              <w:ind w:firstLine="0"/>
              <w:rPr>
                <w:rFonts w:eastAsia="Calibri" w:cs="Arial"/>
                <w:szCs w:val="22"/>
              </w:rPr>
            </w:pPr>
          </w:p>
        </w:tc>
      </w:tr>
    </w:tbl>
    <w:p w14:paraId="5D544AA2" w14:textId="77777777" w:rsidR="00412EB6" w:rsidRPr="00734D3B" w:rsidRDefault="00412EB6" w:rsidP="00D7259E">
      <w:pPr>
        <w:spacing w:line="240" w:lineRule="auto"/>
        <w:ind w:left="720" w:firstLine="0"/>
        <w:contextualSpacing/>
        <w:rPr>
          <w:rFonts w:cs="Arial"/>
          <w:szCs w:val="22"/>
        </w:rPr>
      </w:pPr>
    </w:p>
    <w:p w14:paraId="1837E5EF" w14:textId="77777777" w:rsidR="00412EB6" w:rsidRPr="00734D3B" w:rsidRDefault="00412EB6" w:rsidP="00D7259E">
      <w:pPr>
        <w:spacing w:line="240" w:lineRule="auto"/>
        <w:ind w:firstLine="0"/>
        <w:rPr>
          <w:rFonts w:cs="Arial"/>
          <w:szCs w:val="22"/>
        </w:rPr>
      </w:pPr>
    </w:p>
    <w:p w14:paraId="337CC423" w14:textId="77777777" w:rsidR="00412EB6" w:rsidRPr="00734D3B" w:rsidRDefault="00412EB6" w:rsidP="00D7259E">
      <w:pPr>
        <w:spacing w:line="240" w:lineRule="auto"/>
        <w:ind w:firstLine="0"/>
        <w:rPr>
          <w:rFonts w:cs="Arial"/>
          <w:szCs w:val="22"/>
        </w:rPr>
      </w:pPr>
    </w:p>
    <w:p w14:paraId="547D4309"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734D3B" w:rsidRPr="00734D3B" w14:paraId="6A4D8D95" w14:textId="77777777" w:rsidTr="000C22DE">
        <w:tc>
          <w:tcPr>
            <w:tcW w:w="8692" w:type="dxa"/>
          </w:tcPr>
          <w:p w14:paraId="7504B77C" w14:textId="5BE2B1DB" w:rsidR="00247F42" w:rsidRPr="00734D3B" w:rsidRDefault="00247F42" w:rsidP="001D692F">
            <w:pPr>
              <w:pStyle w:val="ListParagraph"/>
              <w:numPr>
                <w:ilvl w:val="0"/>
                <w:numId w:val="6"/>
              </w:numPr>
              <w:spacing w:line="240" w:lineRule="auto"/>
              <w:rPr>
                <w:rFonts w:eastAsia="Calibri" w:cs="Arial"/>
                <w:szCs w:val="22"/>
              </w:rPr>
            </w:pPr>
            <w:r w:rsidRPr="00734D3B">
              <w:rPr>
                <w:rFonts w:eastAsia="Calibri" w:cs="Arial"/>
                <w:szCs w:val="22"/>
              </w:rPr>
              <w:t>Se contará con acceso a información técnica y normativa actualizada, así como a los principales estándares internacionales aplicables</w:t>
            </w:r>
            <w:r w:rsidR="009911A3" w:rsidRPr="00734D3B">
              <w:rPr>
                <w:rFonts w:eastAsia="Calibri" w:cs="Arial"/>
                <w:szCs w:val="22"/>
              </w:rPr>
              <w:t>.</w:t>
            </w:r>
          </w:p>
          <w:p w14:paraId="6BFDF042" w14:textId="3F7E8D6F" w:rsidR="0019647F" w:rsidRPr="00734D3B" w:rsidRDefault="0019647F" w:rsidP="001D692F">
            <w:pPr>
              <w:pStyle w:val="ListParagraph"/>
              <w:numPr>
                <w:ilvl w:val="0"/>
                <w:numId w:val="6"/>
              </w:numPr>
              <w:spacing w:line="240" w:lineRule="auto"/>
              <w:rPr>
                <w:rFonts w:eastAsia="Calibri" w:cs="Arial"/>
                <w:szCs w:val="22"/>
              </w:rPr>
            </w:pPr>
            <w:r w:rsidRPr="00734D3B">
              <w:rPr>
                <w:rFonts w:eastAsia="Calibri" w:cs="Arial"/>
                <w:szCs w:val="22"/>
              </w:rPr>
              <w:t>Los contratistas eléctricos y profesionales del sector estarán dispuestos a colaborar respondiendo entrevistas o encuestas para el diagnóstico de prácticas actuales.</w:t>
            </w:r>
          </w:p>
          <w:p w14:paraId="282E3BA3" w14:textId="3F674919" w:rsidR="0019647F" w:rsidRPr="00734D3B" w:rsidRDefault="006A60A8" w:rsidP="001D692F">
            <w:pPr>
              <w:pStyle w:val="ListParagraph"/>
              <w:numPr>
                <w:ilvl w:val="0"/>
                <w:numId w:val="6"/>
              </w:numPr>
              <w:spacing w:line="240" w:lineRule="auto"/>
              <w:rPr>
                <w:rFonts w:eastAsia="Calibri" w:cs="Arial"/>
                <w:szCs w:val="22"/>
              </w:rPr>
            </w:pPr>
            <w:r w:rsidRPr="00734D3B">
              <w:rPr>
                <w:rFonts w:eastAsia="Calibri" w:cs="Arial"/>
                <w:szCs w:val="22"/>
              </w:rPr>
              <w:t>La información recopilada será suficiente para identificar brechas y buenas prácticas.</w:t>
            </w:r>
          </w:p>
          <w:p w14:paraId="660CC0AE" w14:textId="4129E595" w:rsidR="006A60A8" w:rsidRPr="00734D3B" w:rsidRDefault="00716EE3" w:rsidP="001D692F">
            <w:pPr>
              <w:pStyle w:val="ListParagraph"/>
              <w:numPr>
                <w:ilvl w:val="0"/>
                <w:numId w:val="6"/>
              </w:numPr>
              <w:spacing w:line="240" w:lineRule="auto"/>
              <w:rPr>
                <w:rFonts w:eastAsia="Calibri" w:cs="Arial"/>
                <w:szCs w:val="22"/>
              </w:rPr>
            </w:pPr>
            <w:r w:rsidRPr="00734D3B">
              <w:rPr>
                <w:rFonts w:eastAsia="Calibri" w:cs="Arial"/>
                <w:szCs w:val="22"/>
              </w:rPr>
              <w:t>Los tiempos de respuesta de las fuentes consultadas serán apropiados para no afectar el cronograma del PFG.</w:t>
            </w:r>
          </w:p>
          <w:p w14:paraId="7789534C" w14:textId="77777777" w:rsidR="00412EB6" w:rsidRPr="00734D3B" w:rsidRDefault="00412EB6" w:rsidP="00D7259E">
            <w:pPr>
              <w:spacing w:line="240" w:lineRule="auto"/>
              <w:ind w:firstLine="0"/>
              <w:rPr>
                <w:rFonts w:eastAsia="Calibri" w:cs="Arial"/>
                <w:szCs w:val="22"/>
              </w:rPr>
            </w:pPr>
          </w:p>
        </w:tc>
      </w:tr>
    </w:tbl>
    <w:p w14:paraId="3C3D7A73" w14:textId="77777777" w:rsidR="00412EB6" w:rsidRPr="00734D3B" w:rsidRDefault="00412EB6" w:rsidP="00D7259E">
      <w:pPr>
        <w:spacing w:line="240" w:lineRule="auto"/>
        <w:ind w:left="720" w:firstLine="0"/>
        <w:contextualSpacing/>
        <w:rPr>
          <w:rFonts w:cs="Arial"/>
          <w:szCs w:val="22"/>
        </w:rPr>
      </w:pPr>
    </w:p>
    <w:p w14:paraId="1D8F6825" w14:textId="77777777" w:rsidR="00412EB6" w:rsidRPr="00734D3B" w:rsidRDefault="00412EB6" w:rsidP="00D7259E">
      <w:pPr>
        <w:spacing w:line="240" w:lineRule="auto"/>
        <w:ind w:firstLine="0"/>
        <w:rPr>
          <w:rFonts w:cs="Arial"/>
          <w:szCs w:val="22"/>
        </w:rPr>
      </w:pPr>
    </w:p>
    <w:p w14:paraId="219B092B"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Restricciones para la elaboración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734D3B" w:rsidRPr="00734D3B" w14:paraId="7D56A067" w14:textId="77777777" w:rsidTr="000C22DE">
        <w:tc>
          <w:tcPr>
            <w:tcW w:w="8692" w:type="dxa"/>
          </w:tcPr>
          <w:p w14:paraId="003BB4D1" w14:textId="77777777" w:rsidR="00412EB6" w:rsidRPr="00734D3B" w:rsidRDefault="00D44206" w:rsidP="001D692F">
            <w:pPr>
              <w:pStyle w:val="ListParagraph"/>
              <w:numPr>
                <w:ilvl w:val="0"/>
                <w:numId w:val="7"/>
              </w:numPr>
              <w:spacing w:line="240" w:lineRule="auto"/>
              <w:rPr>
                <w:rFonts w:eastAsia="Calibri" w:cs="Arial"/>
                <w:b/>
                <w:bCs/>
                <w:szCs w:val="22"/>
              </w:rPr>
            </w:pPr>
            <w:r w:rsidRPr="00734D3B">
              <w:rPr>
                <w:rFonts w:cs="Arial"/>
              </w:rPr>
              <w:t>El tiempo disponible para la recolección de datos en campo y entrevistas estará limitado al período planificado en el cronograma del PFG.</w:t>
            </w:r>
          </w:p>
          <w:p w14:paraId="4FC306E9" w14:textId="77777777" w:rsidR="00D44206" w:rsidRPr="00734D3B" w:rsidRDefault="003E61E3" w:rsidP="001D692F">
            <w:pPr>
              <w:pStyle w:val="ListParagraph"/>
              <w:numPr>
                <w:ilvl w:val="0"/>
                <w:numId w:val="7"/>
              </w:numPr>
              <w:spacing w:line="240" w:lineRule="auto"/>
              <w:rPr>
                <w:rFonts w:eastAsia="Calibri" w:cs="Arial"/>
                <w:b/>
                <w:bCs/>
                <w:szCs w:val="22"/>
              </w:rPr>
            </w:pPr>
            <w:r w:rsidRPr="00734D3B">
              <w:rPr>
                <w:rFonts w:cs="Arial"/>
              </w:rPr>
              <w:t>Se limitará exclusivamente al contexto de contratistas eléctricos que participan en proyectos de construcción de data centers en Arizona.</w:t>
            </w:r>
          </w:p>
          <w:p w14:paraId="7FB590AB" w14:textId="1A436F72" w:rsidR="00146A31" w:rsidRPr="00734D3B" w:rsidRDefault="0031688D" w:rsidP="001D692F">
            <w:pPr>
              <w:pStyle w:val="ListParagraph"/>
              <w:numPr>
                <w:ilvl w:val="0"/>
                <w:numId w:val="7"/>
              </w:numPr>
              <w:spacing w:line="240" w:lineRule="auto"/>
              <w:rPr>
                <w:rFonts w:cs="Arial"/>
              </w:rPr>
            </w:pPr>
            <w:r w:rsidRPr="00734D3B">
              <w:rPr>
                <w:rFonts w:cs="Arial"/>
              </w:rPr>
              <w:lastRenderedPageBreak/>
              <w:t xml:space="preserve">La calidad de la información utilizada dependerá de </w:t>
            </w:r>
            <w:r w:rsidR="004869AC" w:rsidRPr="00734D3B">
              <w:rPr>
                <w:rFonts w:cs="Arial"/>
              </w:rPr>
              <w:t>la</w:t>
            </w:r>
            <w:r w:rsidR="0027559B" w:rsidRPr="00734D3B">
              <w:rPr>
                <w:rFonts w:cs="Arial"/>
              </w:rPr>
              <w:t xml:space="preserve"> confiabilidad de las</w:t>
            </w:r>
            <w:r w:rsidR="004869AC" w:rsidRPr="00734D3B">
              <w:rPr>
                <w:rFonts w:cs="Arial"/>
              </w:rPr>
              <w:t xml:space="preserve"> </w:t>
            </w:r>
            <w:r w:rsidRPr="00734D3B">
              <w:rPr>
                <w:rFonts w:cs="Arial"/>
              </w:rPr>
              <w:t xml:space="preserve">fuentes </w:t>
            </w:r>
            <w:r w:rsidR="004869AC" w:rsidRPr="00734D3B">
              <w:rPr>
                <w:rFonts w:cs="Arial"/>
              </w:rPr>
              <w:t>primarias y secundarias</w:t>
            </w:r>
            <w:r w:rsidRPr="00734D3B">
              <w:rPr>
                <w:rFonts w:cs="Arial"/>
              </w:rPr>
              <w:t>.</w:t>
            </w:r>
          </w:p>
          <w:p w14:paraId="260733B0" w14:textId="26561CF4" w:rsidR="0031688D" w:rsidRPr="00734D3B" w:rsidRDefault="00146A31" w:rsidP="001D692F">
            <w:pPr>
              <w:pStyle w:val="ListParagraph"/>
              <w:numPr>
                <w:ilvl w:val="0"/>
                <w:numId w:val="7"/>
              </w:numPr>
              <w:spacing w:line="240" w:lineRule="auto"/>
              <w:rPr>
                <w:rFonts w:eastAsia="Calibri" w:cs="Arial"/>
                <w:b/>
                <w:bCs/>
                <w:szCs w:val="22"/>
              </w:rPr>
            </w:pPr>
            <w:r w:rsidRPr="00734D3B">
              <w:rPr>
                <w:rFonts w:cs="Arial"/>
              </w:rPr>
              <w:t>La documentación disponible podrá encontrarse principalmente en idioma inglés</w:t>
            </w:r>
            <w:r w:rsidR="00B536B4" w:rsidRPr="00734D3B">
              <w:rPr>
                <w:rFonts w:cs="Arial"/>
              </w:rPr>
              <w:t>.</w:t>
            </w:r>
          </w:p>
        </w:tc>
      </w:tr>
    </w:tbl>
    <w:p w14:paraId="7F549BD4" w14:textId="77777777" w:rsidR="00412EB6" w:rsidRPr="00734D3B" w:rsidRDefault="00412EB6" w:rsidP="00D7259E">
      <w:pPr>
        <w:spacing w:line="240" w:lineRule="auto"/>
        <w:ind w:left="720" w:firstLine="0"/>
        <w:contextualSpacing/>
        <w:rPr>
          <w:rFonts w:cs="Arial"/>
          <w:szCs w:val="22"/>
        </w:rPr>
      </w:pPr>
    </w:p>
    <w:p w14:paraId="6BEB2380" w14:textId="77777777" w:rsidR="00412EB6" w:rsidRPr="00734D3B" w:rsidRDefault="00412EB6" w:rsidP="00D7259E">
      <w:pPr>
        <w:spacing w:line="240" w:lineRule="auto"/>
        <w:ind w:firstLine="0"/>
        <w:rPr>
          <w:rFonts w:cs="Arial"/>
          <w:szCs w:val="22"/>
        </w:rPr>
      </w:pPr>
    </w:p>
    <w:p w14:paraId="36BDDFB5"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Descripción de riesgos de la elaboración del PFG</w:t>
      </w:r>
    </w:p>
    <w:p w14:paraId="2D3C067C" w14:textId="77777777" w:rsidR="00412EB6" w:rsidRPr="00734D3B" w:rsidRDefault="00412EB6" w:rsidP="00D7259E">
      <w:pPr>
        <w:spacing w:line="240" w:lineRule="auto"/>
        <w:ind w:left="720" w:firstLine="0"/>
        <w:contextualSpacing/>
        <w:rPr>
          <w:rFonts w:cs="Arial"/>
          <w:szCs w:val="22"/>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734D3B" w:rsidRPr="00734D3B" w14:paraId="47BB5CC9" w14:textId="77777777" w:rsidTr="000C22DE">
        <w:tc>
          <w:tcPr>
            <w:tcW w:w="8692" w:type="dxa"/>
          </w:tcPr>
          <w:p w14:paraId="674194CE" w14:textId="0B07E243" w:rsidR="00412EB6" w:rsidRPr="00734D3B" w:rsidRDefault="00672D5B" w:rsidP="001D692F">
            <w:pPr>
              <w:pStyle w:val="ListParagraph"/>
              <w:numPr>
                <w:ilvl w:val="0"/>
                <w:numId w:val="8"/>
              </w:numPr>
              <w:spacing w:line="240" w:lineRule="auto"/>
              <w:rPr>
                <w:rFonts w:eastAsia="Calibri" w:cs="Arial"/>
                <w:szCs w:val="22"/>
              </w:rPr>
            </w:pPr>
            <w:r w:rsidRPr="00734D3B">
              <w:rPr>
                <w:rFonts w:cs="Arial"/>
              </w:rPr>
              <w:t>La falta de respuesta a tiempo de los contratistas eléctricos invitados a participar en entrevistas y encuestas podría retrasar la recolección de información.</w:t>
            </w:r>
          </w:p>
          <w:p w14:paraId="7C403E68" w14:textId="141FE1E2" w:rsidR="00672D5B" w:rsidRPr="00734D3B" w:rsidRDefault="00C04EC3" w:rsidP="001D692F">
            <w:pPr>
              <w:pStyle w:val="ListParagraph"/>
              <w:numPr>
                <w:ilvl w:val="0"/>
                <w:numId w:val="8"/>
              </w:numPr>
              <w:spacing w:line="240" w:lineRule="auto"/>
              <w:rPr>
                <w:rFonts w:eastAsia="Calibri" w:cs="Arial"/>
                <w:szCs w:val="22"/>
              </w:rPr>
            </w:pPr>
            <w:r w:rsidRPr="00734D3B">
              <w:rPr>
                <w:rFonts w:eastAsia="Calibri" w:cs="Arial"/>
                <w:szCs w:val="22"/>
              </w:rPr>
              <w:t>Compromisos laborales imprevistos fuera del estado podrían reducir el tiempo disponible para la elaboración y análisis del PFG, afectando el cumplimiento del cronograma.</w:t>
            </w:r>
          </w:p>
          <w:p w14:paraId="0244C1D7" w14:textId="77777777" w:rsidR="001D1F98" w:rsidRPr="00734D3B" w:rsidRDefault="00806CA4" w:rsidP="001D692F">
            <w:pPr>
              <w:pStyle w:val="ListParagraph"/>
              <w:numPr>
                <w:ilvl w:val="0"/>
                <w:numId w:val="8"/>
              </w:numPr>
              <w:spacing w:line="240" w:lineRule="auto"/>
              <w:rPr>
                <w:rFonts w:eastAsia="Calibri" w:cs="Arial"/>
                <w:szCs w:val="22"/>
              </w:rPr>
            </w:pPr>
            <w:r w:rsidRPr="00734D3B">
              <w:rPr>
                <w:rFonts w:eastAsia="Calibri" w:cs="Arial"/>
                <w:szCs w:val="22"/>
              </w:rPr>
              <w:t>La limitada disponibilidad de literatura académica reciente sobre sostenibilidad aplicada a contratistas eléctricos podría dificultar la elaboración de la guía metodológica, requiriendo mayor tiempo de búsqueda.</w:t>
            </w:r>
          </w:p>
          <w:p w14:paraId="15AA779C" w14:textId="560D4C5D" w:rsidR="006450F5" w:rsidRPr="00734D3B" w:rsidRDefault="00FD4B88" w:rsidP="001D692F">
            <w:pPr>
              <w:pStyle w:val="ListParagraph"/>
              <w:numPr>
                <w:ilvl w:val="0"/>
                <w:numId w:val="8"/>
              </w:numPr>
              <w:spacing w:line="240" w:lineRule="auto"/>
              <w:rPr>
                <w:rFonts w:eastAsia="Calibri" w:cs="Arial"/>
                <w:szCs w:val="22"/>
              </w:rPr>
            </w:pPr>
            <w:r w:rsidRPr="00734D3B">
              <w:rPr>
                <w:rFonts w:eastAsia="Calibri" w:cs="Arial"/>
                <w:szCs w:val="22"/>
              </w:rPr>
              <w:t>Posibles cambios en las políticas ambientales o normativas estatales durante el periodo de desarrollo del PFG podrían requerir ajustes en el enfoque metodológico de la guía.</w:t>
            </w:r>
          </w:p>
        </w:tc>
      </w:tr>
    </w:tbl>
    <w:p w14:paraId="79E35EF0" w14:textId="77777777" w:rsidR="00412EB6" w:rsidRPr="00734D3B" w:rsidRDefault="00412EB6" w:rsidP="00D7259E">
      <w:pPr>
        <w:spacing w:line="240" w:lineRule="auto"/>
        <w:ind w:firstLine="0"/>
        <w:rPr>
          <w:rFonts w:cs="Arial"/>
          <w:szCs w:val="22"/>
        </w:rPr>
      </w:pPr>
    </w:p>
    <w:p w14:paraId="22BE07D0" w14:textId="77777777" w:rsidR="00412EB6" w:rsidRPr="00734D3B" w:rsidRDefault="00412EB6" w:rsidP="001D692F">
      <w:pPr>
        <w:numPr>
          <w:ilvl w:val="0"/>
          <w:numId w:val="2"/>
        </w:numPr>
        <w:spacing w:line="240" w:lineRule="auto"/>
        <w:contextualSpacing/>
        <w:rPr>
          <w:rFonts w:cs="Arial"/>
          <w:szCs w:val="22"/>
        </w:rPr>
      </w:pPr>
      <w:r w:rsidRPr="00734D3B">
        <w:rPr>
          <w:rFonts w:cs="Arial"/>
          <w:szCs w:val="22"/>
        </w:rPr>
        <w:t>Principales hitos del PFG</w:t>
      </w:r>
    </w:p>
    <w:p w14:paraId="2CB21E33" w14:textId="77777777" w:rsidR="00412EB6" w:rsidRPr="00734D3B" w:rsidRDefault="00412EB6" w:rsidP="00D7259E">
      <w:pPr>
        <w:spacing w:line="240" w:lineRule="auto"/>
        <w:ind w:firstLine="0"/>
        <w:rPr>
          <w:rFonts w:cs="Arial"/>
          <w:szCs w:val="22"/>
        </w:rPr>
      </w:pPr>
    </w:p>
    <w:tbl>
      <w:tblPr>
        <w:tblW w:w="739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437"/>
      </w:tblGrid>
      <w:tr w:rsidR="00734D3B" w:rsidRPr="00734D3B" w14:paraId="54DFDDD7" w14:textId="77777777" w:rsidTr="00865CCD">
        <w:tc>
          <w:tcPr>
            <w:tcW w:w="5954" w:type="dxa"/>
          </w:tcPr>
          <w:p w14:paraId="483D4F03" w14:textId="77777777" w:rsidR="00412EB6" w:rsidRPr="00734D3B" w:rsidRDefault="00412EB6" w:rsidP="00D7259E">
            <w:pPr>
              <w:spacing w:line="240" w:lineRule="auto"/>
              <w:ind w:firstLine="0"/>
              <w:rPr>
                <w:rFonts w:eastAsia="Calibri" w:cs="Arial"/>
                <w:b/>
                <w:szCs w:val="22"/>
              </w:rPr>
            </w:pPr>
            <w:r w:rsidRPr="00734D3B">
              <w:rPr>
                <w:rFonts w:eastAsia="Calibri" w:cs="Arial"/>
                <w:b/>
                <w:szCs w:val="22"/>
              </w:rPr>
              <w:t>Entregable</w:t>
            </w:r>
          </w:p>
        </w:tc>
        <w:tc>
          <w:tcPr>
            <w:tcW w:w="1437" w:type="dxa"/>
          </w:tcPr>
          <w:p w14:paraId="730D00AD" w14:textId="77777777" w:rsidR="00412EB6" w:rsidRPr="00734D3B" w:rsidRDefault="00412EB6" w:rsidP="00D7259E">
            <w:pPr>
              <w:spacing w:line="240" w:lineRule="auto"/>
              <w:ind w:firstLine="0"/>
              <w:rPr>
                <w:rFonts w:eastAsia="Calibri" w:cs="Arial"/>
                <w:b/>
                <w:szCs w:val="22"/>
                <w:highlight w:val="green"/>
              </w:rPr>
            </w:pPr>
            <w:r w:rsidRPr="00734D3B">
              <w:rPr>
                <w:rFonts w:eastAsia="Calibri" w:cs="Arial"/>
                <w:b/>
                <w:szCs w:val="22"/>
              </w:rPr>
              <w:t>Fecha estimada de finalización</w:t>
            </w:r>
          </w:p>
        </w:tc>
      </w:tr>
      <w:tr w:rsidR="00734D3B" w:rsidRPr="00734D3B" w14:paraId="4FF26BB1" w14:textId="77777777" w:rsidTr="00865CCD">
        <w:tc>
          <w:tcPr>
            <w:tcW w:w="5954" w:type="dxa"/>
          </w:tcPr>
          <w:p w14:paraId="2B4E57A6" w14:textId="77777777" w:rsidR="00412EB6" w:rsidRPr="00734D3B" w:rsidRDefault="00412EB6" w:rsidP="00D7259E">
            <w:pPr>
              <w:spacing w:line="240" w:lineRule="auto"/>
              <w:ind w:firstLine="0"/>
              <w:rPr>
                <w:rFonts w:eastAsia="Calibri" w:cs="Arial"/>
                <w:szCs w:val="22"/>
              </w:rPr>
            </w:pPr>
            <w:r w:rsidRPr="00734D3B">
              <w:rPr>
                <w:rFonts w:eastAsia="Calibri" w:cs="Arial"/>
                <w:szCs w:val="22"/>
              </w:rPr>
              <w:t>1.1 Perfil del PFG</w:t>
            </w:r>
          </w:p>
        </w:tc>
        <w:tc>
          <w:tcPr>
            <w:tcW w:w="1437" w:type="dxa"/>
          </w:tcPr>
          <w:p w14:paraId="77854D46" w14:textId="148CF8FC" w:rsidR="00412EB6" w:rsidRPr="00734D3B" w:rsidRDefault="001B2C55" w:rsidP="00D7259E">
            <w:pPr>
              <w:spacing w:line="240" w:lineRule="auto"/>
              <w:ind w:firstLine="0"/>
              <w:rPr>
                <w:rFonts w:eastAsia="Calibri" w:cs="Arial"/>
                <w:szCs w:val="22"/>
                <w:highlight w:val="green"/>
              </w:rPr>
            </w:pPr>
            <w:r w:rsidRPr="00734D3B">
              <w:rPr>
                <w:rFonts w:eastAsia="Calibri" w:cs="Arial"/>
                <w:szCs w:val="22"/>
              </w:rPr>
              <w:t>28/11/2025</w:t>
            </w:r>
          </w:p>
        </w:tc>
      </w:tr>
      <w:tr w:rsidR="00734D3B" w:rsidRPr="00734D3B" w14:paraId="3EDEC90D" w14:textId="77777777" w:rsidTr="00865CCD">
        <w:tc>
          <w:tcPr>
            <w:tcW w:w="5954" w:type="dxa"/>
          </w:tcPr>
          <w:p w14:paraId="221A497B" w14:textId="12BA9066" w:rsidR="00412EB6" w:rsidRPr="00734D3B" w:rsidRDefault="00412EB6" w:rsidP="00D7259E">
            <w:pPr>
              <w:spacing w:line="240" w:lineRule="auto"/>
              <w:ind w:firstLine="0"/>
              <w:rPr>
                <w:rFonts w:eastAsia="Calibri" w:cs="Arial"/>
                <w:szCs w:val="22"/>
              </w:rPr>
            </w:pPr>
            <w:r w:rsidRPr="00734D3B">
              <w:rPr>
                <w:rFonts w:eastAsia="Calibri" w:cs="Arial"/>
                <w:szCs w:val="22"/>
              </w:rPr>
              <w:t>1.1.1</w:t>
            </w:r>
            <w:r w:rsidR="008703C2" w:rsidRPr="00734D3B">
              <w:rPr>
                <w:rFonts w:eastAsia="Calibri" w:cs="Arial"/>
                <w:szCs w:val="22"/>
              </w:rPr>
              <w:t xml:space="preserve"> Acta de Proyecto</w:t>
            </w:r>
          </w:p>
        </w:tc>
        <w:tc>
          <w:tcPr>
            <w:tcW w:w="1437" w:type="dxa"/>
          </w:tcPr>
          <w:p w14:paraId="6581C7E7" w14:textId="38E2C660" w:rsidR="00412EB6" w:rsidRPr="00734D3B" w:rsidRDefault="00806070" w:rsidP="00D7259E">
            <w:pPr>
              <w:spacing w:line="240" w:lineRule="auto"/>
              <w:ind w:firstLine="0"/>
              <w:rPr>
                <w:rFonts w:eastAsia="Calibri" w:cs="Arial"/>
                <w:szCs w:val="22"/>
                <w:highlight w:val="green"/>
              </w:rPr>
            </w:pPr>
            <w:r w:rsidRPr="00734D3B">
              <w:rPr>
                <w:rFonts w:eastAsia="Calibri" w:cs="Arial"/>
                <w:szCs w:val="22"/>
              </w:rPr>
              <w:t>17/10/2025</w:t>
            </w:r>
          </w:p>
        </w:tc>
      </w:tr>
      <w:tr w:rsidR="00734D3B" w:rsidRPr="00734D3B" w14:paraId="38D8B0EB" w14:textId="77777777" w:rsidTr="00865CCD">
        <w:tc>
          <w:tcPr>
            <w:tcW w:w="5954" w:type="dxa"/>
          </w:tcPr>
          <w:p w14:paraId="0D76FA9A" w14:textId="18A77D01" w:rsidR="00A50C02" w:rsidRPr="00734D3B" w:rsidRDefault="00A50C02" w:rsidP="00D7259E">
            <w:pPr>
              <w:spacing w:line="240" w:lineRule="auto"/>
              <w:ind w:firstLine="0"/>
              <w:rPr>
                <w:rFonts w:eastAsia="Calibri" w:cs="Arial"/>
                <w:szCs w:val="22"/>
              </w:rPr>
            </w:pPr>
            <w:r w:rsidRPr="00734D3B">
              <w:rPr>
                <w:rFonts w:eastAsia="Calibri" w:cs="Arial"/>
                <w:szCs w:val="22"/>
              </w:rPr>
              <w:t>11.9 Seminario aprobado</w:t>
            </w:r>
          </w:p>
        </w:tc>
        <w:tc>
          <w:tcPr>
            <w:tcW w:w="1437" w:type="dxa"/>
          </w:tcPr>
          <w:p w14:paraId="2878AEDA" w14:textId="4C65CF2B" w:rsidR="00A50C02" w:rsidRPr="00734D3B" w:rsidRDefault="0000156D" w:rsidP="00D7259E">
            <w:pPr>
              <w:spacing w:line="240" w:lineRule="auto"/>
              <w:ind w:firstLine="0"/>
              <w:rPr>
                <w:rFonts w:eastAsia="Calibri" w:cs="Arial"/>
                <w:szCs w:val="22"/>
              </w:rPr>
            </w:pPr>
            <w:r w:rsidRPr="00734D3B">
              <w:rPr>
                <w:rFonts w:eastAsia="Calibri" w:cs="Arial"/>
                <w:szCs w:val="22"/>
              </w:rPr>
              <w:t>28/11/2025</w:t>
            </w:r>
          </w:p>
        </w:tc>
      </w:tr>
      <w:tr w:rsidR="00734D3B" w:rsidRPr="00734D3B" w14:paraId="4B9EEA6C" w14:textId="77777777" w:rsidTr="00865CCD">
        <w:tc>
          <w:tcPr>
            <w:tcW w:w="5954" w:type="dxa"/>
          </w:tcPr>
          <w:p w14:paraId="03D3D34A" w14:textId="77777777" w:rsidR="00412EB6" w:rsidRPr="00734D3B" w:rsidRDefault="00412EB6" w:rsidP="00D7259E">
            <w:pPr>
              <w:spacing w:line="240" w:lineRule="auto"/>
              <w:ind w:firstLine="0"/>
              <w:rPr>
                <w:rFonts w:eastAsia="Calibri" w:cs="Arial"/>
                <w:szCs w:val="22"/>
              </w:rPr>
            </w:pPr>
            <w:r w:rsidRPr="00734D3B">
              <w:rPr>
                <w:rFonts w:eastAsia="Calibri" w:cs="Arial"/>
                <w:szCs w:val="22"/>
              </w:rPr>
              <w:t>1.2 Desarrollo del PFG</w:t>
            </w:r>
          </w:p>
        </w:tc>
        <w:tc>
          <w:tcPr>
            <w:tcW w:w="1437" w:type="dxa"/>
          </w:tcPr>
          <w:p w14:paraId="705D7002" w14:textId="7A1FAB20" w:rsidR="00412EB6" w:rsidRPr="00734D3B" w:rsidRDefault="00B354CA" w:rsidP="00D7259E">
            <w:pPr>
              <w:spacing w:line="240" w:lineRule="auto"/>
              <w:ind w:firstLine="0"/>
              <w:rPr>
                <w:rFonts w:eastAsia="Calibri" w:cs="Arial"/>
                <w:szCs w:val="22"/>
              </w:rPr>
            </w:pPr>
            <w:r w:rsidRPr="00734D3B">
              <w:rPr>
                <w:rFonts w:eastAsia="Calibri" w:cs="Arial"/>
                <w:szCs w:val="22"/>
              </w:rPr>
              <w:t>04/03/2026</w:t>
            </w:r>
          </w:p>
        </w:tc>
      </w:tr>
      <w:tr w:rsidR="00734D3B" w:rsidRPr="00734D3B" w14:paraId="776ABA2A" w14:textId="77777777" w:rsidTr="00865CCD">
        <w:tc>
          <w:tcPr>
            <w:tcW w:w="5954" w:type="dxa"/>
          </w:tcPr>
          <w:p w14:paraId="2A940814" w14:textId="402BCB4E" w:rsidR="00412EB6" w:rsidRPr="00734D3B" w:rsidRDefault="00412EB6" w:rsidP="00D7259E">
            <w:pPr>
              <w:spacing w:line="240" w:lineRule="auto"/>
              <w:ind w:firstLine="0"/>
              <w:rPr>
                <w:rFonts w:eastAsia="Calibri" w:cs="Arial"/>
                <w:szCs w:val="22"/>
              </w:rPr>
            </w:pPr>
            <w:r w:rsidRPr="00734D3B">
              <w:rPr>
                <w:rFonts w:eastAsia="Calibri" w:cs="Arial"/>
                <w:szCs w:val="22"/>
              </w:rPr>
              <w:t>1.2.</w:t>
            </w:r>
            <w:r w:rsidR="0063422F" w:rsidRPr="00734D3B">
              <w:rPr>
                <w:rFonts w:eastAsia="Calibri" w:cs="Arial"/>
                <w:szCs w:val="22"/>
              </w:rPr>
              <w:t>1 Diagnóstico de prácticas actuales</w:t>
            </w:r>
          </w:p>
        </w:tc>
        <w:tc>
          <w:tcPr>
            <w:tcW w:w="1437" w:type="dxa"/>
          </w:tcPr>
          <w:p w14:paraId="0C06AEC0" w14:textId="540FBA96" w:rsidR="00412EB6" w:rsidRPr="00734D3B" w:rsidRDefault="000C35BB" w:rsidP="00D7259E">
            <w:pPr>
              <w:spacing w:line="240" w:lineRule="auto"/>
              <w:ind w:firstLine="0"/>
              <w:rPr>
                <w:rFonts w:eastAsia="Calibri" w:cs="Arial"/>
                <w:szCs w:val="22"/>
                <w:highlight w:val="green"/>
              </w:rPr>
            </w:pPr>
            <w:r w:rsidRPr="00734D3B">
              <w:rPr>
                <w:rFonts w:eastAsia="Calibri" w:cs="Arial"/>
                <w:szCs w:val="22"/>
              </w:rPr>
              <w:t>18/12/2025</w:t>
            </w:r>
          </w:p>
        </w:tc>
      </w:tr>
      <w:tr w:rsidR="00734D3B" w:rsidRPr="00734D3B" w14:paraId="0A7BB557" w14:textId="77777777" w:rsidTr="00865CCD">
        <w:tc>
          <w:tcPr>
            <w:tcW w:w="5954" w:type="dxa"/>
          </w:tcPr>
          <w:p w14:paraId="5474C2DC" w14:textId="6839E9B5" w:rsidR="00412EB6" w:rsidRPr="00734D3B" w:rsidRDefault="00412EB6" w:rsidP="00D7259E">
            <w:pPr>
              <w:spacing w:line="240" w:lineRule="auto"/>
              <w:ind w:firstLine="0"/>
              <w:rPr>
                <w:rFonts w:eastAsia="Calibri" w:cs="Arial"/>
                <w:szCs w:val="22"/>
              </w:rPr>
            </w:pPr>
            <w:r w:rsidRPr="00734D3B">
              <w:rPr>
                <w:rFonts w:eastAsia="Calibri" w:cs="Arial"/>
                <w:szCs w:val="22"/>
              </w:rPr>
              <w:t>1.2.2</w:t>
            </w:r>
            <w:r w:rsidR="0063422F" w:rsidRPr="00734D3B">
              <w:rPr>
                <w:rFonts w:eastAsia="Calibri" w:cs="Arial"/>
                <w:szCs w:val="22"/>
              </w:rPr>
              <w:t xml:space="preserve"> Análisis de marcos normativos y buenas prácticas</w:t>
            </w:r>
          </w:p>
        </w:tc>
        <w:tc>
          <w:tcPr>
            <w:tcW w:w="1437" w:type="dxa"/>
          </w:tcPr>
          <w:p w14:paraId="1E645774" w14:textId="6B73AA61" w:rsidR="00412EB6" w:rsidRPr="00734D3B" w:rsidRDefault="00C9676D" w:rsidP="00D7259E">
            <w:pPr>
              <w:spacing w:line="240" w:lineRule="auto"/>
              <w:ind w:firstLine="0"/>
              <w:rPr>
                <w:rFonts w:eastAsia="Calibri" w:cs="Arial"/>
                <w:szCs w:val="22"/>
                <w:highlight w:val="green"/>
              </w:rPr>
            </w:pPr>
            <w:r w:rsidRPr="00734D3B">
              <w:rPr>
                <w:rFonts w:eastAsia="Calibri" w:cs="Arial"/>
                <w:szCs w:val="22"/>
              </w:rPr>
              <w:t>07/01/2026</w:t>
            </w:r>
          </w:p>
        </w:tc>
      </w:tr>
      <w:tr w:rsidR="00734D3B" w:rsidRPr="00734D3B" w14:paraId="7694DB75" w14:textId="77777777" w:rsidTr="00865CCD">
        <w:tc>
          <w:tcPr>
            <w:tcW w:w="5954" w:type="dxa"/>
          </w:tcPr>
          <w:p w14:paraId="46E886EC" w14:textId="3688336F" w:rsidR="00412EB6" w:rsidRPr="00734D3B" w:rsidRDefault="00412EB6" w:rsidP="00D7259E">
            <w:pPr>
              <w:spacing w:line="240" w:lineRule="auto"/>
              <w:ind w:firstLine="0"/>
              <w:rPr>
                <w:rFonts w:eastAsia="Calibri" w:cs="Arial"/>
                <w:szCs w:val="22"/>
              </w:rPr>
            </w:pPr>
            <w:r w:rsidRPr="00734D3B">
              <w:rPr>
                <w:rFonts w:eastAsia="Calibri" w:cs="Arial"/>
                <w:szCs w:val="22"/>
              </w:rPr>
              <w:t>1.2.3</w:t>
            </w:r>
            <w:r w:rsidR="00ED6D67" w:rsidRPr="00734D3B">
              <w:rPr>
                <w:rFonts w:eastAsia="Calibri" w:cs="Arial"/>
                <w:szCs w:val="22"/>
              </w:rPr>
              <w:t xml:space="preserve"> Diseño de lineamientos y procedimientos</w:t>
            </w:r>
          </w:p>
        </w:tc>
        <w:tc>
          <w:tcPr>
            <w:tcW w:w="1437" w:type="dxa"/>
          </w:tcPr>
          <w:p w14:paraId="618CEE0A" w14:textId="1F654438" w:rsidR="00412EB6" w:rsidRPr="00734D3B" w:rsidRDefault="00C9676D" w:rsidP="00D7259E">
            <w:pPr>
              <w:spacing w:line="240" w:lineRule="auto"/>
              <w:ind w:firstLine="0"/>
              <w:rPr>
                <w:rFonts w:eastAsia="Calibri" w:cs="Arial"/>
                <w:szCs w:val="22"/>
                <w:highlight w:val="green"/>
              </w:rPr>
            </w:pPr>
            <w:r w:rsidRPr="00734D3B">
              <w:rPr>
                <w:rFonts w:eastAsia="Calibri" w:cs="Arial"/>
                <w:szCs w:val="22"/>
              </w:rPr>
              <w:t>27/01/2026</w:t>
            </w:r>
          </w:p>
        </w:tc>
      </w:tr>
      <w:tr w:rsidR="00734D3B" w:rsidRPr="00734D3B" w14:paraId="0FD0BA73" w14:textId="77777777" w:rsidTr="00865CCD">
        <w:tc>
          <w:tcPr>
            <w:tcW w:w="5954" w:type="dxa"/>
          </w:tcPr>
          <w:p w14:paraId="62C0F28D" w14:textId="3230757A" w:rsidR="00ED6D67" w:rsidRPr="00734D3B" w:rsidRDefault="00ED6D67" w:rsidP="00D7259E">
            <w:pPr>
              <w:spacing w:line="240" w:lineRule="auto"/>
              <w:ind w:firstLine="0"/>
              <w:rPr>
                <w:rFonts w:eastAsia="Calibri" w:cs="Arial"/>
                <w:szCs w:val="22"/>
              </w:rPr>
            </w:pPr>
            <w:r w:rsidRPr="00734D3B">
              <w:rPr>
                <w:rFonts w:eastAsia="Calibri" w:cs="Arial"/>
                <w:szCs w:val="22"/>
              </w:rPr>
              <w:t xml:space="preserve">1.2.4 </w:t>
            </w:r>
            <w:r w:rsidR="000C35BB" w:rsidRPr="00734D3B">
              <w:rPr>
                <w:rFonts w:eastAsia="Calibri" w:cs="Arial"/>
                <w:szCs w:val="22"/>
              </w:rPr>
              <w:t>Definición de indicadores de desempeño ambiental</w:t>
            </w:r>
          </w:p>
        </w:tc>
        <w:tc>
          <w:tcPr>
            <w:tcW w:w="1437" w:type="dxa"/>
          </w:tcPr>
          <w:p w14:paraId="1F25FFBD" w14:textId="17D9A4BB" w:rsidR="00ED6D67" w:rsidRPr="00734D3B" w:rsidRDefault="00C9676D" w:rsidP="00D7259E">
            <w:pPr>
              <w:spacing w:line="240" w:lineRule="auto"/>
              <w:ind w:firstLine="0"/>
              <w:rPr>
                <w:rFonts w:eastAsia="Calibri" w:cs="Arial"/>
                <w:szCs w:val="22"/>
              </w:rPr>
            </w:pPr>
            <w:r w:rsidRPr="00734D3B">
              <w:rPr>
                <w:rFonts w:eastAsia="Calibri" w:cs="Arial"/>
                <w:szCs w:val="22"/>
              </w:rPr>
              <w:t>16/02/2026</w:t>
            </w:r>
          </w:p>
        </w:tc>
      </w:tr>
      <w:tr w:rsidR="00734D3B" w:rsidRPr="00734D3B" w14:paraId="10382BED" w14:textId="77777777" w:rsidTr="00865CCD">
        <w:tc>
          <w:tcPr>
            <w:tcW w:w="5954" w:type="dxa"/>
          </w:tcPr>
          <w:p w14:paraId="5F25F8B0" w14:textId="6CA02A88" w:rsidR="00ED6D67" w:rsidRPr="00734D3B" w:rsidRDefault="00ED6D67" w:rsidP="00D7259E">
            <w:pPr>
              <w:spacing w:line="240" w:lineRule="auto"/>
              <w:ind w:firstLine="0"/>
              <w:rPr>
                <w:rFonts w:eastAsia="Calibri" w:cs="Arial"/>
                <w:szCs w:val="22"/>
              </w:rPr>
            </w:pPr>
            <w:r w:rsidRPr="00734D3B">
              <w:rPr>
                <w:rFonts w:eastAsia="Calibri" w:cs="Arial"/>
                <w:szCs w:val="22"/>
              </w:rPr>
              <w:t xml:space="preserve">1.2.5 </w:t>
            </w:r>
            <w:r w:rsidR="000C35BB" w:rsidRPr="00734D3B">
              <w:rPr>
                <w:rFonts w:eastAsia="Calibri" w:cs="Arial"/>
                <w:szCs w:val="22"/>
              </w:rPr>
              <w:t>Estructuración de la guía metodológica</w:t>
            </w:r>
          </w:p>
        </w:tc>
        <w:tc>
          <w:tcPr>
            <w:tcW w:w="1437" w:type="dxa"/>
          </w:tcPr>
          <w:p w14:paraId="4EC254B3" w14:textId="48CEA28A" w:rsidR="00ED6D67" w:rsidRPr="00734D3B" w:rsidRDefault="00AD44F7" w:rsidP="00D7259E">
            <w:pPr>
              <w:spacing w:line="240" w:lineRule="auto"/>
              <w:ind w:firstLine="0"/>
              <w:rPr>
                <w:rFonts w:eastAsia="Calibri" w:cs="Arial"/>
                <w:szCs w:val="22"/>
              </w:rPr>
            </w:pPr>
            <w:r w:rsidRPr="00734D3B">
              <w:rPr>
                <w:rFonts w:eastAsia="Calibri" w:cs="Arial"/>
                <w:szCs w:val="22"/>
              </w:rPr>
              <w:t>16/02/2026</w:t>
            </w:r>
          </w:p>
        </w:tc>
      </w:tr>
      <w:tr w:rsidR="00734D3B" w:rsidRPr="00734D3B" w14:paraId="259EB126" w14:textId="77777777" w:rsidTr="00865CCD">
        <w:tc>
          <w:tcPr>
            <w:tcW w:w="5954" w:type="dxa"/>
          </w:tcPr>
          <w:p w14:paraId="47B411F0" w14:textId="77777777" w:rsidR="00412EB6" w:rsidRPr="00734D3B" w:rsidRDefault="00412EB6" w:rsidP="00D7259E">
            <w:pPr>
              <w:spacing w:line="240" w:lineRule="auto"/>
              <w:ind w:firstLine="0"/>
              <w:rPr>
                <w:rFonts w:eastAsia="Calibri" w:cs="Arial"/>
                <w:szCs w:val="22"/>
              </w:rPr>
            </w:pPr>
            <w:r w:rsidRPr="00734D3B">
              <w:rPr>
                <w:rFonts w:eastAsia="Calibri" w:cs="Arial"/>
                <w:szCs w:val="22"/>
              </w:rPr>
              <w:t xml:space="preserve">1.3 Revisión de lectores </w:t>
            </w:r>
          </w:p>
        </w:tc>
        <w:tc>
          <w:tcPr>
            <w:tcW w:w="1437" w:type="dxa"/>
          </w:tcPr>
          <w:p w14:paraId="6220F688" w14:textId="3FE68218" w:rsidR="00412EB6" w:rsidRPr="00734D3B" w:rsidRDefault="00CB57C7" w:rsidP="00D7259E">
            <w:pPr>
              <w:spacing w:line="240" w:lineRule="auto"/>
              <w:ind w:firstLine="0"/>
              <w:rPr>
                <w:rFonts w:eastAsia="Calibri" w:cs="Arial"/>
                <w:szCs w:val="22"/>
                <w:highlight w:val="green"/>
              </w:rPr>
            </w:pPr>
            <w:r w:rsidRPr="00734D3B">
              <w:rPr>
                <w:rFonts w:eastAsia="Calibri" w:cs="Arial"/>
                <w:szCs w:val="22"/>
              </w:rPr>
              <w:t>16/04/2026</w:t>
            </w:r>
          </w:p>
        </w:tc>
      </w:tr>
      <w:tr w:rsidR="00412EB6" w:rsidRPr="00734D3B" w14:paraId="59046283" w14:textId="77777777" w:rsidTr="00865CCD">
        <w:tc>
          <w:tcPr>
            <w:tcW w:w="5954" w:type="dxa"/>
          </w:tcPr>
          <w:p w14:paraId="53FECE4D" w14:textId="77777777" w:rsidR="00412EB6" w:rsidRPr="00734D3B" w:rsidRDefault="00412EB6" w:rsidP="00D7259E">
            <w:pPr>
              <w:spacing w:line="240" w:lineRule="auto"/>
              <w:ind w:firstLine="0"/>
              <w:rPr>
                <w:rFonts w:eastAsia="Calibri" w:cs="Arial"/>
                <w:szCs w:val="22"/>
              </w:rPr>
            </w:pPr>
            <w:r w:rsidRPr="00734D3B">
              <w:rPr>
                <w:rFonts w:eastAsia="Calibri" w:cs="Arial"/>
                <w:szCs w:val="22"/>
              </w:rPr>
              <w:t>1.4 Evaluación del tribunal</w:t>
            </w:r>
          </w:p>
        </w:tc>
        <w:tc>
          <w:tcPr>
            <w:tcW w:w="1437" w:type="dxa"/>
          </w:tcPr>
          <w:p w14:paraId="713D5575" w14:textId="4A2F1F7D" w:rsidR="00412EB6" w:rsidRPr="00734D3B" w:rsidRDefault="00CB57C7" w:rsidP="00D7259E">
            <w:pPr>
              <w:spacing w:line="240" w:lineRule="auto"/>
              <w:ind w:firstLine="0"/>
              <w:rPr>
                <w:rFonts w:eastAsia="Calibri" w:cs="Arial"/>
                <w:szCs w:val="22"/>
              </w:rPr>
            </w:pPr>
            <w:r w:rsidRPr="00734D3B">
              <w:rPr>
                <w:rFonts w:eastAsia="Calibri" w:cs="Arial"/>
                <w:szCs w:val="22"/>
              </w:rPr>
              <w:t>20/04/2026</w:t>
            </w:r>
          </w:p>
        </w:tc>
      </w:tr>
    </w:tbl>
    <w:p w14:paraId="184422EB" w14:textId="77777777" w:rsidR="00412EB6" w:rsidRPr="00734D3B" w:rsidRDefault="00412EB6" w:rsidP="00D7259E">
      <w:pPr>
        <w:spacing w:line="240" w:lineRule="auto"/>
        <w:ind w:firstLine="0"/>
        <w:rPr>
          <w:rFonts w:cs="Arial"/>
          <w:szCs w:val="22"/>
        </w:rPr>
      </w:pPr>
    </w:p>
    <w:p w14:paraId="41E2D2D9" w14:textId="711CB0EF" w:rsidR="00412EB6" w:rsidRPr="00734D3B" w:rsidRDefault="007828F7" w:rsidP="001D692F">
      <w:pPr>
        <w:pStyle w:val="ListParagraph"/>
        <w:numPr>
          <w:ilvl w:val="0"/>
          <w:numId w:val="2"/>
        </w:numPr>
        <w:rPr>
          <w:rFonts w:cs="Arial"/>
          <w:szCs w:val="22"/>
        </w:rPr>
      </w:pPr>
      <w:r w:rsidRPr="00734D3B">
        <w:rPr>
          <w:rFonts w:cs="Arial"/>
          <w:szCs w:val="22"/>
        </w:rPr>
        <w:t>Principales involucrados en el desarrollo del PFG</w:t>
      </w:r>
    </w:p>
    <w:p w14:paraId="03B40FDB" w14:textId="02A7E242" w:rsidR="007828F7" w:rsidRPr="00734D3B" w:rsidRDefault="007828F7" w:rsidP="00D7259E">
      <w:pPr>
        <w:pStyle w:val="ListParagraph"/>
        <w:ind w:left="720" w:firstLine="0"/>
        <w:rPr>
          <w:rFonts w:cs="Arial"/>
          <w:szCs w:val="22"/>
        </w:rPr>
      </w:pPr>
      <w:r w:rsidRPr="00734D3B">
        <w:rPr>
          <w:rFonts w:cs="Arial"/>
          <w:szCs w:val="22"/>
        </w:rPr>
        <w:t>Involucrados directos</w:t>
      </w:r>
    </w:p>
    <w:p w14:paraId="18415A7A" w14:textId="77777777" w:rsidR="003001AB" w:rsidRPr="00734D3B" w:rsidRDefault="003001AB" w:rsidP="00D7259E">
      <w:pPr>
        <w:pStyle w:val="ListParagraph"/>
        <w:ind w:left="720" w:firstLine="0"/>
        <w:rPr>
          <w:rFonts w:cs="Arial"/>
          <w:szCs w:val="22"/>
        </w:rPr>
      </w:pPr>
    </w:p>
    <w:tbl>
      <w:tblPr>
        <w:tblStyle w:val="TableGrid"/>
        <w:tblW w:w="0" w:type="auto"/>
        <w:tblInd w:w="720" w:type="dxa"/>
        <w:tblLook w:val="04A0" w:firstRow="1" w:lastRow="0" w:firstColumn="1" w:lastColumn="0" w:noHBand="0" w:noVBand="1"/>
      </w:tblPr>
      <w:tblGrid>
        <w:gridCol w:w="1771"/>
        <w:gridCol w:w="1681"/>
        <w:gridCol w:w="1664"/>
        <w:gridCol w:w="1733"/>
        <w:gridCol w:w="1783"/>
      </w:tblGrid>
      <w:tr w:rsidR="00734D3B" w:rsidRPr="00734D3B" w14:paraId="0E3DC080" w14:textId="77777777" w:rsidTr="00013182">
        <w:tc>
          <w:tcPr>
            <w:tcW w:w="1771" w:type="dxa"/>
          </w:tcPr>
          <w:p w14:paraId="7E99F111" w14:textId="38A7461F" w:rsidR="00B401A9" w:rsidRPr="00734D3B" w:rsidRDefault="00B401A9" w:rsidP="00D7259E">
            <w:pPr>
              <w:pStyle w:val="ListParagraph"/>
              <w:spacing w:line="240" w:lineRule="auto"/>
              <w:ind w:left="0" w:firstLine="0"/>
              <w:rPr>
                <w:rFonts w:cs="Arial"/>
                <w:szCs w:val="22"/>
              </w:rPr>
            </w:pPr>
            <w:r w:rsidRPr="00734D3B">
              <w:rPr>
                <w:rFonts w:cs="Arial"/>
                <w:szCs w:val="22"/>
              </w:rPr>
              <w:t>Involucrado</w:t>
            </w:r>
          </w:p>
        </w:tc>
        <w:tc>
          <w:tcPr>
            <w:tcW w:w="1681" w:type="dxa"/>
          </w:tcPr>
          <w:p w14:paraId="72C225AA" w14:textId="1D76B46F" w:rsidR="00B401A9" w:rsidRPr="00734D3B" w:rsidRDefault="00B401A9" w:rsidP="00D7259E">
            <w:pPr>
              <w:pStyle w:val="ListParagraph"/>
              <w:spacing w:line="240" w:lineRule="auto"/>
              <w:ind w:left="0" w:firstLine="0"/>
              <w:rPr>
                <w:rFonts w:cs="Arial"/>
                <w:szCs w:val="22"/>
              </w:rPr>
            </w:pPr>
            <w:r w:rsidRPr="00734D3B">
              <w:rPr>
                <w:rFonts w:cs="Arial"/>
                <w:szCs w:val="22"/>
              </w:rPr>
              <w:t>Interés</w:t>
            </w:r>
          </w:p>
        </w:tc>
        <w:tc>
          <w:tcPr>
            <w:tcW w:w="1664" w:type="dxa"/>
          </w:tcPr>
          <w:p w14:paraId="1D2BDAC7" w14:textId="0439D7AD" w:rsidR="00B401A9" w:rsidRPr="00734D3B" w:rsidRDefault="00B401A9" w:rsidP="00D7259E">
            <w:pPr>
              <w:pStyle w:val="ListParagraph"/>
              <w:spacing w:line="240" w:lineRule="auto"/>
              <w:ind w:left="0" w:firstLine="0"/>
              <w:rPr>
                <w:rFonts w:cs="Arial"/>
                <w:szCs w:val="22"/>
              </w:rPr>
            </w:pPr>
            <w:r w:rsidRPr="00734D3B">
              <w:rPr>
                <w:rFonts w:cs="Arial"/>
                <w:szCs w:val="22"/>
              </w:rPr>
              <w:t>Poder</w:t>
            </w:r>
          </w:p>
        </w:tc>
        <w:tc>
          <w:tcPr>
            <w:tcW w:w="1733" w:type="dxa"/>
          </w:tcPr>
          <w:p w14:paraId="3674CD0D" w14:textId="2B4836CC" w:rsidR="00B401A9" w:rsidRPr="00734D3B" w:rsidRDefault="00B401A9" w:rsidP="00D7259E">
            <w:pPr>
              <w:pStyle w:val="ListParagraph"/>
              <w:spacing w:line="240" w:lineRule="auto"/>
              <w:ind w:left="0" w:firstLine="0"/>
              <w:rPr>
                <w:rFonts w:cs="Arial"/>
                <w:szCs w:val="22"/>
              </w:rPr>
            </w:pPr>
            <w:r w:rsidRPr="00734D3B">
              <w:rPr>
                <w:rFonts w:cs="Arial"/>
                <w:szCs w:val="22"/>
              </w:rPr>
              <w:t>Influencia</w:t>
            </w:r>
          </w:p>
        </w:tc>
        <w:tc>
          <w:tcPr>
            <w:tcW w:w="1783" w:type="dxa"/>
          </w:tcPr>
          <w:p w14:paraId="39EB2D83" w14:textId="6B3AB8E6" w:rsidR="00B401A9" w:rsidRPr="00734D3B" w:rsidRDefault="00B401A9" w:rsidP="00D7259E">
            <w:pPr>
              <w:pStyle w:val="ListParagraph"/>
              <w:spacing w:line="240" w:lineRule="auto"/>
              <w:ind w:left="0" w:firstLine="0"/>
              <w:rPr>
                <w:rFonts w:cs="Arial"/>
                <w:szCs w:val="22"/>
              </w:rPr>
            </w:pPr>
            <w:r w:rsidRPr="00734D3B">
              <w:rPr>
                <w:rFonts w:cs="Arial"/>
                <w:szCs w:val="22"/>
              </w:rPr>
              <w:t>Justificación</w:t>
            </w:r>
          </w:p>
        </w:tc>
      </w:tr>
      <w:tr w:rsidR="00734D3B" w:rsidRPr="00734D3B" w14:paraId="7158CE1A" w14:textId="77777777" w:rsidTr="00013182">
        <w:tc>
          <w:tcPr>
            <w:tcW w:w="1771" w:type="dxa"/>
          </w:tcPr>
          <w:p w14:paraId="720EB408" w14:textId="398F1DA0" w:rsidR="00B401A9" w:rsidRPr="00734D3B" w:rsidRDefault="00D039D7" w:rsidP="00D7259E">
            <w:pPr>
              <w:pStyle w:val="ListParagraph"/>
              <w:spacing w:line="240" w:lineRule="auto"/>
              <w:ind w:left="0" w:firstLine="0"/>
              <w:rPr>
                <w:rFonts w:cs="Arial"/>
                <w:szCs w:val="22"/>
              </w:rPr>
            </w:pPr>
            <w:r w:rsidRPr="00734D3B">
              <w:rPr>
                <w:rFonts w:cs="Arial"/>
                <w:szCs w:val="22"/>
              </w:rPr>
              <w:t xml:space="preserve">Ana </w:t>
            </w:r>
            <w:r w:rsidR="00677414" w:rsidRPr="00734D3B">
              <w:rPr>
                <w:rFonts w:cs="Arial"/>
                <w:szCs w:val="22"/>
              </w:rPr>
              <w:t xml:space="preserve">Rodríguez </w:t>
            </w:r>
            <w:r w:rsidR="00013182" w:rsidRPr="00734D3B">
              <w:rPr>
                <w:rFonts w:cs="Arial"/>
                <w:szCs w:val="22"/>
              </w:rPr>
              <w:t>/</w:t>
            </w:r>
            <w:r w:rsidRPr="00734D3B">
              <w:rPr>
                <w:rFonts w:cs="Arial"/>
                <w:szCs w:val="22"/>
              </w:rPr>
              <w:t xml:space="preserve"> Autora</w:t>
            </w:r>
          </w:p>
        </w:tc>
        <w:tc>
          <w:tcPr>
            <w:tcW w:w="1681" w:type="dxa"/>
          </w:tcPr>
          <w:p w14:paraId="391D8653" w14:textId="1BDFCAFF" w:rsidR="00B401A9" w:rsidRPr="00734D3B" w:rsidRDefault="00D039D7" w:rsidP="00D7259E">
            <w:pPr>
              <w:pStyle w:val="ListParagraph"/>
              <w:spacing w:line="240" w:lineRule="auto"/>
              <w:ind w:left="0" w:firstLine="0"/>
              <w:rPr>
                <w:rFonts w:cs="Arial"/>
                <w:szCs w:val="22"/>
              </w:rPr>
            </w:pPr>
            <w:r w:rsidRPr="00734D3B">
              <w:rPr>
                <w:rFonts w:cs="Arial"/>
                <w:szCs w:val="22"/>
              </w:rPr>
              <w:t>Alto</w:t>
            </w:r>
          </w:p>
        </w:tc>
        <w:tc>
          <w:tcPr>
            <w:tcW w:w="1664" w:type="dxa"/>
          </w:tcPr>
          <w:p w14:paraId="3CB6FBE3" w14:textId="737B5E9E" w:rsidR="00B401A9" w:rsidRPr="00734D3B" w:rsidRDefault="00D039D7" w:rsidP="00D7259E">
            <w:pPr>
              <w:pStyle w:val="ListParagraph"/>
              <w:spacing w:line="240" w:lineRule="auto"/>
              <w:ind w:left="0" w:firstLine="0"/>
              <w:rPr>
                <w:rFonts w:cs="Arial"/>
                <w:szCs w:val="22"/>
              </w:rPr>
            </w:pPr>
            <w:r w:rsidRPr="00734D3B">
              <w:rPr>
                <w:rFonts w:cs="Arial"/>
                <w:szCs w:val="22"/>
              </w:rPr>
              <w:t>Alto</w:t>
            </w:r>
          </w:p>
        </w:tc>
        <w:tc>
          <w:tcPr>
            <w:tcW w:w="1733" w:type="dxa"/>
          </w:tcPr>
          <w:p w14:paraId="52EA1638" w14:textId="5EE9C643" w:rsidR="00B401A9" w:rsidRPr="00734D3B" w:rsidRDefault="00D039D7" w:rsidP="00D7259E">
            <w:pPr>
              <w:pStyle w:val="ListParagraph"/>
              <w:spacing w:line="240" w:lineRule="auto"/>
              <w:ind w:left="0" w:firstLine="0"/>
              <w:rPr>
                <w:rFonts w:cs="Arial"/>
                <w:szCs w:val="22"/>
              </w:rPr>
            </w:pPr>
            <w:r w:rsidRPr="00734D3B">
              <w:rPr>
                <w:rFonts w:cs="Arial"/>
                <w:szCs w:val="22"/>
              </w:rPr>
              <w:t>Alto</w:t>
            </w:r>
          </w:p>
        </w:tc>
        <w:tc>
          <w:tcPr>
            <w:tcW w:w="1783" w:type="dxa"/>
          </w:tcPr>
          <w:p w14:paraId="79634B9D" w14:textId="5D4A0C96" w:rsidR="00B401A9" w:rsidRPr="00734D3B" w:rsidRDefault="002D72ED" w:rsidP="00D7259E">
            <w:pPr>
              <w:pStyle w:val="ListParagraph"/>
              <w:spacing w:line="240" w:lineRule="auto"/>
              <w:ind w:left="0" w:firstLine="0"/>
              <w:rPr>
                <w:rFonts w:cs="Arial"/>
                <w:szCs w:val="22"/>
              </w:rPr>
            </w:pPr>
            <w:r w:rsidRPr="00734D3B">
              <w:rPr>
                <w:rFonts w:cs="Arial"/>
                <w:szCs w:val="22"/>
              </w:rPr>
              <w:t xml:space="preserve">Desarrolla el proyecto y </w:t>
            </w:r>
            <w:r w:rsidRPr="00734D3B">
              <w:rPr>
                <w:rFonts w:cs="Arial"/>
                <w:szCs w:val="22"/>
              </w:rPr>
              <w:lastRenderedPageBreak/>
              <w:t>controla el cronograma</w:t>
            </w:r>
          </w:p>
        </w:tc>
      </w:tr>
      <w:tr w:rsidR="00734D3B" w:rsidRPr="00734D3B" w14:paraId="7DB102FE" w14:textId="77777777" w:rsidTr="00013182">
        <w:tc>
          <w:tcPr>
            <w:tcW w:w="1771" w:type="dxa"/>
          </w:tcPr>
          <w:p w14:paraId="76E7B640" w14:textId="57D9011A" w:rsidR="00B401A9" w:rsidRPr="00734D3B" w:rsidRDefault="00013182" w:rsidP="00D7259E">
            <w:pPr>
              <w:pStyle w:val="ListParagraph"/>
              <w:spacing w:line="240" w:lineRule="auto"/>
              <w:ind w:left="0" w:firstLine="0"/>
              <w:rPr>
                <w:rFonts w:cs="Arial"/>
                <w:szCs w:val="22"/>
              </w:rPr>
            </w:pPr>
            <w:r w:rsidRPr="00734D3B">
              <w:rPr>
                <w:rFonts w:cs="Arial"/>
                <w:szCs w:val="22"/>
              </w:rPr>
              <w:lastRenderedPageBreak/>
              <w:t>Tutor</w:t>
            </w:r>
            <w:r w:rsidR="0079783F" w:rsidRPr="00734D3B">
              <w:rPr>
                <w:rFonts w:cs="Arial"/>
                <w:szCs w:val="22"/>
              </w:rPr>
              <w:t xml:space="preserve"> </w:t>
            </w:r>
          </w:p>
        </w:tc>
        <w:tc>
          <w:tcPr>
            <w:tcW w:w="1681" w:type="dxa"/>
          </w:tcPr>
          <w:p w14:paraId="3247AA5D" w14:textId="4967E3B6" w:rsidR="00B401A9" w:rsidRPr="00734D3B" w:rsidRDefault="00013182" w:rsidP="00D7259E">
            <w:pPr>
              <w:pStyle w:val="ListParagraph"/>
              <w:spacing w:line="240" w:lineRule="auto"/>
              <w:ind w:left="0" w:firstLine="0"/>
              <w:rPr>
                <w:rFonts w:cs="Arial"/>
                <w:szCs w:val="22"/>
              </w:rPr>
            </w:pPr>
            <w:r w:rsidRPr="00734D3B">
              <w:rPr>
                <w:rFonts w:cs="Arial"/>
                <w:szCs w:val="22"/>
              </w:rPr>
              <w:t>Alto</w:t>
            </w:r>
          </w:p>
        </w:tc>
        <w:tc>
          <w:tcPr>
            <w:tcW w:w="1664" w:type="dxa"/>
          </w:tcPr>
          <w:p w14:paraId="025F8808" w14:textId="3197A21F" w:rsidR="00B401A9" w:rsidRPr="00734D3B" w:rsidRDefault="00013182" w:rsidP="00D7259E">
            <w:pPr>
              <w:pStyle w:val="ListParagraph"/>
              <w:spacing w:line="240" w:lineRule="auto"/>
              <w:ind w:left="0" w:firstLine="0"/>
              <w:rPr>
                <w:rFonts w:cs="Arial"/>
                <w:szCs w:val="22"/>
              </w:rPr>
            </w:pPr>
            <w:r w:rsidRPr="00734D3B">
              <w:rPr>
                <w:rFonts w:cs="Arial"/>
                <w:szCs w:val="22"/>
              </w:rPr>
              <w:t>Medio</w:t>
            </w:r>
          </w:p>
        </w:tc>
        <w:tc>
          <w:tcPr>
            <w:tcW w:w="1733" w:type="dxa"/>
          </w:tcPr>
          <w:p w14:paraId="25F25102" w14:textId="21335369" w:rsidR="00B401A9" w:rsidRPr="00734D3B" w:rsidRDefault="00013182" w:rsidP="00D7259E">
            <w:pPr>
              <w:pStyle w:val="ListParagraph"/>
              <w:spacing w:line="240" w:lineRule="auto"/>
              <w:ind w:left="0" w:firstLine="0"/>
              <w:rPr>
                <w:rFonts w:cs="Arial"/>
                <w:szCs w:val="22"/>
              </w:rPr>
            </w:pPr>
            <w:r w:rsidRPr="00734D3B">
              <w:rPr>
                <w:rFonts w:cs="Arial"/>
                <w:szCs w:val="22"/>
              </w:rPr>
              <w:t>Alto</w:t>
            </w:r>
          </w:p>
        </w:tc>
        <w:tc>
          <w:tcPr>
            <w:tcW w:w="1783" w:type="dxa"/>
          </w:tcPr>
          <w:p w14:paraId="5C1A72BF" w14:textId="0AA5A6AB" w:rsidR="00B401A9" w:rsidRPr="00734D3B" w:rsidRDefault="005B125A" w:rsidP="00D7259E">
            <w:pPr>
              <w:pStyle w:val="ListParagraph"/>
              <w:spacing w:line="240" w:lineRule="auto"/>
              <w:ind w:left="0" w:firstLine="0"/>
              <w:rPr>
                <w:rFonts w:cs="Arial"/>
                <w:szCs w:val="22"/>
              </w:rPr>
            </w:pPr>
            <w:r w:rsidRPr="00734D3B">
              <w:rPr>
                <w:rFonts w:cs="Arial"/>
                <w:szCs w:val="22"/>
              </w:rPr>
              <w:t>Influye</w:t>
            </w:r>
            <w:r w:rsidR="007C6051" w:rsidRPr="00734D3B">
              <w:rPr>
                <w:rFonts w:cs="Arial"/>
                <w:szCs w:val="22"/>
              </w:rPr>
              <w:t xml:space="preserve"> y da dirección en el proyecto.</w:t>
            </w:r>
          </w:p>
        </w:tc>
      </w:tr>
      <w:tr w:rsidR="00734D3B" w:rsidRPr="00734D3B" w14:paraId="43F647EF" w14:textId="77777777" w:rsidTr="00013182">
        <w:tc>
          <w:tcPr>
            <w:tcW w:w="1771" w:type="dxa"/>
          </w:tcPr>
          <w:p w14:paraId="05B5C226" w14:textId="45A36C74" w:rsidR="00013182" w:rsidRPr="00734D3B" w:rsidRDefault="007C6051" w:rsidP="00D7259E">
            <w:pPr>
              <w:pStyle w:val="ListParagraph"/>
              <w:spacing w:line="240" w:lineRule="auto"/>
              <w:ind w:left="0" w:firstLine="0"/>
              <w:rPr>
                <w:rFonts w:cs="Arial"/>
                <w:szCs w:val="22"/>
              </w:rPr>
            </w:pPr>
            <w:r w:rsidRPr="00734D3B">
              <w:rPr>
                <w:rFonts w:cs="Arial"/>
                <w:szCs w:val="22"/>
              </w:rPr>
              <w:t>Contratistas Eléctricos</w:t>
            </w:r>
          </w:p>
        </w:tc>
        <w:tc>
          <w:tcPr>
            <w:tcW w:w="1681" w:type="dxa"/>
          </w:tcPr>
          <w:p w14:paraId="28E5EABF" w14:textId="269B2373" w:rsidR="00013182" w:rsidRPr="00734D3B" w:rsidRDefault="007C6051" w:rsidP="00D7259E">
            <w:pPr>
              <w:pStyle w:val="ListParagraph"/>
              <w:spacing w:line="240" w:lineRule="auto"/>
              <w:ind w:left="0" w:firstLine="0"/>
              <w:rPr>
                <w:rFonts w:cs="Arial"/>
                <w:szCs w:val="22"/>
              </w:rPr>
            </w:pPr>
            <w:r w:rsidRPr="00734D3B">
              <w:rPr>
                <w:rFonts w:cs="Arial"/>
                <w:szCs w:val="22"/>
              </w:rPr>
              <w:t xml:space="preserve">Alto </w:t>
            </w:r>
          </w:p>
        </w:tc>
        <w:tc>
          <w:tcPr>
            <w:tcW w:w="1664" w:type="dxa"/>
          </w:tcPr>
          <w:p w14:paraId="176B6B0B" w14:textId="03EE1838" w:rsidR="00013182" w:rsidRPr="00734D3B" w:rsidRDefault="007C6051" w:rsidP="00D7259E">
            <w:pPr>
              <w:pStyle w:val="ListParagraph"/>
              <w:spacing w:line="240" w:lineRule="auto"/>
              <w:ind w:left="0" w:firstLine="0"/>
              <w:rPr>
                <w:rFonts w:cs="Arial"/>
                <w:szCs w:val="22"/>
              </w:rPr>
            </w:pPr>
            <w:r w:rsidRPr="00734D3B">
              <w:rPr>
                <w:rFonts w:cs="Arial"/>
                <w:szCs w:val="22"/>
              </w:rPr>
              <w:t>Bajo</w:t>
            </w:r>
          </w:p>
        </w:tc>
        <w:tc>
          <w:tcPr>
            <w:tcW w:w="1733" w:type="dxa"/>
          </w:tcPr>
          <w:p w14:paraId="0EF64DAE" w14:textId="654952FE" w:rsidR="00013182" w:rsidRPr="00734D3B" w:rsidRDefault="007C6051" w:rsidP="00D7259E">
            <w:pPr>
              <w:pStyle w:val="ListParagraph"/>
              <w:spacing w:line="240" w:lineRule="auto"/>
              <w:ind w:left="0" w:firstLine="0"/>
              <w:rPr>
                <w:rFonts w:cs="Arial"/>
                <w:szCs w:val="22"/>
              </w:rPr>
            </w:pPr>
            <w:r w:rsidRPr="00734D3B">
              <w:rPr>
                <w:rFonts w:cs="Arial"/>
                <w:szCs w:val="22"/>
              </w:rPr>
              <w:t>Medio</w:t>
            </w:r>
          </w:p>
        </w:tc>
        <w:tc>
          <w:tcPr>
            <w:tcW w:w="1783" w:type="dxa"/>
          </w:tcPr>
          <w:p w14:paraId="1A0EC708" w14:textId="59B69E49" w:rsidR="00013182" w:rsidRPr="00734D3B" w:rsidRDefault="005B125A" w:rsidP="00D7259E">
            <w:pPr>
              <w:pStyle w:val="ListParagraph"/>
              <w:spacing w:line="240" w:lineRule="auto"/>
              <w:ind w:left="0" w:firstLine="0"/>
              <w:rPr>
                <w:rFonts w:cs="Arial"/>
                <w:szCs w:val="22"/>
              </w:rPr>
            </w:pPr>
            <w:r w:rsidRPr="00734D3B">
              <w:rPr>
                <w:rFonts w:cs="Arial"/>
                <w:szCs w:val="22"/>
              </w:rPr>
              <w:t>Aporte de información clave</w:t>
            </w:r>
            <w:r w:rsidR="00BB1A2C" w:rsidRPr="00734D3B">
              <w:rPr>
                <w:rFonts w:cs="Arial"/>
                <w:szCs w:val="22"/>
              </w:rPr>
              <w:t xml:space="preserve"> y uso futuro de la guía.</w:t>
            </w:r>
          </w:p>
        </w:tc>
      </w:tr>
      <w:tr w:rsidR="00013182" w:rsidRPr="00734D3B" w14:paraId="3A2E3F5F" w14:textId="77777777" w:rsidTr="00013182">
        <w:tc>
          <w:tcPr>
            <w:tcW w:w="1771" w:type="dxa"/>
          </w:tcPr>
          <w:p w14:paraId="4E4D694F" w14:textId="33AD28A1" w:rsidR="00013182" w:rsidRPr="00734D3B" w:rsidRDefault="005B125A" w:rsidP="00D7259E">
            <w:pPr>
              <w:pStyle w:val="ListParagraph"/>
              <w:spacing w:line="240" w:lineRule="auto"/>
              <w:ind w:left="0" w:firstLine="0"/>
              <w:rPr>
                <w:rFonts w:cs="Arial"/>
                <w:szCs w:val="22"/>
              </w:rPr>
            </w:pPr>
            <w:r w:rsidRPr="00734D3B">
              <w:rPr>
                <w:rFonts w:cs="Arial"/>
                <w:szCs w:val="22"/>
              </w:rPr>
              <w:t>Lectores</w:t>
            </w:r>
          </w:p>
        </w:tc>
        <w:tc>
          <w:tcPr>
            <w:tcW w:w="1681" w:type="dxa"/>
          </w:tcPr>
          <w:p w14:paraId="0ACDE14E" w14:textId="33FB54A8" w:rsidR="00013182" w:rsidRPr="00734D3B" w:rsidRDefault="005B125A" w:rsidP="00D7259E">
            <w:pPr>
              <w:pStyle w:val="ListParagraph"/>
              <w:spacing w:line="240" w:lineRule="auto"/>
              <w:ind w:left="0" w:firstLine="0"/>
              <w:rPr>
                <w:rFonts w:cs="Arial"/>
                <w:szCs w:val="22"/>
              </w:rPr>
            </w:pPr>
            <w:r w:rsidRPr="00734D3B">
              <w:rPr>
                <w:rFonts w:cs="Arial"/>
                <w:szCs w:val="22"/>
              </w:rPr>
              <w:t>Medio</w:t>
            </w:r>
          </w:p>
        </w:tc>
        <w:tc>
          <w:tcPr>
            <w:tcW w:w="1664" w:type="dxa"/>
          </w:tcPr>
          <w:p w14:paraId="17492C81" w14:textId="3493D147" w:rsidR="00013182" w:rsidRPr="00734D3B" w:rsidRDefault="005B125A" w:rsidP="00D7259E">
            <w:pPr>
              <w:pStyle w:val="ListParagraph"/>
              <w:spacing w:line="240" w:lineRule="auto"/>
              <w:ind w:left="0" w:firstLine="0"/>
              <w:rPr>
                <w:rFonts w:cs="Arial"/>
                <w:szCs w:val="22"/>
              </w:rPr>
            </w:pPr>
            <w:r w:rsidRPr="00734D3B">
              <w:rPr>
                <w:rFonts w:cs="Arial"/>
                <w:szCs w:val="22"/>
              </w:rPr>
              <w:t>Medio</w:t>
            </w:r>
          </w:p>
        </w:tc>
        <w:tc>
          <w:tcPr>
            <w:tcW w:w="1733" w:type="dxa"/>
          </w:tcPr>
          <w:p w14:paraId="6D3D090F" w14:textId="3C4F7946" w:rsidR="00013182" w:rsidRPr="00734D3B" w:rsidRDefault="005B125A" w:rsidP="00D7259E">
            <w:pPr>
              <w:pStyle w:val="ListParagraph"/>
              <w:spacing w:line="240" w:lineRule="auto"/>
              <w:ind w:left="0" w:firstLine="0"/>
              <w:rPr>
                <w:rFonts w:cs="Arial"/>
                <w:szCs w:val="22"/>
              </w:rPr>
            </w:pPr>
            <w:r w:rsidRPr="00734D3B">
              <w:rPr>
                <w:rFonts w:cs="Arial"/>
                <w:szCs w:val="22"/>
              </w:rPr>
              <w:t>Medio</w:t>
            </w:r>
          </w:p>
        </w:tc>
        <w:tc>
          <w:tcPr>
            <w:tcW w:w="1783" w:type="dxa"/>
          </w:tcPr>
          <w:p w14:paraId="59916721" w14:textId="405BD704" w:rsidR="00013182" w:rsidRPr="00734D3B" w:rsidRDefault="0027775F" w:rsidP="00D7259E">
            <w:pPr>
              <w:pStyle w:val="ListParagraph"/>
              <w:spacing w:line="240" w:lineRule="auto"/>
              <w:ind w:left="0" w:firstLine="0"/>
              <w:rPr>
                <w:rFonts w:cs="Arial"/>
                <w:szCs w:val="22"/>
              </w:rPr>
            </w:pPr>
            <w:r w:rsidRPr="00734D3B">
              <w:rPr>
                <w:rFonts w:cs="Arial"/>
                <w:szCs w:val="22"/>
              </w:rPr>
              <w:t>Evalúan la calidad de los entregables</w:t>
            </w:r>
          </w:p>
        </w:tc>
      </w:tr>
    </w:tbl>
    <w:p w14:paraId="10B65CDE" w14:textId="77777777" w:rsidR="00C63539" w:rsidRPr="00734D3B" w:rsidRDefault="00C63539" w:rsidP="00D7259E">
      <w:pPr>
        <w:pStyle w:val="ListParagraph"/>
        <w:ind w:left="720" w:firstLine="0"/>
        <w:rPr>
          <w:rFonts w:cs="Arial"/>
          <w:szCs w:val="22"/>
        </w:rPr>
      </w:pPr>
    </w:p>
    <w:p w14:paraId="4945B0AC" w14:textId="77777777" w:rsidR="007828F7" w:rsidRPr="00734D3B" w:rsidRDefault="007828F7" w:rsidP="00D7259E">
      <w:pPr>
        <w:pStyle w:val="ListParagraph"/>
        <w:ind w:left="720" w:firstLine="0"/>
        <w:rPr>
          <w:rFonts w:cs="Arial"/>
          <w:szCs w:val="22"/>
        </w:rPr>
      </w:pPr>
    </w:p>
    <w:p w14:paraId="7E4AC4A4" w14:textId="75825CE1" w:rsidR="007828F7" w:rsidRPr="00734D3B" w:rsidRDefault="007828F7" w:rsidP="00D7259E">
      <w:pPr>
        <w:pStyle w:val="ListParagraph"/>
        <w:ind w:left="720" w:firstLine="0"/>
        <w:rPr>
          <w:rFonts w:cs="Arial"/>
          <w:szCs w:val="22"/>
        </w:rPr>
      </w:pPr>
      <w:r w:rsidRPr="00734D3B">
        <w:rPr>
          <w:rFonts w:cs="Arial"/>
          <w:szCs w:val="22"/>
        </w:rPr>
        <w:t>Involucrados indirectos</w:t>
      </w:r>
    </w:p>
    <w:tbl>
      <w:tblPr>
        <w:tblStyle w:val="TableGrid"/>
        <w:tblW w:w="0" w:type="auto"/>
        <w:tblInd w:w="720" w:type="dxa"/>
        <w:tblLook w:val="04A0" w:firstRow="1" w:lastRow="0" w:firstColumn="1" w:lastColumn="0" w:noHBand="0" w:noVBand="1"/>
      </w:tblPr>
      <w:tblGrid>
        <w:gridCol w:w="1770"/>
        <w:gridCol w:w="1680"/>
        <w:gridCol w:w="1666"/>
        <w:gridCol w:w="1733"/>
        <w:gridCol w:w="1783"/>
      </w:tblGrid>
      <w:tr w:rsidR="00734D3B" w:rsidRPr="00734D3B" w14:paraId="324DC3D3" w14:textId="77777777" w:rsidTr="006330CD">
        <w:tc>
          <w:tcPr>
            <w:tcW w:w="1770" w:type="dxa"/>
          </w:tcPr>
          <w:p w14:paraId="73D44523" w14:textId="77777777" w:rsidR="00B401A9" w:rsidRPr="00734D3B" w:rsidRDefault="00B401A9" w:rsidP="00D7259E">
            <w:pPr>
              <w:pStyle w:val="ListParagraph"/>
              <w:spacing w:line="240" w:lineRule="auto"/>
              <w:ind w:left="0" w:firstLine="0"/>
              <w:rPr>
                <w:rFonts w:cs="Arial"/>
                <w:szCs w:val="22"/>
              </w:rPr>
            </w:pPr>
            <w:r w:rsidRPr="00734D3B">
              <w:rPr>
                <w:rFonts w:cs="Arial"/>
                <w:szCs w:val="22"/>
              </w:rPr>
              <w:t>Involucrado</w:t>
            </w:r>
          </w:p>
        </w:tc>
        <w:tc>
          <w:tcPr>
            <w:tcW w:w="1680" w:type="dxa"/>
          </w:tcPr>
          <w:p w14:paraId="316D352B" w14:textId="77777777" w:rsidR="00B401A9" w:rsidRPr="00734D3B" w:rsidRDefault="00B401A9" w:rsidP="00D7259E">
            <w:pPr>
              <w:pStyle w:val="ListParagraph"/>
              <w:spacing w:line="240" w:lineRule="auto"/>
              <w:ind w:left="0" w:firstLine="0"/>
              <w:rPr>
                <w:rFonts w:cs="Arial"/>
                <w:szCs w:val="22"/>
              </w:rPr>
            </w:pPr>
            <w:r w:rsidRPr="00734D3B">
              <w:rPr>
                <w:rFonts w:cs="Arial"/>
                <w:szCs w:val="22"/>
              </w:rPr>
              <w:t>Interés</w:t>
            </w:r>
          </w:p>
        </w:tc>
        <w:tc>
          <w:tcPr>
            <w:tcW w:w="1666" w:type="dxa"/>
          </w:tcPr>
          <w:p w14:paraId="459D8A36" w14:textId="77777777" w:rsidR="00B401A9" w:rsidRPr="00734D3B" w:rsidRDefault="00B401A9" w:rsidP="00D7259E">
            <w:pPr>
              <w:pStyle w:val="ListParagraph"/>
              <w:spacing w:line="240" w:lineRule="auto"/>
              <w:ind w:left="0" w:firstLine="0"/>
              <w:rPr>
                <w:rFonts w:cs="Arial"/>
                <w:szCs w:val="22"/>
              </w:rPr>
            </w:pPr>
            <w:r w:rsidRPr="00734D3B">
              <w:rPr>
                <w:rFonts w:cs="Arial"/>
                <w:szCs w:val="22"/>
              </w:rPr>
              <w:t>Poder</w:t>
            </w:r>
          </w:p>
        </w:tc>
        <w:tc>
          <w:tcPr>
            <w:tcW w:w="1733" w:type="dxa"/>
          </w:tcPr>
          <w:p w14:paraId="47CC206B" w14:textId="77777777" w:rsidR="00B401A9" w:rsidRPr="00734D3B" w:rsidRDefault="00B401A9" w:rsidP="00D7259E">
            <w:pPr>
              <w:pStyle w:val="ListParagraph"/>
              <w:spacing w:line="240" w:lineRule="auto"/>
              <w:ind w:left="0" w:firstLine="0"/>
              <w:rPr>
                <w:rFonts w:cs="Arial"/>
                <w:szCs w:val="22"/>
              </w:rPr>
            </w:pPr>
            <w:r w:rsidRPr="00734D3B">
              <w:rPr>
                <w:rFonts w:cs="Arial"/>
                <w:szCs w:val="22"/>
              </w:rPr>
              <w:t>Influencia</w:t>
            </w:r>
          </w:p>
        </w:tc>
        <w:tc>
          <w:tcPr>
            <w:tcW w:w="1783" w:type="dxa"/>
          </w:tcPr>
          <w:p w14:paraId="7D048ACD" w14:textId="77777777" w:rsidR="00B401A9" w:rsidRPr="00734D3B" w:rsidRDefault="00B401A9" w:rsidP="00D7259E">
            <w:pPr>
              <w:pStyle w:val="ListParagraph"/>
              <w:spacing w:line="240" w:lineRule="auto"/>
              <w:ind w:left="0" w:firstLine="0"/>
              <w:rPr>
                <w:rFonts w:cs="Arial"/>
                <w:szCs w:val="22"/>
              </w:rPr>
            </w:pPr>
            <w:r w:rsidRPr="00734D3B">
              <w:rPr>
                <w:rFonts w:cs="Arial"/>
                <w:szCs w:val="22"/>
              </w:rPr>
              <w:t>Justificación</w:t>
            </w:r>
          </w:p>
        </w:tc>
      </w:tr>
      <w:tr w:rsidR="00734D3B" w:rsidRPr="00734D3B" w14:paraId="19886DED" w14:textId="77777777" w:rsidTr="006330CD">
        <w:tc>
          <w:tcPr>
            <w:tcW w:w="1770" w:type="dxa"/>
          </w:tcPr>
          <w:p w14:paraId="6C5E37F6" w14:textId="539843D3" w:rsidR="004B5F4F" w:rsidRPr="00734D3B" w:rsidRDefault="004B5F4F" w:rsidP="00D7259E">
            <w:pPr>
              <w:pStyle w:val="ListParagraph"/>
              <w:spacing w:line="240" w:lineRule="auto"/>
              <w:ind w:left="0" w:firstLine="0"/>
              <w:rPr>
                <w:rFonts w:cs="Arial"/>
                <w:szCs w:val="22"/>
              </w:rPr>
            </w:pPr>
            <w:r w:rsidRPr="00734D3B">
              <w:rPr>
                <w:rFonts w:cs="Arial"/>
                <w:szCs w:val="22"/>
              </w:rPr>
              <w:t xml:space="preserve">Empresas </w:t>
            </w:r>
            <w:proofErr w:type="spellStart"/>
            <w:r w:rsidR="00D92C96" w:rsidRPr="00734D3B">
              <w:rPr>
                <w:rFonts w:cs="Arial"/>
                <w:szCs w:val="22"/>
              </w:rPr>
              <w:t>H</w:t>
            </w:r>
            <w:r w:rsidRPr="00734D3B">
              <w:rPr>
                <w:rFonts w:cs="Arial"/>
                <w:szCs w:val="22"/>
              </w:rPr>
              <w:t>yperscale</w:t>
            </w:r>
            <w:proofErr w:type="spellEnd"/>
          </w:p>
        </w:tc>
        <w:tc>
          <w:tcPr>
            <w:tcW w:w="1680" w:type="dxa"/>
          </w:tcPr>
          <w:p w14:paraId="7595CF0D" w14:textId="31BC7FD8"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666" w:type="dxa"/>
          </w:tcPr>
          <w:p w14:paraId="0F351B23" w14:textId="27814FD8" w:rsidR="004B5F4F" w:rsidRPr="00734D3B" w:rsidRDefault="004B5F4F" w:rsidP="00D7259E">
            <w:pPr>
              <w:pStyle w:val="ListParagraph"/>
              <w:spacing w:line="240" w:lineRule="auto"/>
              <w:ind w:left="0" w:firstLine="0"/>
              <w:rPr>
                <w:rFonts w:cs="Arial"/>
                <w:szCs w:val="22"/>
              </w:rPr>
            </w:pPr>
            <w:r w:rsidRPr="00734D3B">
              <w:rPr>
                <w:rFonts w:cs="Arial"/>
                <w:szCs w:val="22"/>
              </w:rPr>
              <w:t>Bajo</w:t>
            </w:r>
          </w:p>
        </w:tc>
        <w:tc>
          <w:tcPr>
            <w:tcW w:w="1733" w:type="dxa"/>
          </w:tcPr>
          <w:p w14:paraId="035ED979" w14:textId="26E0EB29"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783" w:type="dxa"/>
          </w:tcPr>
          <w:p w14:paraId="68C99C92" w14:textId="5B0B3EDF" w:rsidR="004B5F4F" w:rsidRPr="00734D3B" w:rsidRDefault="00E6645D" w:rsidP="00D7259E">
            <w:pPr>
              <w:pStyle w:val="ListParagraph"/>
              <w:spacing w:line="240" w:lineRule="auto"/>
              <w:ind w:left="0" w:firstLine="0"/>
              <w:rPr>
                <w:rFonts w:cs="Arial"/>
                <w:szCs w:val="22"/>
              </w:rPr>
            </w:pPr>
            <w:r w:rsidRPr="00734D3B">
              <w:rPr>
                <w:rFonts w:cs="Arial"/>
                <w:szCs w:val="22"/>
              </w:rPr>
              <w:t>Sus expectativas de sostenibilidad influyen indirectamente en la relevancia del tema.</w:t>
            </w:r>
          </w:p>
        </w:tc>
      </w:tr>
      <w:tr w:rsidR="00734D3B" w:rsidRPr="00734D3B" w14:paraId="6E42529B" w14:textId="77777777" w:rsidTr="006330CD">
        <w:tc>
          <w:tcPr>
            <w:tcW w:w="1770" w:type="dxa"/>
          </w:tcPr>
          <w:p w14:paraId="21EDCB41" w14:textId="0ADAFA97" w:rsidR="004B5F4F" w:rsidRPr="00734D3B" w:rsidRDefault="004B5F4F" w:rsidP="00D7259E">
            <w:pPr>
              <w:pStyle w:val="ListParagraph"/>
              <w:spacing w:line="240" w:lineRule="auto"/>
              <w:ind w:left="0" w:firstLine="0"/>
              <w:rPr>
                <w:rFonts w:cs="Arial"/>
                <w:szCs w:val="22"/>
              </w:rPr>
            </w:pPr>
            <w:r w:rsidRPr="00734D3B">
              <w:rPr>
                <w:rFonts w:cs="Arial"/>
                <w:szCs w:val="22"/>
              </w:rPr>
              <w:t>Glendale, AZ City Council</w:t>
            </w:r>
          </w:p>
        </w:tc>
        <w:tc>
          <w:tcPr>
            <w:tcW w:w="1680" w:type="dxa"/>
          </w:tcPr>
          <w:p w14:paraId="3A9B5242" w14:textId="55EF2220"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666" w:type="dxa"/>
          </w:tcPr>
          <w:p w14:paraId="73AF790D" w14:textId="59E60AA8"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733" w:type="dxa"/>
          </w:tcPr>
          <w:p w14:paraId="2DC3E814" w14:textId="2C853713"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783" w:type="dxa"/>
          </w:tcPr>
          <w:p w14:paraId="4FAB0096" w14:textId="47FB57E1" w:rsidR="004B5F4F" w:rsidRPr="00734D3B" w:rsidRDefault="004B5F4F" w:rsidP="00D7259E">
            <w:pPr>
              <w:pStyle w:val="ListParagraph"/>
              <w:spacing w:line="240" w:lineRule="auto"/>
              <w:ind w:left="0" w:firstLine="0"/>
              <w:rPr>
                <w:rFonts w:cs="Arial"/>
                <w:szCs w:val="22"/>
              </w:rPr>
            </w:pPr>
            <w:r w:rsidRPr="00734D3B">
              <w:rPr>
                <w:rFonts w:cs="Arial"/>
                <w:szCs w:val="22"/>
              </w:rPr>
              <w:t>Aplican normativas locales y pueden imponer sanciones.</w:t>
            </w:r>
          </w:p>
        </w:tc>
      </w:tr>
      <w:tr w:rsidR="00734D3B" w:rsidRPr="00734D3B" w14:paraId="21A67321" w14:textId="77777777" w:rsidTr="006330CD">
        <w:tc>
          <w:tcPr>
            <w:tcW w:w="1770" w:type="dxa"/>
          </w:tcPr>
          <w:p w14:paraId="432ED4FB" w14:textId="5C6D8CCC" w:rsidR="004B5F4F" w:rsidRPr="00734D3B" w:rsidRDefault="001C4814" w:rsidP="00D7259E">
            <w:pPr>
              <w:pStyle w:val="ListParagraph"/>
              <w:spacing w:line="240" w:lineRule="auto"/>
              <w:ind w:left="0" w:firstLine="0"/>
              <w:rPr>
                <w:rFonts w:cs="Arial"/>
                <w:szCs w:val="22"/>
              </w:rPr>
            </w:pPr>
            <w:r w:rsidRPr="00734D3B">
              <w:rPr>
                <w:rFonts w:cs="Arial"/>
                <w:szCs w:val="22"/>
              </w:rPr>
              <w:t>Comunidades cercanas a los sitios de construcción de data centers</w:t>
            </w:r>
          </w:p>
        </w:tc>
        <w:tc>
          <w:tcPr>
            <w:tcW w:w="1680" w:type="dxa"/>
          </w:tcPr>
          <w:p w14:paraId="76AD83B6" w14:textId="714BD0A0"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666" w:type="dxa"/>
          </w:tcPr>
          <w:p w14:paraId="79A2D7D9" w14:textId="1E89ED75" w:rsidR="004B5F4F" w:rsidRPr="00734D3B" w:rsidRDefault="004B5F4F" w:rsidP="00D7259E">
            <w:pPr>
              <w:pStyle w:val="ListParagraph"/>
              <w:spacing w:line="240" w:lineRule="auto"/>
              <w:ind w:left="0" w:firstLine="0"/>
              <w:rPr>
                <w:rFonts w:cs="Arial"/>
                <w:szCs w:val="22"/>
              </w:rPr>
            </w:pPr>
            <w:r w:rsidRPr="00734D3B">
              <w:rPr>
                <w:rFonts w:cs="Arial"/>
                <w:szCs w:val="22"/>
              </w:rPr>
              <w:t>Bajo</w:t>
            </w:r>
          </w:p>
        </w:tc>
        <w:tc>
          <w:tcPr>
            <w:tcW w:w="1733" w:type="dxa"/>
          </w:tcPr>
          <w:p w14:paraId="773F8E0C" w14:textId="22541EC8" w:rsidR="004B5F4F" w:rsidRPr="00734D3B" w:rsidRDefault="004B5F4F" w:rsidP="00D7259E">
            <w:pPr>
              <w:pStyle w:val="ListParagraph"/>
              <w:spacing w:line="240" w:lineRule="auto"/>
              <w:ind w:left="0" w:firstLine="0"/>
              <w:rPr>
                <w:rFonts w:cs="Arial"/>
                <w:szCs w:val="22"/>
              </w:rPr>
            </w:pPr>
            <w:r w:rsidRPr="00734D3B">
              <w:rPr>
                <w:rFonts w:cs="Arial"/>
                <w:szCs w:val="22"/>
              </w:rPr>
              <w:t>Medio</w:t>
            </w:r>
          </w:p>
        </w:tc>
        <w:tc>
          <w:tcPr>
            <w:tcW w:w="1783" w:type="dxa"/>
          </w:tcPr>
          <w:p w14:paraId="5C396A0E" w14:textId="6B8EBA91" w:rsidR="004B5F4F" w:rsidRPr="00734D3B" w:rsidRDefault="009F573D" w:rsidP="00D7259E">
            <w:pPr>
              <w:pStyle w:val="ListParagraph"/>
              <w:spacing w:line="240" w:lineRule="auto"/>
              <w:ind w:left="0" w:firstLine="0"/>
              <w:rPr>
                <w:rFonts w:cs="Arial"/>
                <w:szCs w:val="22"/>
              </w:rPr>
            </w:pPr>
            <w:r w:rsidRPr="00734D3B">
              <w:rPr>
                <w:rFonts w:cs="Arial"/>
                <w:szCs w:val="22"/>
              </w:rPr>
              <w:t>Su percepción y demandas sociales impulsan la adopción de prácticas sostenibles.</w:t>
            </w:r>
          </w:p>
        </w:tc>
      </w:tr>
      <w:tr w:rsidR="00B70E45" w:rsidRPr="00734D3B" w14:paraId="3A370200" w14:textId="77777777" w:rsidTr="006330CD">
        <w:tc>
          <w:tcPr>
            <w:tcW w:w="1770" w:type="dxa"/>
          </w:tcPr>
          <w:p w14:paraId="76D781BF" w14:textId="180698B4" w:rsidR="00B70E45" w:rsidRPr="00734D3B" w:rsidRDefault="00B70E45" w:rsidP="00D7259E">
            <w:pPr>
              <w:pStyle w:val="ListParagraph"/>
              <w:spacing w:line="240" w:lineRule="auto"/>
              <w:ind w:left="0" w:firstLine="0"/>
              <w:rPr>
                <w:rFonts w:cs="Arial"/>
                <w:szCs w:val="22"/>
              </w:rPr>
            </w:pPr>
            <w:r w:rsidRPr="00734D3B">
              <w:rPr>
                <w:rFonts w:cs="Arial"/>
                <w:szCs w:val="22"/>
              </w:rPr>
              <w:t>Agencias Ambientales</w:t>
            </w:r>
          </w:p>
        </w:tc>
        <w:tc>
          <w:tcPr>
            <w:tcW w:w="1680" w:type="dxa"/>
          </w:tcPr>
          <w:p w14:paraId="44996C1B" w14:textId="39D091B6" w:rsidR="00B70E45" w:rsidRPr="00734D3B" w:rsidRDefault="00B70E45" w:rsidP="00D7259E">
            <w:pPr>
              <w:pStyle w:val="ListParagraph"/>
              <w:spacing w:line="240" w:lineRule="auto"/>
              <w:ind w:left="0" w:firstLine="0"/>
              <w:rPr>
                <w:rFonts w:cs="Arial"/>
                <w:szCs w:val="22"/>
              </w:rPr>
            </w:pPr>
            <w:r w:rsidRPr="00734D3B">
              <w:rPr>
                <w:rFonts w:cs="Arial"/>
                <w:szCs w:val="22"/>
              </w:rPr>
              <w:t>Medio</w:t>
            </w:r>
          </w:p>
        </w:tc>
        <w:tc>
          <w:tcPr>
            <w:tcW w:w="1666" w:type="dxa"/>
          </w:tcPr>
          <w:p w14:paraId="4CD51B0E" w14:textId="1172B4FB" w:rsidR="00B70E45" w:rsidRPr="00734D3B" w:rsidRDefault="00B70E45" w:rsidP="00D7259E">
            <w:pPr>
              <w:pStyle w:val="ListParagraph"/>
              <w:spacing w:line="240" w:lineRule="auto"/>
              <w:ind w:left="0" w:firstLine="0"/>
              <w:rPr>
                <w:rFonts w:cs="Arial"/>
                <w:szCs w:val="22"/>
              </w:rPr>
            </w:pPr>
            <w:r w:rsidRPr="00734D3B">
              <w:rPr>
                <w:rFonts w:cs="Arial"/>
                <w:szCs w:val="22"/>
              </w:rPr>
              <w:t>Medio</w:t>
            </w:r>
          </w:p>
        </w:tc>
        <w:tc>
          <w:tcPr>
            <w:tcW w:w="1733" w:type="dxa"/>
          </w:tcPr>
          <w:p w14:paraId="267BBA5C" w14:textId="7895CE0F" w:rsidR="00B70E45" w:rsidRPr="00734D3B" w:rsidRDefault="00B70E45" w:rsidP="00D7259E">
            <w:pPr>
              <w:pStyle w:val="ListParagraph"/>
              <w:spacing w:line="240" w:lineRule="auto"/>
              <w:ind w:left="0" w:firstLine="0"/>
              <w:rPr>
                <w:rFonts w:cs="Arial"/>
                <w:szCs w:val="22"/>
              </w:rPr>
            </w:pPr>
            <w:r w:rsidRPr="00734D3B">
              <w:rPr>
                <w:rFonts w:cs="Arial"/>
                <w:szCs w:val="22"/>
              </w:rPr>
              <w:t>Medio</w:t>
            </w:r>
          </w:p>
        </w:tc>
        <w:tc>
          <w:tcPr>
            <w:tcW w:w="1783" w:type="dxa"/>
          </w:tcPr>
          <w:p w14:paraId="73A91FD4" w14:textId="48586C1A" w:rsidR="00B70E45" w:rsidRPr="00734D3B" w:rsidRDefault="00942841" w:rsidP="00D7259E">
            <w:pPr>
              <w:pStyle w:val="ListParagraph"/>
              <w:spacing w:line="240" w:lineRule="auto"/>
              <w:ind w:left="0" w:firstLine="0"/>
              <w:rPr>
                <w:rFonts w:cs="Arial"/>
                <w:szCs w:val="22"/>
              </w:rPr>
            </w:pPr>
            <w:r w:rsidRPr="00734D3B">
              <w:rPr>
                <w:rFonts w:cs="Arial"/>
                <w:szCs w:val="22"/>
              </w:rPr>
              <w:t>Definen los estándares que el PFG va a considerar.</w:t>
            </w:r>
          </w:p>
        </w:tc>
      </w:tr>
    </w:tbl>
    <w:p w14:paraId="0F96C65B" w14:textId="77777777" w:rsidR="007828F7" w:rsidRPr="00734D3B" w:rsidRDefault="007828F7" w:rsidP="00D7259E">
      <w:pPr>
        <w:pStyle w:val="ListParagraph"/>
        <w:ind w:left="720" w:firstLine="0"/>
        <w:rPr>
          <w:rFonts w:cs="Arial"/>
          <w:szCs w:val="22"/>
        </w:rPr>
      </w:pPr>
    </w:p>
    <w:p w14:paraId="1251DD5B" w14:textId="7F423C4E" w:rsidR="00D07C0A" w:rsidRPr="00734D3B" w:rsidRDefault="00D07C0A" w:rsidP="001D692F">
      <w:pPr>
        <w:pStyle w:val="Heading4"/>
        <w:numPr>
          <w:ilvl w:val="3"/>
          <w:numId w:val="53"/>
        </w:numPr>
        <w:sectPr w:rsidR="00D07C0A" w:rsidRPr="00734D3B" w:rsidSect="00987CA3">
          <w:headerReference w:type="default" r:id="rId55"/>
          <w:footerReference w:type="even" r:id="rId56"/>
          <w:footerReference w:type="default" r:id="rId57"/>
          <w:pgSz w:w="12242" w:h="15842"/>
          <w:pgMar w:top="1440" w:right="1440" w:bottom="1440" w:left="1440" w:header="709" w:footer="709" w:gutter="0"/>
          <w:cols w:space="720"/>
          <w:docGrid w:linePitch="360"/>
        </w:sectPr>
      </w:pPr>
      <w:bookmarkStart w:id="393" w:name="_Toc354770535"/>
      <w:bookmarkEnd w:id="391"/>
    </w:p>
    <w:p w14:paraId="71BFF7F4" w14:textId="254BD1F7" w:rsidR="00E618FA" w:rsidRPr="00734D3B" w:rsidRDefault="00585F95" w:rsidP="00E618FA">
      <w:pPr>
        <w:pStyle w:val="Heading1"/>
        <w:numPr>
          <w:ilvl w:val="0"/>
          <w:numId w:val="0"/>
        </w:numPr>
        <w:ind w:left="360" w:hanging="360"/>
      </w:pPr>
      <w:bookmarkStart w:id="394" w:name="_Toc227936452"/>
      <w:r w:rsidRPr="00734D3B">
        <w:rPr>
          <w:noProof/>
        </w:rPr>
        <w:lastRenderedPageBreak/>
        <w:drawing>
          <wp:anchor distT="0" distB="0" distL="114300" distR="114300" simplePos="0" relativeHeight="251661312" behindDoc="0" locked="0" layoutInCell="1" allowOverlap="1" wp14:anchorId="68C2AC72" wp14:editId="431C4AF6">
            <wp:simplePos x="0" y="0"/>
            <wp:positionH relativeFrom="margin">
              <wp:posOffset>138430</wp:posOffset>
            </wp:positionH>
            <wp:positionV relativeFrom="paragraph">
              <wp:posOffset>220980</wp:posOffset>
            </wp:positionV>
            <wp:extent cx="7646670" cy="5541010"/>
            <wp:effectExtent l="0" t="0" r="0" b="2540"/>
            <wp:wrapTopAndBottom/>
            <wp:docPr id="1837307404"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07404" name="Picture 1" descr="A diagram of a company"/>
                    <pic:cNvPicPr/>
                  </pic:nvPicPr>
                  <pic:blipFill>
                    <a:blip r:embed="rId58">
                      <a:extLst>
                        <a:ext uri="{28A0092B-C50C-407E-A947-70E740481C1C}">
                          <a14:useLocalDpi xmlns:a14="http://schemas.microsoft.com/office/drawing/2010/main" val="0"/>
                        </a:ext>
                      </a:extLst>
                    </a:blip>
                    <a:stretch>
                      <a:fillRect/>
                    </a:stretch>
                  </pic:blipFill>
                  <pic:spPr>
                    <a:xfrm>
                      <a:off x="0" y="0"/>
                      <a:ext cx="7646670" cy="5541010"/>
                    </a:xfrm>
                    <a:prstGeom prst="rect">
                      <a:avLst/>
                    </a:prstGeom>
                  </pic:spPr>
                </pic:pic>
              </a:graphicData>
            </a:graphic>
            <wp14:sizeRelH relativeFrom="margin">
              <wp14:pctWidth>0</wp14:pctWidth>
            </wp14:sizeRelH>
            <wp14:sizeRelV relativeFrom="margin">
              <wp14:pctHeight>0</wp14:pctHeight>
            </wp14:sizeRelV>
          </wp:anchor>
        </w:drawing>
      </w:r>
      <w:r w:rsidR="00264EEB" w:rsidRPr="00734D3B">
        <w:t>Anexo 2: EDT</w:t>
      </w:r>
      <w:bookmarkEnd w:id="393"/>
      <w:r w:rsidR="00264EEB" w:rsidRPr="00734D3B">
        <w:t xml:space="preserve"> del PFG</w:t>
      </w:r>
      <w:bookmarkEnd w:id="394"/>
    </w:p>
    <w:p w14:paraId="5405DBF2" w14:textId="258B9BA6" w:rsidR="00572A57" w:rsidRPr="00734D3B" w:rsidRDefault="00572A57" w:rsidP="00572A57">
      <w:pPr>
        <w:sectPr w:rsidR="00572A57" w:rsidRPr="00734D3B" w:rsidSect="00E618FA">
          <w:pgSz w:w="15842" w:h="12242" w:orient="landscape" w:code="1"/>
          <w:pgMar w:top="1440" w:right="1440" w:bottom="1440" w:left="1440" w:header="706" w:footer="706" w:gutter="0"/>
          <w:cols w:space="720"/>
          <w:docGrid w:linePitch="360"/>
        </w:sectPr>
      </w:pPr>
    </w:p>
    <w:p w14:paraId="360CE865" w14:textId="419E6729" w:rsidR="006935E6" w:rsidRPr="00734D3B" w:rsidRDefault="00B80C85" w:rsidP="006935E6">
      <w:pPr>
        <w:pStyle w:val="Heading1"/>
        <w:numPr>
          <w:ilvl w:val="0"/>
          <w:numId w:val="0"/>
        </w:numPr>
        <w:ind w:left="360" w:hanging="360"/>
      </w:pPr>
      <w:bookmarkStart w:id="395" w:name="_Toc305353890"/>
      <w:bookmarkStart w:id="396" w:name="_Toc227936453"/>
      <w:r w:rsidRPr="00734D3B">
        <w:rPr>
          <w:noProof/>
        </w:rPr>
        <w:lastRenderedPageBreak/>
        <w:drawing>
          <wp:anchor distT="0" distB="0" distL="114300" distR="114300" simplePos="0" relativeHeight="251659264" behindDoc="0" locked="0" layoutInCell="1" allowOverlap="1" wp14:anchorId="5F6A937F" wp14:editId="3F5809C4">
            <wp:simplePos x="0" y="0"/>
            <wp:positionH relativeFrom="margin">
              <wp:align>center</wp:align>
            </wp:positionH>
            <wp:positionV relativeFrom="paragraph">
              <wp:posOffset>463550</wp:posOffset>
            </wp:positionV>
            <wp:extent cx="7292340" cy="5533390"/>
            <wp:effectExtent l="0" t="0" r="3810" b="0"/>
            <wp:wrapTopAndBottom/>
            <wp:docPr id="1304955261" name="Picture 1" descr="A screenshot of 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55261" name="Picture 1" descr="A screenshot of a project"/>
                    <pic:cNvPicPr/>
                  </pic:nvPicPr>
                  <pic:blipFill>
                    <a:blip r:embed="rId59">
                      <a:extLst>
                        <a:ext uri="{28A0092B-C50C-407E-A947-70E740481C1C}">
                          <a14:useLocalDpi xmlns:a14="http://schemas.microsoft.com/office/drawing/2010/main" val="0"/>
                        </a:ext>
                      </a:extLst>
                    </a:blip>
                    <a:stretch>
                      <a:fillRect/>
                    </a:stretch>
                  </pic:blipFill>
                  <pic:spPr>
                    <a:xfrm>
                      <a:off x="0" y="0"/>
                      <a:ext cx="7292340" cy="5533390"/>
                    </a:xfrm>
                    <a:prstGeom prst="rect">
                      <a:avLst/>
                    </a:prstGeom>
                  </pic:spPr>
                </pic:pic>
              </a:graphicData>
            </a:graphic>
            <wp14:sizeRelH relativeFrom="margin">
              <wp14:pctWidth>0</wp14:pctWidth>
            </wp14:sizeRelH>
            <wp14:sizeRelV relativeFrom="margin">
              <wp14:pctHeight>0</wp14:pctHeight>
            </wp14:sizeRelV>
          </wp:anchor>
        </w:drawing>
      </w:r>
      <w:r w:rsidR="00264EEB" w:rsidRPr="00734D3B">
        <w:t>Anexo 3: CRONOGRAMA</w:t>
      </w:r>
      <w:bookmarkEnd w:id="395"/>
      <w:r w:rsidR="00264EEB" w:rsidRPr="00734D3B">
        <w:t xml:space="preserve"> del PFG</w:t>
      </w:r>
      <w:bookmarkEnd w:id="396"/>
    </w:p>
    <w:p w14:paraId="608CE520" w14:textId="77777777" w:rsidR="00E618FA" w:rsidRPr="00734D3B" w:rsidRDefault="00E618FA" w:rsidP="00094AD7">
      <w:pPr>
        <w:ind w:left="709" w:firstLine="0"/>
        <w:sectPr w:rsidR="00E618FA" w:rsidRPr="00734D3B" w:rsidSect="00E618FA">
          <w:pgSz w:w="15842" w:h="12242" w:orient="landscape" w:code="1"/>
          <w:pgMar w:top="1440" w:right="1440" w:bottom="1440" w:left="1440" w:header="706" w:footer="706" w:gutter="0"/>
          <w:cols w:space="720"/>
          <w:docGrid w:linePitch="360"/>
        </w:sectPr>
      </w:pPr>
      <w:bookmarkStart w:id="397" w:name="_Toc305353891"/>
    </w:p>
    <w:p w14:paraId="59DD62FF" w14:textId="47E885D0" w:rsidR="00094AD7" w:rsidRPr="00734D3B" w:rsidRDefault="00094AD7">
      <w:pPr>
        <w:spacing w:line="240" w:lineRule="auto"/>
        <w:ind w:firstLine="0"/>
        <w:rPr>
          <w:b/>
          <w:bCs/>
        </w:rPr>
      </w:pPr>
    </w:p>
    <w:p w14:paraId="15149309" w14:textId="5413E452" w:rsidR="006935E6" w:rsidRPr="00734D3B" w:rsidRDefault="00264EEB" w:rsidP="00D1677A">
      <w:pPr>
        <w:pStyle w:val="Heading1"/>
        <w:numPr>
          <w:ilvl w:val="0"/>
          <w:numId w:val="0"/>
        </w:numPr>
      </w:pPr>
      <w:bookmarkStart w:id="398" w:name="_Toc227936454"/>
      <w:r w:rsidRPr="00734D3B">
        <w:t>Anexo 4: Investigación bibliográfica preliminar</w:t>
      </w:r>
      <w:bookmarkEnd w:id="398"/>
    </w:p>
    <w:p w14:paraId="6D0EB389" w14:textId="4F456700" w:rsidR="00BA1FBA" w:rsidRPr="00734D3B" w:rsidRDefault="00BA1FBA" w:rsidP="00BA1FBA">
      <w:pPr>
        <w:ind w:left="720" w:hanging="720"/>
        <w:rPr>
          <w:rFonts w:cs="Arial"/>
          <w:szCs w:val="22"/>
          <w:lang w:val="en-US"/>
        </w:rPr>
      </w:pPr>
      <w:r w:rsidRPr="00734D3B">
        <w:rPr>
          <w:rFonts w:cs="Arial"/>
          <w:szCs w:val="22"/>
        </w:rPr>
        <w:t xml:space="preserve">Arizona </w:t>
      </w:r>
      <w:proofErr w:type="spellStart"/>
      <w:r w:rsidRPr="00734D3B">
        <w:rPr>
          <w:rFonts w:cs="Arial"/>
          <w:szCs w:val="22"/>
        </w:rPr>
        <w:t>Department</w:t>
      </w:r>
      <w:proofErr w:type="spellEnd"/>
      <w:r w:rsidRPr="00734D3B">
        <w:rPr>
          <w:rFonts w:cs="Arial"/>
          <w:szCs w:val="22"/>
        </w:rPr>
        <w:t xml:space="preserve"> </w:t>
      </w:r>
      <w:proofErr w:type="spellStart"/>
      <w:r w:rsidRPr="00734D3B">
        <w:rPr>
          <w:rFonts w:cs="Arial"/>
          <w:szCs w:val="22"/>
        </w:rPr>
        <w:t>of</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Quality. </w:t>
      </w:r>
      <w:r w:rsidRPr="00734D3B">
        <w:rPr>
          <w:rFonts w:cs="Arial"/>
          <w:szCs w:val="22"/>
          <w:lang w:val="en-US"/>
        </w:rPr>
        <w:t xml:space="preserve">(2024). </w:t>
      </w:r>
      <w:r w:rsidRPr="00734D3B">
        <w:rPr>
          <w:rFonts w:cs="Arial"/>
          <w:i/>
          <w:iCs/>
          <w:szCs w:val="22"/>
          <w:lang w:val="en-US"/>
        </w:rPr>
        <w:t>Construction dust control requirements</w:t>
      </w:r>
      <w:r w:rsidRPr="00734D3B">
        <w:rPr>
          <w:rFonts w:cs="Arial"/>
          <w:szCs w:val="22"/>
          <w:lang w:val="en-US"/>
        </w:rPr>
        <w:t xml:space="preserve"> [PDF]. https://static.azdeq.gov/mydeq/construction_dust.pdf</w:t>
      </w:r>
    </w:p>
    <w:p w14:paraId="680A714C" w14:textId="77777777" w:rsidR="00BA1FBA" w:rsidRPr="00734D3B" w:rsidRDefault="00BA1FBA" w:rsidP="00BA1FBA">
      <w:pPr>
        <w:jc w:val="both"/>
        <w:rPr>
          <w:rFonts w:cs="Arial"/>
          <w:szCs w:val="22"/>
        </w:rPr>
      </w:pPr>
      <w:r w:rsidRPr="00734D3B">
        <w:rPr>
          <w:rFonts w:cs="Arial"/>
          <w:szCs w:val="22"/>
        </w:rPr>
        <w:t>Expone las medidas de control de polvo y emisiones durante obras de construcción. Aporta lineamientos técnicos que pueden integrarse a la guía para reducir impactos inmediatos al manejar y transportar residuos.</w:t>
      </w:r>
    </w:p>
    <w:p w14:paraId="73A96B6A" w14:textId="7B57A316" w:rsidR="00BA1FBA" w:rsidRPr="00734D3B" w:rsidRDefault="00BA1FBA" w:rsidP="00BA1FBA">
      <w:pPr>
        <w:jc w:val="both"/>
        <w:rPr>
          <w:rFonts w:cs="Arial"/>
          <w:szCs w:val="22"/>
        </w:rPr>
      </w:pPr>
    </w:p>
    <w:p w14:paraId="458AB68C" w14:textId="77777777" w:rsidR="00BA1FBA" w:rsidRPr="00734D3B" w:rsidRDefault="00BA1FBA" w:rsidP="00BA1FBA">
      <w:pPr>
        <w:ind w:left="720" w:hanging="720"/>
        <w:jc w:val="both"/>
        <w:rPr>
          <w:rFonts w:cs="Arial"/>
          <w:szCs w:val="22"/>
          <w:lang w:val="en-US"/>
        </w:rPr>
      </w:pPr>
      <w:r w:rsidRPr="00734D3B">
        <w:rPr>
          <w:rFonts w:cs="Arial"/>
          <w:szCs w:val="22"/>
          <w:lang w:val="en-US"/>
        </w:rPr>
        <w:t xml:space="preserve">Arizona Department of Environmental Quality. (2025, September 17). </w:t>
      </w:r>
      <w:r w:rsidRPr="00734D3B">
        <w:rPr>
          <w:rFonts w:cs="Arial"/>
          <w:i/>
          <w:iCs/>
          <w:szCs w:val="22"/>
          <w:lang w:val="en-US"/>
        </w:rPr>
        <w:t>Permit(s) needed for demolition and/or renovation activity.</w:t>
      </w:r>
      <w:r w:rsidRPr="00734D3B">
        <w:rPr>
          <w:rFonts w:cs="Arial"/>
          <w:szCs w:val="22"/>
          <w:lang w:val="en-US"/>
        </w:rPr>
        <w:t xml:space="preserve"> https://azdeq.gov/permits-needed-demolition-andor-renovation-activity</w:t>
      </w:r>
    </w:p>
    <w:p w14:paraId="7589E835" w14:textId="77777777" w:rsidR="00BA1FBA" w:rsidRPr="00734D3B" w:rsidRDefault="00BA1FBA" w:rsidP="00BA1FBA">
      <w:pPr>
        <w:jc w:val="both"/>
        <w:rPr>
          <w:rFonts w:cs="Arial"/>
          <w:szCs w:val="22"/>
        </w:rPr>
      </w:pPr>
      <w:r w:rsidRPr="00734D3B">
        <w:rPr>
          <w:rFonts w:cs="Arial"/>
          <w:szCs w:val="22"/>
        </w:rPr>
        <w:t>Este recurso oficial detalla permisos y requisitos ambientales en Arizona aplicables a actividades de demolición y remodelación. Es esencial para contextualizar la guía en el marco regulatorio local y definir obligaciones que afectan la gestión de residuos eléctricos en obra.</w:t>
      </w:r>
    </w:p>
    <w:p w14:paraId="469E20CE" w14:textId="77777777" w:rsidR="00BA1FBA" w:rsidRPr="00734D3B" w:rsidRDefault="00BA1FBA" w:rsidP="00BA1FBA">
      <w:pPr>
        <w:jc w:val="both"/>
        <w:rPr>
          <w:rFonts w:cs="Arial"/>
          <w:szCs w:val="22"/>
        </w:rPr>
      </w:pPr>
    </w:p>
    <w:p w14:paraId="3B5D59E0" w14:textId="77777777" w:rsidR="00BA1FBA" w:rsidRPr="00734D3B" w:rsidRDefault="00BA1FBA" w:rsidP="00BA1FBA">
      <w:pPr>
        <w:ind w:left="720" w:hanging="720"/>
        <w:rPr>
          <w:rFonts w:cs="Arial"/>
          <w:szCs w:val="22"/>
          <w:lang w:val="en-US"/>
        </w:rPr>
      </w:pPr>
      <w:r w:rsidRPr="00734D3B">
        <w:rPr>
          <w:rFonts w:cs="Arial"/>
          <w:szCs w:val="22"/>
          <w:lang w:val="en-US"/>
        </w:rPr>
        <w:t xml:space="preserve">California Building Standards Commission. (2022). </w:t>
      </w:r>
      <w:r w:rsidRPr="00734D3B">
        <w:rPr>
          <w:rFonts w:cs="Arial"/>
          <w:i/>
          <w:iCs/>
          <w:szCs w:val="22"/>
          <w:lang w:val="en-US"/>
        </w:rPr>
        <w:t>California Green Building Standards Code (</w:t>
      </w:r>
      <w:proofErr w:type="spellStart"/>
      <w:r w:rsidRPr="00734D3B">
        <w:rPr>
          <w:rFonts w:cs="Arial"/>
          <w:i/>
          <w:iCs/>
          <w:szCs w:val="22"/>
          <w:lang w:val="en-US"/>
        </w:rPr>
        <w:t>CALGreen</w:t>
      </w:r>
      <w:proofErr w:type="spellEnd"/>
      <w:r w:rsidRPr="00734D3B">
        <w:rPr>
          <w:rFonts w:cs="Arial"/>
          <w:i/>
          <w:iCs/>
          <w:szCs w:val="22"/>
          <w:lang w:val="en-US"/>
        </w:rPr>
        <w:t xml:space="preserve">), Part 11, Title 24, California Code of Regulations. </w:t>
      </w:r>
      <w:r w:rsidRPr="00734D3B">
        <w:rPr>
          <w:rFonts w:cs="Arial"/>
          <w:szCs w:val="22"/>
          <w:lang w:val="en-US"/>
        </w:rPr>
        <w:t>https://www.dgs.ca.gov/BSC/CALGreen</w:t>
      </w:r>
    </w:p>
    <w:p w14:paraId="074DB474" w14:textId="77777777" w:rsidR="00BA1FBA" w:rsidRPr="00734D3B" w:rsidRDefault="00BA1FBA" w:rsidP="00BA1FBA">
      <w:pPr>
        <w:jc w:val="both"/>
        <w:rPr>
          <w:rFonts w:cs="Arial"/>
          <w:szCs w:val="22"/>
        </w:rPr>
      </w:pPr>
      <w:r w:rsidRPr="00734D3B">
        <w:rPr>
          <w:rFonts w:cs="Arial"/>
          <w:szCs w:val="22"/>
        </w:rPr>
        <w:t xml:space="preserve">El </w:t>
      </w:r>
      <w:proofErr w:type="spellStart"/>
      <w:r w:rsidRPr="00734D3B">
        <w:rPr>
          <w:rFonts w:cs="Arial"/>
          <w:szCs w:val="22"/>
        </w:rPr>
        <w:t>CALGreen</w:t>
      </w:r>
      <w:proofErr w:type="spellEnd"/>
      <w:r w:rsidRPr="00734D3B">
        <w:rPr>
          <w:rFonts w:cs="Arial"/>
          <w:szCs w:val="22"/>
        </w:rPr>
        <w:t xml:space="preserve"> Code establece requisitos obligatorios de sostenibilidad, incluyendo el desvío mínimo del 65 % de residuos C&amp;D. Esencial para analizar buenas prácticas regulatorias y compararlas con la ausencia o menor exigencia en Arizona.</w:t>
      </w:r>
    </w:p>
    <w:p w14:paraId="4B1083F5" w14:textId="77777777" w:rsidR="00BA1FBA" w:rsidRPr="00734D3B" w:rsidRDefault="00BA1FBA" w:rsidP="00BA1FBA">
      <w:pPr>
        <w:jc w:val="both"/>
        <w:rPr>
          <w:rFonts w:cs="Arial"/>
          <w:szCs w:val="22"/>
        </w:rPr>
      </w:pPr>
    </w:p>
    <w:p w14:paraId="53A32239" w14:textId="77777777" w:rsidR="00BA1FBA" w:rsidRPr="00734D3B" w:rsidRDefault="00BA1FBA" w:rsidP="00BA1FBA">
      <w:pPr>
        <w:ind w:left="720" w:hanging="720"/>
        <w:rPr>
          <w:rFonts w:cs="Arial"/>
          <w:szCs w:val="22"/>
          <w:lang w:val="en-US"/>
        </w:rPr>
      </w:pPr>
      <w:r w:rsidRPr="00734D3B">
        <w:rPr>
          <w:rFonts w:cs="Arial"/>
          <w:szCs w:val="22"/>
          <w:lang w:val="en-US"/>
        </w:rPr>
        <w:t>California Department of Resources Recycling and Recovery (</w:t>
      </w:r>
      <w:proofErr w:type="spellStart"/>
      <w:r w:rsidRPr="00734D3B">
        <w:rPr>
          <w:rFonts w:cs="Arial"/>
          <w:szCs w:val="22"/>
          <w:lang w:val="en-US"/>
        </w:rPr>
        <w:t>CalRecycle</w:t>
      </w:r>
      <w:proofErr w:type="spellEnd"/>
      <w:r w:rsidRPr="00734D3B">
        <w:rPr>
          <w:rFonts w:cs="Arial"/>
          <w:szCs w:val="22"/>
          <w:lang w:val="en-US"/>
        </w:rPr>
        <w:t xml:space="preserve">). (2023). </w:t>
      </w:r>
      <w:r w:rsidRPr="00734D3B">
        <w:rPr>
          <w:rFonts w:cs="Arial"/>
          <w:i/>
          <w:iCs/>
          <w:szCs w:val="22"/>
          <w:lang w:val="en-US"/>
        </w:rPr>
        <w:t xml:space="preserve">Construction and demolition diversion </w:t>
      </w:r>
      <w:proofErr w:type="gramStart"/>
      <w:r w:rsidRPr="00734D3B">
        <w:rPr>
          <w:rFonts w:cs="Arial"/>
          <w:i/>
          <w:iCs/>
          <w:szCs w:val="22"/>
          <w:lang w:val="en-US"/>
        </w:rPr>
        <w:t>informational</w:t>
      </w:r>
      <w:proofErr w:type="gramEnd"/>
      <w:r w:rsidRPr="00734D3B">
        <w:rPr>
          <w:rFonts w:cs="Arial"/>
          <w:i/>
          <w:iCs/>
          <w:szCs w:val="22"/>
          <w:lang w:val="en-US"/>
        </w:rPr>
        <w:t xml:space="preserve"> guide.</w:t>
      </w:r>
      <w:r w:rsidRPr="00734D3B">
        <w:rPr>
          <w:rFonts w:cs="Arial"/>
          <w:szCs w:val="22"/>
          <w:lang w:val="en-US"/>
        </w:rPr>
        <w:t xml:space="preserve"> https://www2.calrecycle.ca.gov/Docs/Web/126534</w:t>
      </w:r>
    </w:p>
    <w:p w14:paraId="3464C4D7" w14:textId="77777777" w:rsidR="00BA1FBA" w:rsidRPr="00734D3B" w:rsidRDefault="00BA1FBA" w:rsidP="00BA1FBA">
      <w:pPr>
        <w:jc w:val="both"/>
        <w:rPr>
          <w:rFonts w:cs="Arial"/>
          <w:szCs w:val="22"/>
        </w:rPr>
      </w:pPr>
      <w:r w:rsidRPr="00734D3B">
        <w:rPr>
          <w:rFonts w:cs="Arial"/>
          <w:szCs w:val="22"/>
        </w:rPr>
        <w:lastRenderedPageBreak/>
        <w:t>Describe los requisitos de desvío de residuos de construcción y demolición en California, incluyendo modelos de ordenanzas locales y metas de reciclaje entre 50 % y 75 %. Es clave para comparar el marco regulatorio y justificar estándares más altos en Arizona.</w:t>
      </w:r>
    </w:p>
    <w:p w14:paraId="18E047AC" w14:textId="77777777" w:rsidR="00BA1FBA" w:rsidRPr="00734D3B" w:rsidRDefault="00BA1FBA" w:rsidP="00BA1FBA">
      <w:pPr>
        <w:jc w:val="both"/>
        <w:rPr>
          <w:rFonts w:cs="Arial"/>
          <w:szCs w:val="22"/>
        </w:rPr>
      </w:pPr>
    </w:p>
    <w:p w14:paraId="6F2A439C" w14:textId="03CC0331" w:rsidR="00BA1FBA" w:rsidRPr="00734D3B" w:rsidRDefault="00BA1FBA" w:rsidP="00BA1FBA">
      <w:pPr>
        <w:ind w:left="720" w:hanging="720"/>
        <w:rPr>
          <w:rFonts w:cs="Arial"/>
          <w:szCs w:val="22"/>
        </w:rPr>
      </w:pPr>
      <w:r w:rsidRPr="00734D3B">
        <w:rPr>
          <w:rFonts w:cs="Arial"/>
          <w:szCs w:val="22"/>
        </w:rPr>
        <w:t xml:space="preserve">Chen, J., Su, Y., &amp; Si, H. (2019). </w:t>
      </w:r>
      <w:r w:rsidRPr="00734D3B">
        <w:rPr>
          <w:rFonts w:cs="Arial"/>
          <w:i/>
          <w:iCs/>
          <w:szCs w:val="22"/>
          <w:lang w:val="en-US"/>
        </w:rPr>
        <w:t xml:space="preserve">Identifying the decision behaviors of contractors and government in construction and demolition waste management. </w:t>
      </w:r>
      <w:proofErr w:type="spellStart"/>
      <w:r w:rsidRPr="00734D3B">
        <w:rPr>
          <w:rFonts w:cs="Arial"/>
          <w:i/>
          <w:iCs/>
          <w:szCs w:val="22"/>
        </w:rPr>
        <w:t>Journal</w:t>
      </w:r>
      <w:proofErr w:type="spellEnd"/>
      <w:r w:rsidRPr="00734D3B">
        <w:rPr>
          <w:rFonts w:cs="Arial"/>
          <w:i/>
          <w:iCs/>
          <w:szCs w:val="22"/>
        </w:rPr>
        <w:t xml:space="preserve"> </w:t>
      </w:r>
      <w:proofErr w:type="spellStart"/>
      <w:r w:rsidRPr="00734D3B">
        <w:rPr>
          <w:rFonts w:cs="Arial"/>
          <w:i/>
          <w:iCs/>
          <w:szCs w:val="22"/>
        </w:rPr>
        <w:t>of</w:t>
      </w:r>
      <w:proofErr w:type="spellEnd"/>
      <w:r w:rsidRPr="00734D3B">
        <w:rPr>
          <w:rFonts w:cs="Arial"/>
          <w:i/>
          <w:iCs/>
          <w:szCs w:val="22"/>
        </w:rPr>
        <w:t xml:space="preserve"> </w:t>
      </w:r>
      <w:proofErr w:type="spellStart"/>
      <w:r w:rsidRPr="00734D3B">
        <w:rPr>
          <w:rFonts w:cs="Arial"/>
          <w:i/>
          <w:iCs/>
          <w:szCs w:val="22"/>
        </w:rPr>
        <w:t>Cleaner</w:t>
      </w:r>
      <w:proofErr w:type="spellEnd"/>
      <w:r w:rsidRPr="00734D3B">
        <w:rPr>
          <w:rFonts w:cs="Arial"/>
          <w:i/>
          <w:iCs/>
          <w:szCs w:val="22"/>
        </w:rPr>
        <w:t xml:space="preserve"> </w:t>
      </w:r>
      <w:proofErr w:type="spellStart"/>
      <w:r w:rsidRPr="00734D3B">
        <w:rPr>
          <w:rFonts w:cs="Arial"/>
          <w:i/>
          <w:iCs/>
          <w:szCs w:val="22"/>
        </w:rPr>
        <w:t>Production</w:t>
      </w:r>
      <w:proofErr w:type="spellEnd"/>
      <w:r w:rsidRPr="00734D3B">
        <w:rPr>
          <w:rFonts w:cs="Arial"/>
          <w:i/>
          <w:iCs/>
          <w:szCs w:val="22"/>
        </w:rPr>
        <w:t>, 225, 418</w:t>
      </w:r>
      <w:r w:rsidR="00A50540" w:rsidRPr="00734D3B">
        <w:rPr>
          <w:rFonts w:cs="Arial"/>
          <w:i/>
          <w:iCs/>
          <w:szCs w:val="22"/>
        </w:rPr>
        <w:t>-</w:t>
      </w:r>
      <w:r w:rsidRPr="00734D3B">
        <w:rPr>
          <w:rFonts w:cs="Arial"/>
          <w:i/>
          <w:iCs/>
          <w:szCs w:val="22"/>
        </w:rPr>
        <w:t>430</w:t>
      </w:r>
      <w:r w:rsidRPr="00734D3B">
        <w:rPr>
          <w:rFonts w:cs="Arial"/>
          <w:szCs w:val="22"/>
        </w:rPr>
        <w:t>. https://doi.org/10.1016/j.jclepro.2019.03.330</w:t>
      </w:r>
    </w:p>
    <w:p w14:paraId="4370A55E" w14:textId="77777777" w:rsidR="00BA1FBA" w:rsidRPr="00734D3B" w:rsidRDefault="00BA1FBA" w:rsidP="00BA1FBA">
      <w:pPr>
        <w:jc w:val="both"/>
        <w:rPr>
          <w:rFonts w:cs="Arial"/>
          <w:szCs w:val="22"/>
        </w:rPr>
      </w:pPr>
      <w:r w:rsidRPr="00734D3B">
        <w:rPr>
          <w:rFonts w:cs="Arial"/>
          <w:szCs w:val="22"/>
        </w:rPr>
        <w:t>Analiza cómo contratistas y autoridades deciden sobre la gestión de residuos de construcción y demolición. Ayuda a comprender barreras y motivadores que deben considerarse para que la guía sea viable y adoptada.</w:t>
      </w:r>
    </w:p>
    <w:p w14:paraId="5384DDFD" w14:textId="77777777" w:rsidR="00BA1FBA" w:rsidRPr="00734D3B" w:rsidRDefault="00BA1FBA" w:rsidP="00BA1FBA">
      <w:pPr>
        <w:jc w:val="both"/>
        <w:rPr>
          <w:rFonts w:cs="Arial"/>
          <w:szCs w:val="22"/>
        </w:rPr>
      </w:pPr>
    </w:p>
    <w:p w14:paraId="2B4520C2" w14:textId="77777777" w:rsidR="00BA1FBA" w:rsidRPr="00734D3B" w:rsidRDefault="00BA1FBA" w:rsidP="00BA1FBA">
      <w:pPr>
        <w:ind w:left="720" w:hanging="720"/>
        <w:rPr>
          <w:rFonts w:cs="Arial"/>
          <w:szCs w:val="22"/>
        </w:rPr>
      </w:pPr>
      <w:r w:rsidRPr="00734D3B">
        <w:rPr>
          <w:rFonts w:cs="Arial"/>
          <w:szCs w:val="22"/>
          <w:lang w:val="en-US"/>
        </w:rPr>
        <w:t xml:space="preserve">Google LLC. (s. f.). </w:t>
      </w:r>
      <w:r w:rsidRPr="00734D3B">
        <w:rPr>
          <w:rFonts w:cs="Arial"/>
          <w:i/>
          <w:iCs/>
          <w:szCs w:val="22"/>
          <w:lang w:val="en-US"/>
        </w:rPr>
        <w:t>Operating sustainably (Data centers).</w:t>
      </w:r>
      <w:r w:rsidRPr="00734D3B">
        <w:rPr>
          <w:rFonts w:cs="Arial"/>
          <w:szCs w:val="22"/>
          <w:lang w:val="en-US"/>
        </w:rPr>
        <w:t xml:space="preserve"> </w:t>
      </w:r>
      <w:r w:rsidRPr="00734D3B">
        <w:rPr>
          <w:rFonts w:cs="Arial"/>
          <w:szCs w:val="22"/>
        </w:rPr>
        <w:t>Recuperado en 2025 de https://datacenters.google/operating-sustainably</w:t>
      </w:r>
    </w:p>
    <w:p w14:paraId="160670E5" w14:textId="77777777" w:rsidR="00BA1FBA" w:rsidRPr="00734D3B" w:rsidRDefault="00BA1FBA" w:rsidP="00BA1FBA">
      <w:pPr>
        <w:rPr>
          <w:rFonts w:cs="Arial"/>
          <w:szCs w:val="22"/>
        </w:rPr>
      </w:pPr>
      <w:r w:rsidRPr="00734D3B">
        <w:rPr>
          <w:rFonts w:cs="Arial"/>
          <w:szCs w:val="22"/>
        </w:rPr>
        <w:t xml:space="preserve">Describe estrategias de sostenibilidad aplicadas por Google en la construcción y operación de data centers. Sirve como </w:t>
      </w:r>
      <w:proofErr w:type="spellStart"/>
      <w:r w:rsidRPr="00734D3B">
        <w:rPr>
          <w:rFonts w:cs="Arial"/>
          <w:szCs w:val="22"/>
        </w:rPr>
        <w:t>benchmark</w:t>
      </w:r>
      <w:proofErr w:type="spellEnd"/>
      <w:r w:rsidRPr="00734D3B">
        <w:rPr>
          <w:rFonts w:cs="Arial"/>
          <w:szCs w:val="22"/>
        </w:rPr>
        <w:t xml:space="preserve"> sectorial para que la guía responda a expectativas de grandes clientes tecnológicos.</w:t>
      </w:r>
    </w:p>
    <w:p w14:paraId="1025C06F" w14:textId="77777777" w:rsidR="00BA1FBA" w:rsidRPr="00734D3B" w:rsidRDefault="00BA1FBA" w:rsidP="00BA1FBA">
      <w:pPr>
        <w:rPr>
          <w:rFonts w:cs="Arial"/>
          <w:szCs w:val="22"/>
        </w:rPr>
      </w:pPr>
    </w:p>
    <w:p w14:paraId="1354217E" w14:textId="77777777" w:rsidR="00BA1FBA" w:rsidRPr="00734D3B" w:rsidRDefault="00BA1FBA" w:rsidP="00BA1FBA">
      <w:pPr>
        <w:ind w:left="720" w:hanging="720"/>
        <w:rPr>
          <w:rFonts w:cs="Arial"/>
          <w:i/>
          <w:iCs/>
          <w:szCs w:val="22"/>
          <w:lang w:val="en-US"/>
        </w:rPr>
      </w:pPr>
      <w:r w:rsidRPr="00734D3B">
        <w:rPr>
          <w:rFonts w:cs="Arial"/>
          <w:szCs w:val="22"/>
          <w:lang w:val="en-US"/>
        </w:rPr>
        <w:t xml:space="preserve">Meta Platforms, Inc. (2025). </w:t>
      </w:r>
      <w:r w:rsidRPr="00734D3B">
        <w:rPr>
          <w:rFonts w:cs="Arial"/>
          <w:i/>
          <w:iCs/>
          <w:szCs w:val="22"/>
          <w:lang w:val="en-US"/>
        </w:rPr>
        <w:t>2025 Sustainability Report. https://sustainability.atmeta.com/2025-sustainability-report/</w:t>
      </w:r>
    </w:p>
    <w:p w14:paraId="1D9596F9" w14:textId="77777777" w:rsidR="00BA1FBA" w:rsidRPr="00734D3B" w:rsidRDefault="00BA1FBA" w:rsidP="00BA1FBA">
      <w:pPr>
        <w:jc w:val="both"/>
        <w:rPr>
          <w:rFonts w:cs="Arial"/>
          <w:szCs w:val="22"/>
        </w:rPr>
      </w:pPr>
      <w:r w:rsidRPr="00734D3B">
        <w:rPr>
          <w:rFonts w:cs="Arial"/>
          <w:szCs w:val="22"/>
        </w:rPr>
        <w:t>Presenta resultados concretos de desvío de residuos (91 % en 2024) en la construcción de data centers. Ofrece metas realistas y ejemplos de indicadores para integrar en la propuesta metodológica.</w:t>
      </w:r>
    </w:p>
    <w:p w14:paraId="0ECD8AC7" w14:textId="77777777" w:rsidR="00BA1FBA" w:rsidRPr="00734D3B" w:rsidRDefault="00BA1FBA" w:rsidP="00BA1FBA">
      <w:pPr>
        <w:jc w:val="both"/>
        <w:rPr>
          <w:rFonts w:cs="Arial"/>
          <w:szCs w:val="22"/>
        </w:rPr>
      </w:pPr>
    </w:p>
    <w:p w14:paraId="7E51B03B" w14:textId="77777777" w:rsidR="00BA1FBA" w:rsidRPr="00734D3B" w:rsidRDefault="00BA1FBA" w:rsidP="00BA1FBA">
      <w:pPr>
        <w:ind w:left="720" w:hanging="720"/>
        <w:rPr>
          <w:rFonts w:cs="Arial"/>
          <w:szCs w:val="22"/>
          <w:lang w:val="en-US"/>
        </w:rPr>
      </w:pPr>
      <w:r w:rsidRPr="00734D3B">
        <w:rPr>
          <w:rFonts w:cs="Arial"/>
          <w:szCs w:val="22"/>
          <w:lang w:val="en-US"/>
        </w:rPr>
        <w:t xml:space="preserve">Modular Building Institute. (2024). </w:t>
      </w:r>
      <w:r w:rsidRPr="00734D3B">
        <w:rPr>
          <w:rFonts w:cs="Arial"/>
          <w:i/>
          <w:iCs/>
          <w:szCs w:val="22"/>
          <w:lang w:val="en-US"/>
        </w:rPr>
        <w:t>Comparative study of waste reduction practices in multi-family construction: Modular construction as a circular economic solution [PDF].</w:t>
      </w:r>
      <w:r w:rsidRPr="00734D3B">
        <w:rPr>
          <w:rFonts w:cs="Arial"/>
          <w:szCs w:val="22"/>
          <w:lang w:val="en-US"/>
        </w:rPr>
        <w:t xml:space="preserve"> </w:t>
      </w:r>
      <w:r w:rsidRPr="00734D3B">
        <w:rPr>
          <w:rFonts w:cs="Arial"/>
          <w:szCs w:val="22"/>
          <w:lang w:val="en-US"/>
        </w:rPr>
        <w:lastRenderedPageBreak/>
        <w:t>https://mbimodularbuildinginstitute.growthzoneapp.com/ap/CloudFile/Download/PoO3Q4vP</w:t>
      </w:r>
    </w:p>
    <w:p w14:paraId="1EE2D3A0" w14:textId="77777777" w:rsidR="00BA1FBA" w:rsidRPr="00734D3B" w:rsidRDefault="00BA1FBA" w:rsidP="00BA1FBA">
      <w:pPr>
        <w:jc w:val="both"/>
        <w:rPr>
          <w:rFonts w:cs="Arial"/>
          <w:szCs w:val="22"/>
        </w:rPr>
      </w:pPr>
      <w:r w:rsidRPr="00734D3B">
        <w:rPr>
          <w:rFonts w:cs="Arial"/>
          <w:szCs w:val="22"/>
        </w:rPr>
        <w:t>Analiza cómo la prefabricación reduce residuos. Aunque el foco es residencial, provee prácticas transferibles (prefabricar bandejas, cableado, empaques) aplicables a proyectos eléctricos de data centers.</w:t>
      </w:r>
    </w:p>
    <w:p w14:paraId="7EDD7544" w14:textId="77777777" w:rsidR="00BA1FBA" w:rsidRPr="00734D3B" w:rsidRDefault="00BA1FBA" w:rsidP="00BA1FBA">
      <w:pPr>
        <w:jc w:val="both"/>
        <w:rPr>
          <w:rFonts w:cs="Arial"/>
          <w:szCs w:val="22"/>
        </w:rPr>
      </w:pPr>
    </w:p>
    <w:p w14:paraId="10E8B13C" w14:textId="77777777" w:rsidR="00BA1FBA" w:rsidRPr="00734D3B" w:rsidRDefault="00BA1FBA" w:rsidP="00BA1FBA">
      <w:pPr>
        <w:ind w:left="720" w:hanging="720"/>
        <w:rPr>
          <w:rFonts w:cs="Arial"/>
          <w:szCs w:val="22"/>
        </w:rPr>
      </w:pPr>
      <w:r w:rsidRPr="00734D3B">
        <w:rPr>
          <w:rFonts w:cs="Arial"/>
          <w:szCs w:val="22"/>
          <w:lang w:val="en-US"/>
        </w:rPr>
        <w:t xml:space="preserve">Núñez-Morales, J. D. (2025). </w:t>
      </w:r>
      <w:r w:rsidRPr="00734D3B">
        <w:rPr>
          <w:rFonts w:cs="Arial"/>
          <w:i/>
          <w:iCs/>
          <w:szCs w:val="22"/>
          <w:lang w:val="en-US"/>
        </w:rPr>
        <w:t xml:space="preserve">The true environmental cost of data centers (Proceedings of the CIB). </w:t>
      </w:r>
      <w:r w:rsidRPr="00734D3B">
        <w:rPr>
          <w:rFonts w:cs="Arial"/>
          <w:i/>
          <w:iCs/>
          <w:szCs w:val="22"/>
        </w:rPr>
        <w:t xml:space="preserve">Purdue e-Pubs. </w:t>
      </w:r>
      <w:r w:rsidRPr="00734D3B">
        <w:rPr>
          <w:rFonts w:cs="Arial"/>
          <w:szCs w:val="22"/>
        </w:rPr>
        <w:t>https://docs.lib.purdue.edu/cgi/viewcontent.cgi?article=2129&amp;context=cib-conferences</w:t>
      </w:r>
    </w:p>
    <w:p w14:paraId="49E40444" w14:textId="77777777" w:rsidR="00BA1FBA" w:rsidRPr="00734D3B" w:rsidRDefault="00BA1FBA" w:rsidP="00BA1FBA">
      <w:pPr>
        <w:jc w:val="both"/>
        <w:rPr>
          <w:rFonts w:cs="Arial"/>
          <w:szCs w:val="22"/>
        </w:rPr>
      </w:pPr>
      <w:r w:rsidRPr="00734D3B">
        <w:rPr>
          <w:rFonts w:cs="Arial"/>
          <w:szCs w:val="22"/>
        </w:rPr>
        <w:t>Explora impactos ambientales de la construcción de data centers. Permite contextualizar el problema y priorizar tipos de residuos y procesos con mayor impacto para la guía.</w:t>
      </w:r>
    </w:p>
    <w:p w14:paraId="4B848AC1" w14:textId="77777777" w:rsidR="00BA1FBA" w:rsidRPr="00734D3B" w:rsidRDefault="00BA1FBA" w:rsidP="00BA1FBA">
      <w:pPr>
        <w:jc w:val="both"/>
        <w:rPr>
          <w:rFonts w:cs="Arial"/>
          <w:szCs w:val="22"/>
        </w:rPr>
      </w:pPr>
    </w:p>
    <w:p w14:paraId="36CBF717" w14:textId="77777777" w:rsidR="00BA1FBA" w:rsidRPr="00734D3B" w:rsidRDefault="00BA1FBA" w:rsidP="00BA1FBA">
      <w:pPr>
        <w:ind w:left="720" w:hanging="720"/>
        <w:rPr>
          <w:rFonts w:cs="Arial"/>
          <w:szCs w:val="22"/>
        </w:rPr>
      </w:pPr>
      <w:r w:rsidRPr="00734D3B">
        <w:rPr>
          <w:rFonts w:cs="Arial"/>
          <w:szCs w:val="22"/>
        </w:rPr>
        <w:t xml:space="preserve">Patil, Y. R., et al. </w:t>
      </w:r>
      <w:r w:rsidRPr="00734D3B">
        <w:rPr>
          <w:rFonts w:cs="Arial"/>
          <w:szCs w:val="22"/>
          <w:lang w:val="en-US"/>
        </w:rPr>
        <w:t>(2024</w:t>
      </w:r>
      <w:r w:rsidRPr="00734D3B">
        <w:rPr>
          <w:rFonts w:cs="Arial"/>
          <w:i/>
          <w:iCs/>
          <w:szCs w:val="22"/>
          <w:lang w:val="en-US"/>
        </w:rPr>
        <w:t xml:space="preserve">). Recycling construction and demolition waste in the sector: A comprehensive review. </w:t>
      </w:r>
      <w:r w:rsidRPr="00734D3B">
        <w:rPr>
          <w:rFonts w:cs="Arial"/>
          <w:i/>
          <w:iCs/>
          <w:szCs w:val="22"/>
        </w:rPr>
        <w:t xml:space="preserve">The </w:t>
      </w:r>
      <w:proofErr w:type="spellStart"/>
      <w:r w:rsidRPr="00734D3B">
        <w:rPr>
          <w:rFonts w:cs="Arial"/>
          <w:i/>
          <w:iCs/>
          <w:szCs w:val="22"/>
        </w:rPr>
        <w:t>Scientific</w:t>
      </w:r>
      <w:proofErr w:type="spellEnd"/>
      <w:r w:rsidRPr="00734D3B">
        <w:rPr>
          <w:rFonts w:cs="Arial"/>
          <w:i/>
          <w:iCs/>
          <w:szCs w:val="22"/>
        </w:rPr>
        <w:t xml:space="preserve"> World </w:t>
      </w:r>
      <w:proofErr w:type="spellStart"/>
      <w:r w:rsidRPr="00734D3B">
        <w:rPr>
          <w:rFonts w:cs="Arial"/>
          <w:i/>
          <w:iCs/>
          <w:szCs w:val="22"/>
        </w:rPr>
        <w:t>Journal</w:t>
      </w:r>
      <w:proofErr w:type="spellEnd"/>
      <w:r w:rsidRPr="00734D3B">
        <w:rPr>
          <w:rFonts w:cs="Arial"/>
          <w:i/>
          <w:iCs/>
          <w:szCs w:val="22"/>
        </w:rPr>
        <w:t>, 2024, 6234010.</w:t>
      </w:r>
      <w:r w:rsidRPr="00734D3B">
        <w:rPr>
          <w:rFonts w:cs="Arial"/>
          <w:szCs w:val="22"/>
        </w:rPr>
        <w:t xml:space="preserve"> https://doi.org/10.1155/2024/6234010</w:t>
      </w:r>
    </w:p>
    <w:p w14:paraId="49D2F330" w14:textId="77777777" w:rsidR="00BA1FBA" w:rsidRPr="00734D3B" w:rsidRDefault="00BA1FBA" w:rsidP="00BA1FBA">
      <w:pPr>
        <w:jc w:val="both"/>
        <w:rPr>
          <w:rFonts w:cs="Arial"/>
          <w:szCs w:val="22"/>
        </w:rPr>
      </w:pPr>
      <w:r w:rsidRPr="00734D3B">
        <w:rPr>
          <w:rFonts w:cs="Arial"/>
          <w:szCs w:val="22"/>
        </w:rPr>
        <w:t>Revisión reciente sobre reciclaje y reutilización de residuos C&amp;D, identifica retos y soluciones. Es base teórica actualizada para definir estrategias de separación y valorización de materiales eléctricos.</w:t>
      </w:r>
    </w:p>
    <w:p w14:paraId="3CC85D5E" w14:textId="77777777" w:rsidR="00BA1FBA" w:rsidRPr="00734D3B" w:rsidRDefault="00BA1FBA" w:rsidP="00BA1FBA">
      <w:pPr>
        <w:ind w:left="720" w:hanging="720"/>
        <w:rPr>
          <w:rFonts w:cs="Arial"/>
          <w:szCs w:val="22"/>
          <w:lang w:val="en-US"/>
        </w:rPr>
      </w:pPr>
      <w:r w:rsidRPr="00734D3B">
        <w:rPr>
          <w:rFonts w:cs="Arial"/>
          <w:szCs w:val="22"/>
          <w:lang w:val="en-US"/>
        </w:rPr>
        <w:t>U.S. Environmental Protection Agency. (2025, January 16</w:t>
      </w:r>
      <w:r w:rsidRPr="00734D3B">
        <w:rPr>
          <w:rFonts w:cs="Arial"/>
          <w:i/>
          <w:iCs/>
          <w:szCs w:val="22"/>
          <w:lang w:val="en-US"/>
        </w:rPr>
        <w:t>). Sustainable management of construction and demolition materials.</w:t>
      </w:r>
      <w:r w:rsidRPr="00734D3B">
        <w:rPr>
          <w:rFonts w:cs="Arial"/>
          <w:szCs w:val="22"/>
          <w:lang w:val="en-US"/>
        </w:rPr>
        <w:t xml:space="preserve"> https://www.epa.gov/smm/sustainable-management-construction-and-demolition-materials</w:t>
      </w:r>
    </w:p>
    <w:p w14:paraId="6DB2AC52" w14:textId="77777777" w:rsidR="00BA1FBA" w:rsidRPr="00734D3B" w:rsidRDefault="00BA1FBA" w:rsidP="00BA1FBA">
      <w:pPr>
        <w:jc w:val="both"/>
        <w:rPr>
          <w:rFonts w:cs="Arial"/>
          <w:szCs w:val="22"/>
        </w:rPr>
      </w:pPr>
      <w:r w:rsidRPr="00734D3B">
        <w:rPr>
          <w:rFonts w:cs="Arial"/>
          <w:szCs w:val="22"/>
        </w:rPr>
        <w:t>Panorama oficial de la EPA sobre manejo sostenible de residuos de construcción. Proporciona jerarquías de manejo (reducir-reutilizar-reciclar) y enlaces a mejores prácticas aplicables a contratistas eléctricos.</w:t>
      </w:r>
    </w:p>
    <w:p w14:paraId="7A89C96F" w14:textId="77777777" w:rsidR="00BA1FBA" w:rsidRPr="00734D3B" w:rsidRDefault="00BA1FBA" w:rsidP="00BA1FBA">
      <w:pPr>
        <w:jc w:val="both"/>
        <w:rPr>
          <w:rFonts w:cs="Arial"/>
          <w:szCs w:val="22"/>
        </w:rPr>
      </w:pPr>
    </w:p>
    <w:p w14:paraId="1301AD13" w14:textId="77777777" w:rsidR="00BA1FBA" w:rsidRPr="00734D3B" w:rsidRDefault="00BA1FBA" w:rsidP="00BA1FBA">
      <w:pPr>
        <w:ind w:left="720" w:hanging="720"/>
        <w:rPr>
          <w:rFonts w:cs="Arial"/>
          <w:szCs w:val="22"/>
        </w:rPr>
      </w:pPr>
      <w:r w:rsidRPr="00734D3B">
        <w:rPr>
          <w:rFonts w:cs="Arial"/>
          <w:szCs w:val="22"/>
          <w:lang w:val="en-US"/>
        </w:rPr>
        <w:lastRenderedPageBreak/>
        <w:t>U.S. Green Building Council. (s. f.). C</w:t>
      </w:r>
      <w:r w:rsidRPr="00734D3B">
        <w:rPr>
          <w:rFonts w:cs="Arial"/>
          <w:i/>
          <w:iCs/>
          <w:szCs w:val="22"/>
          <w:lang w:val="en-US"/>
        </w:rPr>
        <w:t>onstruction and demolition waste management (LEED v4 credit)</w:t>
      </w:r>
      <w:r w:rsidRPr="00734D3B">
        <w:rPr>
          <w:rFonts w:cs="Arial"/>
          <w:szCs w:val="22"/>
          <w:lang w:val="en-US"/>
        </w:rPr>
        <w:t xml:space="preserve">. </w:t>
      </w:r>
      <w:r w:rsidRPr="00734D3B">
        <w:rPr>
          <w:rFonts w:cs="Arial"/>
          <w:szCs w:val="22"/>
        </w:rPr>
        <w:t>Recuperado en 2025 de https://www.usgbc.org/credits/new-construction-commercial-interiors-core-shell-schools-nc-retail-nc-retail-ci-healthcare-0</w:t>
      </w:r>
    </w:p>
    <w:p w14:paraId="42596E38" w14:textId="77777777" w:rsidR="00BA1FBA" w:rsidRPr="00734D3B" w:rsidRDefault="00BA1FBA" w:rsidP="00BA1FBA">
      <w:pPr>
        <w:jc w:val="both"/>
        <w:rPr>
          <w:highlight w:val="yellow"/>
        </w:rPr>
      </w:pPr>
      <w:r w:rsidRPr="00734D3B">
        <w:rPr>
          <w:rFonts w:cs="Arial"/>
          <w:szCs w:val="22"/>
        </w:rPr>
        <w:t>Estándar ampliamente adoptado que define planes de gestión de residuos y metas de desvío (50-75 %). Es clave para alinear la guía a requisitos que clientes de data centers suelen exigir a los contratistas.</w:t>
      </w:r>
    </w:p>
    <w:bookmarkEnd w:id="397"/>
    <w:p w14:paraId="7E57E6B1" w14:textId="1119EDA6" w:rsidR="003A1360" w:rsidRPr="00734D3B" w:rsidRDefault="003A1360">
      <w:pPr>
        <w:spacing w:line="240" w:lineRule="auto"/>
        <w:ind w:firstLine="0"/>
      </w:pPr>
      <w:r w:rsidRPr="00734D3B">
        <w:br w:type="page"/>
      </w:r>
    </w:p>
    <w:p w14:paraId="73611F03" w14:textId="754ECFA4" w:rsidR="003A1360" w:rsidRPr="00734D3B" w:rsidRDefault="003A1360" w:rsidP="003A1360">
      <w:pPr>
        <w:pStyle w:val="Heading1"/>
        <w:numPr>
          <w:ilvl w:val="0"/>
          <w:numId w:val="0"/>
        </w:numPr>
      </w:pPr>
      <w:bookmarkStart w:id="399" w:name="_Toc227936455"/>
      <w:r w:rsidRPr="00734D3B">
        <w:lastRenderedPageBreak/>
        <w:t>Anexo 5: Cuestionario aplicado</w:t>
      </w:r>
      <w:bookmarkEnd w:id="399"/>
    </w:p>
    <w:p w14:paraId="4A4BA238" w14:textId="77777777" w:rsidR="000A68ED" w:rsidRPr="00734D3B" w:rsidRDefault="000A68ED" w:rsidP="000A68ED">
      <w:proofErr w:type="spellStart"/>
      <w:r w:rsidRPr="00734D3B">
        <w:t>Sustainability</w:t>
      </w:r>
      <w:proofErr w:type="spellEnd"/>
      <w:r w:rsidRPr="00734D3B">
        <w:t xml:space="preserve"> </w:t>
      </w:r>
      <w:proofErr w:type="spellStart"/>
      <w:r w:rsidRPr="00734D3B">
        <w:t>Survey</w:t>
      </w:r>
      <w:proofErr w:type="spellEnd"/>
      <w:r w:rsidRPr="00734D3B">
        <w:t xml:space="preserve"> / Encuesta de Sostenibilidad </w:t>
      </w:r>
    </w:p>
    <w:p w14:paraId="23A52D1E" w14:textId="4812D397" w:rsidR="000A68ED" w:rsidRPr="00734D3B" w:rsidRDefault="000A68ED" w:rsidP="000A68ED">
      <w:pPr>
        <w:rPr>
          <w:lang w:val="en-US"/>
        </w:rPr>
      </w:pPr>
      <w:r w:rsidRPr="00734D3B">
        <w:rPr>
          <w:lang w:val="en-US"/>
        </w:rPr>
        <w:t>Survey about sustainability and waste management in electrical construction of data center projects in Arizona.</w:t>
      </w:r>
    </w:p>
    <w:p w14:paraId="036CE87C" w14:textId="126A2B9F" w:rsidR="000A68ED" w:rsidRPr="00734D3B" w:rsidRDefault="000A68ED" w:rsidP="000A68ED">
      <w:pPr>
        <w:rPr>
          <w:lang w:val="en-US"/>
        </w:rPr>
      </w:pPr>
      <w:r w:rsidRPr="00734D3B">
        <w:rPr>
          <w:lang w:val="en-US"/>
        </w:rPr>
        <w:t xml:space="preserve">Responses are confidential and anonymous. </w:t>
      </w:r>
    </w:p>
    <w:p w14:paraId="4B3747FF" w14:textId="12F305C8" w:rsidR="000A68ED" w:rsidRPr="00734D3B" w:rsidRDefault="000A68ED" w:rsidP="000A68ED">
      <w:r w:rsidRPr="00734D3B">
        <w:t>Encuesta sobre sostenibilidad y manejo de residuos en proyectos de construcción eléctrica de data centers en Arizona.</w:t>
      </w:r>
    </w:p>
    <w:p w14:paraId="22D1DDF3" w14:textId="77777777" w:rsidR="000A68ED" w:rsidRPr="00734D3B" w:rsidRDefault="000A68ED" w:rsidP="000A68ED">
      <w:r w:rsidRPr="00734D3B">
        <w:t xml:space="preserve">  Las respuestas son confidenciales y anónimas</w:t>
      </w:r>
    </w:p>
    <w:p w14:paraId="74BC980D" w14:textId="77777777" w:rsidR="000A68ED" w:rsidRPr="00734D3B" w:rsidRDefault="000A68ED" w:rsidP="000A68ED">
      <w:r w:rsidRPr="00734D3B">
        <w:t>Correo</w:t>
      </w:r>
    </w:p>
    <w:p w14:paraId="32EF3CBD" w14:textId="77777777" w:rsidR="000A68ED" w:rsidRPr="00734D3B" w:rsidRDefault="000A68ED" w:rsidP="000A68ED">
      <w:r w:rsidRPr="00734D3B">
        <w:t xml:space="preserve">Perfil del participante / </w:t>
      </w:r>
      <w:proofErr w:type="spellStart"/>
      <w:r w:rsidRPr="00734D3B">
        <w:t>Participant</w:t>
      </w:r>
      <w:proofErr w:type="spellEnd"/>
      <w:r w:rsidRPr="00734D3B">
        <w:t xml:space="preserve"> </w:t>
      </w:r>
      <w:proofErr w:type="spellStart"/>
      <w:r w:rsidRPr="00734D3B">
        <w:t>Profile</w:t>
      </w:r>
      <w:proofErr w:type="spellEnd"/>
      <w:r w:rsidRPr="00734D3B">
        <w:t xml:space="preserve"> </w:t>
      </w:r>
    </w:p>
    <w:p w14:paraId="1EF9DD3A" w14:textId="77777777" w:rsidR="000A68ED" w:rsidRPr="00734D3B" w:rsidRDefault="000A68ED" w:rsidP="000A68ED">
      <w:r w:rsidRPr="00734D3B">
        <w:t xml:space="preserve">1. Company </w:t>
      </w:r>
      <w:proofErr w:type="spellStart"/>
      <w:r w:rsidRPr="00734D3B">
        <w:t>type</w:t>
      </w:r>
      <w:proofErr w:type="spellEnd"/>
      <w:r w:rsidRPr="00734D3B">
        <w:t xml:space="preserve"> / Tipo de empresa</w:t>
      </w:r>
    </w:p>
    <w:p w14:paraId="4FF0992C" w14:textId="77777777" w:rsidR="000A68ED" w:rsidRPr="00734D3B" w:rsidRDefault="000A68ED" w:rsidP="000A68ED">
      <w:proofErr w:type="spellStart"/>
      <w:r w:rsidRPr="00734D3B">
        <w:t>Electrical</w:t>
      </w:r>
      <w:proofErr w:type="spellEnd"/>
      <w:r w:rsidRPr="00734D3B">
        <w:t xml:space="preserve"> Contractor (EC) / Contratista </w:t>
      </w:r>
      <w:proofErr w:type="spellStart"/>
      <w:r w:rsidRPr="00734D3B">
        <w:t>Electrico</w:t>
      </w:r>
      <w:proofErr w:type="spellEnd"/>
    </w:p>
    <w:p w14:paraId="5C310C5E" w14:textId="77777777" w:rsidR="000A68ED" w:rsidRPr="00734D3B" w:rsidRDefault="000A68ED" w:rsidP="000A68ED">
      <w:r w:rsidRPr="00734D3B">
        <w:t>General Contractor (GC) / Contratista General</w:t>
      </w:r>
    </w:p>
    <w:p w14:paraId="60B454C1" w14:textId="77777777" w:rsidR="000A68ED" w:rsidRPr="00734D3B" w:rsidRDefault="000A68ED" w:rsidP="000A68ED">
      <w:r w:rsidRPr="00734D3B">
        <w:t xml:space="preserve">Owner </w:t>
      </w:r>
      <w:proofErr w:type="spellStart"/>
      <w:r w:rsidRPr="00734D3B">
        <w:t>or</w:t>
      </w:r>
      <w:proofErr w:type="spellEnd"/>
      <w:r w:rsidRPr="00734D3B">
        <w:t xml:space="preserve"> Client / Dueño o Cliente</w:t>
      </w:r>
    </w:p>
    <w:p w14:paraId="01244B74" w14:textId="77777777" w:rsidR="000A68ED" w:rsidRPr="00734D3B" w:rsidRDefault="000A68ED" w:rsidP="000A68ED">
      <w:r w:rsidRPr="00734D3B">
        <w:t>Other / Otro:</w:t>
      </w:r>
    </w:p>
    <w:p w14:paraId="686F64B9" w14:textId="77777777" w:rsidR="000A68ED" w:rsidRPr="00734D3B" w:rsidRDefault="000A68ED" w:rsidP="000A68ED">
      <w:r w:rsidRPr="00734D3B">
        <w:t xml:space="preserve">2. Role in </w:t>
      </w:r>
      <w:proofErr w:type="spellStart"/>
      <w:r w:rsidRPr="00734D3B">
        <w:t>project</w:t>
      </w:r>
      <w:proofErr w:type="spellEnd"/>
      <w:r w:rsidRPr="00734D3B">
        <w:t xml:space="preserve"> / Rol en el proyecto</w:t>
      </w:r>
    </w:p>
    <w:p w14:paraId="5BBB9CE2" w14:textId="77777777" w:rsidR="000A68ED" w:rsidRPr="00734D3B" w:rsidRDefault="000A68ED" w:rsidP="000A68ED">
      <w:r w:rsidRPr="00734D3B">
        <w:t>Management / Administración</w:t>
      </w:r>
    </w:p>
    <w:p w14:paraId="477E7A7E" w14:textId="77777777" w:rsidR="000A68ED" w:rsidRPr="00734D3B" w:rsidRDefault="000A68ED" w:rsidP="000A68ED">
      <w:proofErr w:type="spellStart"/>
      <w:r w:rsidRPr="00734D3B">
        <w:t>Superintendent</w:t>
      </w:r>
      <w:proofErr w:type="spellEnd"/>
      <w:r w:rsidRPr="00734D3B">
        <w:t xml:space="preserve"> </w:t>
      </w:r>
      <w:proofErr w:type="spellStart"/>
      <w:r w:rsidRPr="00734D3B">
        <w:t>or</w:t>
      </w:r>
      <w:proofErr w:type="spellEnd"/>
      <w:r w:rsidRPr="00734D3B">
        <w:t xml:space="preserve"> Supervisor / Superintendente o supervisor</w:t>
      </w:r>
    </w:p>
    <w:p w14:paraId="5A2E1F4B" w14:textId="77777777" w:rsidR="000A68ED" w:rsidRPr="00734D3B" w:rsidRDefault="000A68ED" w:rsidP="000A68ED">
      <w:r w:rsidRPr="00734D3B">
        <w:t>Engineer / Ingeniero</w:t>
      </w:r>
    </w:p>
    <w:p w14:paraId="36737330" w14:textId="77777777" w:rsidR="000A68ED" w:rsidRPr="00734D3B" w:rsidRDefault="000A68ED" w:rsidP="000A68ED">
      <w:r w:rsidRPr="00734D3B">
        <w:t xml:space="preserve">Health, Safety, </w:t>
      </w:r>
      <w:proofErr w:type="spellStart"/>
      <w:r w:rsidRPr="00734D3B">
        <w:t>or</w:t>
      </w:r>
      <w:proofErr w:type="spellEnd"/>
      <w:r w:rsidRPr="00734D3B">
        <w:t xml:space="preserve"> </w:t>
      </w:r>
      <w:proofErr w:type="spellStart"/>
      <w:r w:rsidRPr="00734D3B">
        <w:t>Environmental</w:t>
      </w:r>
      <w:proofErr w:type="spellEnd"/>
      <w:r w:rsidRPr="00734D3B">
        <w:t xml:space="preserve"> / Salud, Seguridad, o Ambiental</w:t>
      </w:r>
    </w:p>
    <w:p w14:paraId="0616C458" w14:textId="77777777" w:rsidR="000A68ED" w:rsidRPr="00734D3B" w:rsidRDefault="000A68ED" w:rsidP="000A68ED">
      <w:r w:rsidRPr="00734D3B">
        <w:t xml:space="preserve">Field </w:t>
      </w:r>
      <w:proofErr w:type="spellStart"/>
      <w:r w:rsidRPr="00734D3B">
        <w:t>Technician</w:t>
      </w:r>
      <w:proofErr w:type="spellEnd"/>
      <w:r w:rsidRPr="00734D3B">
        <w:t xml:space="preserve"> / Técnico del Campo</w:t>
      </w:r>
    </w:p>
    <w:p w14:paraId="32771785" w14:textId="77777777" w:rsidR="000A68ED" w:rsidRPr="00734D3B" w:rsidRDefault="000A68ED" w:rsidP="000A68ED">
      <w:r w:rsidRPr="00734D3B">
        <w:t>Other / Otro:</w:t>
      </w:r>
    </w:p>
    <w:p w14:paraId="1DCE21F6" w14:textId="77777777" w:rsidR="000A68ED" w:rsidRPr="00734D3B" w:rsidRDefault="000A68ED" w:rsidP="000A68ED">
      <w:r w:rsidRPr="00734D3B">
        <w:t xml:space="preserve">3. Years </w:t>
      </w:r>
      <w:proofErr w:type="spellStart"/>
      <w:r w:rsidRPr="00734D3B">
        <w:t>of</w:t>
      </w:r>
      <w:proofErr w:type="spellEnd"/>
      <w:r w:rsidRPr="00734D3B">
        <w:t xml:space="preserve"> </w:t>
      </w:r>
      <w:proofErr w:type="spellStart"/>
      <w:r w:rsidRPr="00734D3B">
        <w:t>experience</w:t>
      </w:r>
      <w:proofErr w:type="spellEnd"/>
      <w:r w:rsidRPr="00734D3B">
        <w:t xml:space="preserve"> / Años de experiencia</w:t>
      </w:r>
    </w:p>
    <w:p w14:paraId="0B141108" w14:textId="77777777" w:rsidR="000A68ED" w:rsidRPr="00734D3B" w:rsidRDefault="000A68ED" w:rsidP="000A68ED">
      <w:r w:rsidRPr="00734D3B">
        <w:t>&lt;3</w:t>
      </w:r>
    </w:p>
    <w:p w14:paraId="1BDE2824" w14:textId="77777777" w:rsidR="000A68ED" w:rsidRPr="00734D3B" w:rsidRDefault="000A68ED" w:rsidP="000A68ED">
      <w:r w:rsidRPr="00734D3B">
        <w:t>3–5</w:t>
      </w:r>
    </w:p>
    <w:p w14:paraId="34B6A473" w14:textId="77777777" w:rsidR="000A68ED" w:rsidRPr="00734D3B" w:rsidRDefault="000A68ED" w:rsidP="000A68ED">
      <w:r w:rsidRPr="00734D3B">
        <w:lastRenderedPageBreak/>
        <w:t>6–10</w:t>
      </w:r>
    </w:p>
    <w:p w14:paraId="5DCFB288" w14:textId="77777777" w:rsidR="000A68ED" w:rsidRPr="00734D3B" w:rsidRDefault="000A68ED" w:rsidP="000A68ED">
      <w:r w:rsidRPr="00734D3B">
        <w:t>&gt;10</w:t>
      </w:r>
    </w:p>
    <w:p w14:paraId="0400F4AF" w14:textId="77777777" w:rsidR="000A68ED" w:rsidRPr="00734D3B" w:rsidRDefault="000A68ED" w:rsidP="000A68ED">
      <w:r w:rsidRPr="00734D3B">
        <w:t xml:space="preserve">Policy and </w:t>
      </w:r>
      <w:proofErr w:type="spellStart"/>
      <w:proofErr w:type="gramStart"/>
      <w:r w:rsidRPr="00734D3B">
        <w:t>planning</w:t>
      </w:r>
      <w:proofErr w:type="spellEnd"/>
      <w:r w:rsidRPr="00734D3B">
        <w:t xml:space="preserve">  /</w:t>
      </w:r>
      <w:proofErr w:type="gramEnd"/>
      <w:r w:rsidRPr="00734D3B">
        <w:t xml:space="preserve"> Política y planificación</w:t>
      </w:r>
    </w:p>
    <w:p w14:paraId="33B798EB" w14:textId="77777777" w:rsidR="000A68ED" w:rsidRPr="00734D3B" w:rsidRDefault="000A68ED" w:rsidP="000A68ED">
      <w:r w:rsidRPr="00734D3B">
        <w:t xml:space="preserve">4. </w:t>
      </w:r>
      <w:proofErr w:type="spellStart"/>
      <w:r w:rsidRPr="00734D3B">
        <w:t>My</w:t>
      </w:r>
      <w:proofErr w:type="spellEnd"/>
      <w:r w:rsidRPr="00734D3B">
        <w:t xml:space="preserve"> </w:t>
      </w:r>
      <w:proofErr w:type="spellStart"/>
      <w:r w:rsidRPr="00734D3B">
        <w:t>company</w:t>
      </w:r>
      <w:proofErr w:type="spellEnd"/>
      <w:r w:rsidRPr="00734D3B">
        <w:t xml:space="preserve"> has </w:t>
      </w:r>
      <w:proofErr w:type="spellStart"/>
      <w:r w:rsidRPr="00734D3B">
        <w:t>sustainability</w:t>
      </w:r>
      <w:proofErr w:type="spellEnd"/>
      <w:r w:rsidRPr="00734D3B">
        <w:t xml:space="preserve"> </w:t>
      </w:r>
      <w:proofErr w:type="spellStart"/>
      <w:r w:rsidRPr="00734D3B">
        <w:t>policies</w:t>
      </w:r>
      <w:proofErr w:type="spellEnd"/>
      <w:r w:rsidRPr="00734D3B">
        <w:t>. / Mi empresa tiene políticas de sostenibilidad.</w:t>
      </w:r>
    </w:p>
    <w:p w14:paraId="2BA0779A" w14:textId="77777777" w:rsidR="000A68ED" w:rsidRPr="00734D3B" w:rsidRDefault="000A68ED" w:rsidP="000A68ED">
      <w:r w:rsidRPr="00734D3B">
        <w:t>Never / Nunca</w:t>
      </w:r>
    </w:p>
    <w:p w14:paraId="46191E25" w14:textId="77777777" w:rsidR="000A68ED" w:rsidRPr="00734D3B" w:rsidRDefault="000A68ED" w:rsidP="000A68ED">
      <w:r w:rsidRPr="00734D3B">
        <w:t>1</w:t>
      </w:r>
    </w:p>
    <w:p w14:paraId="4CA64B0E" w14:textId="77777777" w:rsidR="000A68ED" w:rsidRPr="00734D3B" w:rsidRDefault="000A68ED" w:rsidP="000A68ED">
      <w:r w:rsidRPr="00734D3B">
        <w:t>2</w:t>
      </w:r>
    </w:p>
    <w:p w14:paraId="229A3B38" w14:textId="77777777" w:rsidR="000A68ED" w:rsidRPr="00734D3B" w:rsidRDefault="000A68ED" w:rsidP="000A68ED">
      <w:r w:rsidRPr="00734D3B">
        <w:t>3</w:t>
      </w:r>
    </w:p>
    <w:p w14:paraId="11DE92BC" w14:textId="77777777" w:rsidR="000A68ED" w:rsidRPr="00734D3B" w:rsidRDefault="000A68ED" w:rsidP="000A68ED">
      <w:r w:rsidRPr="00734D3B">
        <w:t>4</w:t>
      </w:r>
    </w:p>
    <w:p w14:paraId="22B00366" w14:textId="77777777" w:rsidR="000A68ED" w:rsidRPr="00734D3B" w:rsidRDefault="000A68ED" w:rsidP="000A68ED">
      <w:r w:rsidRPr="00734D3B">
        <w:t>5</w:t>
      </w:r>
    </w:p>
    <w:p w14:paraId="557F365F" w14:textId="77777777" w:rsidR="000A68ED" w:rsidRPr="00734D3B" w:rsidRDefault="000A68ED" w:rsidP="000A68ED">
      <w:proofErr w:type="spellStart"/>
      <w:r w:rsidRPr="00734D3B">
        <w:t>Always</w:t>
      </w:r>
      <w:proofErr w:type="spellEnd"/>
      <w:r w:rsidRPr="00734D3B">
        <w:t xml:space="preserve"> / Siempre</w:t>
      </w:r>
    </w:p>
    <w:p w14:paraId="0C55BDF2" w14:textId="77777777" w:rsidR="000A68ED" w:rsidRPr="00734D3B" w:rsidRDefault="000A68ED" w:rsidP="000A68ED">
      <w:r w:rsidRPr="00734D3B">
        <w:t xml:space="preserve">5. </w:t>
      </w:r>
      <w:proofErr w:type="spellStart"/>
      <w:r w:rsidRPr="00734D3B">
        <w:t>Projects</w:t>
      </w:r>
      <w:proofErr w:type="spellEnd"/>
      <w:r w:rsidRPr="00734D3B">
        <w:t xml:space="preserve"> </w:t>
      </w:r>
      <w:proofErr w:type="spellStart"/>
      <w:r w:rsidRPr="00734D3B">
        <w:t>have</w:t>
      </w:r>
      <w:proofErr w:type="spellEnd"/>
      <w:r w:rsidRPr="00734D3B">
        <w:t xml:space="preserve"> </w:t>
      </w:r>
      <w:proofErr w:type="spellStart"/>
      <w:r w:rsidRPr="00734D3B">
        <w:t>clear</w:t>
      </w:r>
      <w:proofErr w:type="spellEnd"/>
      <w:r w:rsidRPr="00734D3B">
        <w:t xml:space="preserve"> </w:t>
      </w:r>
      <w:proofErr w:type="spellStart"/>
      <w:r w:rsidRPr="00734D3B">
        <w:t>environmental</w:t>
      </w:r>
      <w:proofErr w:type="spellEnd"/>
      <w:r w:rsidRPr="00734D3B">
        <w:t xml:space="preserve"> </w:t>
      </w:r>
      <w:proofErr w:type="spellStart"/>
      <w:r w:rsidRPr="00734D3B">
        <w:t>goals</w:t>
      </w:r>
      <w:proofErr w:type="spellEnd"/>
      <w:r w:rsidRPr="00734D3B">
        <w:t>. / En los proyectos se establecen metas ambientales claras.</w:t>
      </w:r>
    </w:p>
    <w:p w14:paraId="3FA08B8B" w14:textId="77777777" w:rsidR="000A68ED" w:rsidRPr="00734D3B" w:rsidRDefault="000A68ED" w:rsidP="000A68ED">
      <w:r w:rsidRPr="00734D3B">
        <w:t>Never / Nunca</w:t>
      </w:r>
    </w:p>
    <w:p w14:paraId="0D162B51" w14:textId="77777777" w:rsidR="000A68ED" w:rsidRPr="00734D3B" w:rsidRDefault="000A68ED" w:rsidP="000A68ED">
      <w:r w:rsidRPr="00734D3B">
        <w:t>1</w:t>
      </w:r>
    </w:p>
    <w:p w14:paraId="26887168" w14:textId="77777777" w:rsidR="000A68ED" w:rsidRPr="00734D3B" w:rsidRDefault="000A68ED" w:rsidP="000A68ED">
      <w:r w:rsidRPr="00734D3B">
        <w:t>2</w:t>
      </w:r>
    </w:p>
    <w:p w14:paraId="5B737859" w14:textId="77777777" w:rsidR="000A68ED" w:rsidRPr="00734D3B" w:rsidRDefault="000A68ED" w:rsidP="000A68ED">
      <w:r w:rsidRPr="00734D3B">
        <w:t>3</w:t>
      </w:r>
    </w:p>
    <w:p w14:paraId="77DCD8CD" w14:textId="77777777" w:rsidR="000A68ED" w:rsidRPr="00734D3B" w:rsidRDefault="000A68ED" w:rsidP="000A68ED">
      <w:r w:rsidRPr="00734D3B">
        <w:t>4</w:t>
      </w:r>
    </w:p>
    <w:p w14:paraId="6E7634F2" w14:textId="77777777" w:rsidR="000A68ED" w:rsidRPr="00734D3B" w:rsidRDefault="000A68ED" w:rsidP="000A68ED">
      <w:r w:rsidRPr="00734D3B">
        <w:t>5</w:t>
      </w:r>
    </w:p>
    <w:p w14:paraId="47DA0726" w14:textId="77777777" w:rsidR="000A68ED" w:rsidRPr="00734D3B" w:rsidRDefault="000A68ED" w:rsidP="000A68ED">
      <w:proofErr w:type="spellStart"/>
      <w:r w:rsidRPr="00734D3B">
        <w:t>Always</w:t>
      </w:r>
      <w:proofErr w:type="spellEnd"/>
      <w:r w:rsidRPr="00734D3B">
        <w:t xml:space="preserve"> / Siempre</w:t>
      </w:r>
    </w:p>
    <w:p w14:paraId="1251118D" w14:textId="77777777" w:rsidR="000A68ED" w:rsidRPr="00734D3B" w:rsidRDefault="000A68ED" w:rsidP="000A68ED">
      <w:r w:rsidRPr="00734D3B">
        <w:t xml:space="preserve">6. </w:t>
      </w:r>
      <w:proofErr w:type="spellStart"/>
      <w:r w:rsidRPr="00734D3B">
        <w:t>Sustainability</w:t>
      </w:r>
      <w:proofErr w:type="spellEnd"/>
      <w:r w:rsidRPr="00734D3B">
        <w:t xml:space="preserve"> </w:t>
      </w:r>
      <w:proofErr w:type="spellStart"/>
      <w:r w:rsidRPr="00734D3B">
        <w:t>is</w:t>
      </w:r>
      <w:proofErr w:type="spellEnd"/>
      <w:r w:rsidRPr="00734D3B">
        <w:t xml:space="preserve"> </w:t>
      </w:r>
      <w:proofErr w:type="spellStart"/>
      <w:r w:rsidRPr="00734D3B">
        <w:t>discussed</w:t>
      </w:r>
      <w:proofErr w:type="spellEnd"/>
      <w:r w:rsidRPr="00734D3B">
        <w:t xml:space="preserve"> in </w:t>
      </w:r>
      <w:proofErr w:type="gramStart"/>
      <w:r w:rsidRPr="00734D3B">
        <w:t>meetings</w:t>
      </w:r>
      <w:proofErr w:type="gramEnd"/>
      <w:r w:rsidRPr="00734D3B">
        <w:t>. / Se habla de sostenibilidad en reuniones.</w:t>
      </w:r>
    </w:p>
    <w:p w14:paraId="689E04DB" w14:textId="77777777" w:rsidR="000A68ED" w:rsidRPr="00734D3B" w:rsidRDefault="000A68ED" w:rsidP="000A68ED">
      <w:r w:rsidRPr="00734D3B">
        <w:t>Never / Nunca</w:t>
      </w:r>
    </w:p>
    <w:p w14:paraId="112D470A" w14:textId="77777777" w:rsidR="000A68ED" w:rsidRPr="00734D3B" w:rsidRDefault="000A68ED" w:rsidP="000A68ED">
      <w:r w:rsidRPr="00734D3B">
        <w:t>1</w:t>
      </w:r>
    </w:p>
    <w:p w14:paraId="110AF951" w14:textId="77777777" w:rsidR="000A68ED" w:rsidRPr="00734D3B" w:rsidRDefault="000A68ED" w:rsidP="000A68ED">
      <w:r w:rsidRPr="00734D3B">
        <w:t>2</w:t>
      </w:r>
    </w:p>
    <w:p w14:paraId="6D0B521E" w14:textId="77777777" w:rsidR="000A68ED" w:rsidRPr="00734D3B" w:rsidRDefault="000A68ED" w:rsidP="000A68ED">
      <w:r w:rsidRPr="00734D3B">
        <w:t>3</w:t>
      </w:r>
    </w:p>
    <w:p w14:paraId="665A43DB" w14:textId="77777777" w:rsidR="000A68ED" w:rsidRPr="00734D3B" w:rsidRDefault="000A68ED" w:rsidP="000A68ED">
      <w:r w:rsidRPr="00734D3B">
        <w:lastRenderedPageBreak/>
        <w:t>4</w:t>
      </w:r>
    </w:p>
    <w:p w14:paraId="2FEA053F" w14:textId="77777777" w:rsidR="000A68ED" w:rsidRPr="00734D3B" w:rsidRDefault="000A68ED" w:rsidP="000A68ED">
      <w:r w:rsidRPr="00734D3B">
        <w:t>5</w:t>
      </w:r>
    </w:p>
    <w:p w14:paraId="3FD80FD0" w14:textId="77777777" w:rsidR="000A68ED" w:rsidRPr="00734D3B" w:rsidRDefault="000A68ED" w:rsidP="000A68ED">
      <w:proofErr w:type="spellStart"/>
      <w:r w:rsidRPr="00734D3B">
        <w:t>Always</w:t>
      </w:r>
      <w:proofErr w:type="spellEnd"/>
      <w:r w:rsidRPr="00734D3B">
        <w:t xml:space="preserve"> / Siempre</w:t>
      </w:r>
    </w:p>
    <w:p w14:paraId="5EE374CE" w14:textId="77777777" w:rsidR="000A68ED" w:rsidRPr="00734D3B" w:rsidRDefault="000A68ED" w:rsidP="000A68ED">
      <w:r w:rsidRPr="00734D3B">
        <w:t xml:space="preserve">Waste </w:t>
      </w:r>
      <w:proofErr w:type="spellStart"/>
      <w:r w:rsidRPr="00734D3B">
        <w:t>management</w:t>
      </w:r>
      <w:proofErr w:type="spellEnd"/>
      <w:r w:rsidRPr="00734D3B">
        <w:t xml:space="preserve"> / Gestión de residuos</w:t>
      </w:r>
    </w:p>
    <w:p w14:paraId="5704DF4C" w14:textId="77777777" w:rsidR="000A68ED" w:rsidRPr="00734D3B" w:rsidRDefault="000A68ED" w:rsidP="000A68ED">
      <w:r w:rsidRPr="00734D3B">
        <w:t xml:space="preserve">7. Waste </w:t>
      </w:r>
      <w:proofErr w:type="spellStart"/>
      <w:r w:rsidRPr="00734D3B">
        <w:t>is</w:t>
      </w:r>
      <w:proofErr w:type="spellEnd"/>
      <w:r w:rsidRPr="00734D3B">
        <w:t xml:space="preserve"> </w:t>
      </w:r>
      <w:proofErr w:type="spellStart"/>
      <w:r w:rsidRPr="00734D3B">
        <w:t>separated</w:t>
      </w:r>
      <w:proofErr w:type="spellEnd"/>
      <w:r w:rsidRPr="00734D3B">
        <w:t xml:space="preserve"> </w:t>
      </w:r>
      <w:proofErr w:type="spellStart"/>
      <w:r w:rsidRPr="00734D3B">
        <w:t>by</w:t>
      </w:r>
      <w:proofErr w:type="spellEnd"/>
      <w:r w:rsidRPr="00734D3B">
        <w:t xml:space="preserve"> </w:t>
      </w:r>
      <w:proofErr w:type="spellStart"/>
      <w:r w:rsidRPr="00734D3B">
        <w:t>type</w:t>
      </w:r>
      <w:proofErr w:type="spellEnd"/>
      <w:r w:rsidRPr="00734D3B">
        <w:t>. / Los residuos se separan por tipo.</w:t>
      </w:r>
    </w:p>
    <w:p w14:paraId="594503E1" w14:textId="77777777" w:rsidR="000A68ED" w:rsidRPr="00734D3B" w:rsidRDefault="000A68ED" w:rsidP="000A68ED">
      <w:r w:rsidRPr="00734D3B">
        <w:t>Never / Nunca</w:t>
      </w:r>
    </w:p>
    <w:p w14:paraId="47B2AA13" w14:textId="77777777" w:rsidR="000A68ED" w:rsidRPr="00734D3B" w:rsidRDefault="000A68ED" w:rsidP="000A68ED">
      <w:r w:rsidRPr="00734D3B">
        <w:t>1</w:t>
      </w:r>
    </w:p>
    <w:p w14:paraId="2C3384DA" w14:textId="77777777" w:rsidR="000A68ED" w:rsidRPr="00734D3B" w:rsidRDefault="000A68ED" w:rsidP="000A68ED">
      <w:r w:rsidRPr="00734D3B">
        <w:t>2</w:t>
      </w:r>
    </w:p>
    <w:p w14:paraId="4F7C72E4" w14:textId="77777777" w:rsidR="000A68ED" w:rsidRPr="00734D3B" w:rsidRDefault="000A68ED" w:rsidP="000A68ED">
      <w:r w:rsidRPr="00734D3B">
        <w:t>3</w:t>
      </w:r>
    </w:p>
    <w:p w14:paraId="74506A8B" w14:textId="77777777" w:rsidR="000A68ED" w:rsidRPr="00734D3B" w:rsidRDefault="000A68ED" w:rsidP="000A68ED">
      <w:r w:rsidRPr="00734D3B">
        <w:t>4</w:t>
      </w:r>
    </w:p>
    <w:p w14:paraId="4C144EE8" w14:textId="77777777" w:rsidR="000A68ED" w:rsidRPr="00734D3B" w:rsidRDefault="000A68ED" w:rsidP="000A68ED">
      <w:r w:rsidRPr="00734D3B">
        <w:t>5</w:t>
      </w:r>
    </w:p>
    <w:p w14:paraId="4223F039" w14:textId="77777777" w:rsidR="000A68ED" w:rsidRPr="00734D3B" w:rsidRDefault="000A68ED" w:rsidP="000A68ED">
      <w:proofErr w:type="spellStart"/>
      <w:r w:rsidRPr="00734D3B">
        <w:t>Always</w:t>
      </w:r>
      <w:proofErr w:type="spellEnd"/>
      <w:r w:rsidRPr="00734D3B">
        <w:t xml:space="preserve"> / Siempre</w:t>
      </w:r>
    </w:p>
    <w:p w14:paraId="77C3A1A8" w14:textId="77777777" w:rsidR="000A68ED" w:rsidRPr="00734D3B" w:rsidRDefault="000A68ED" w:rsidP="000A68ED">
      <w:r w:rsidRPr="00734D3B">
        <w:t xml:space="preserve">8. </w:t>
      </w:r>
      <w:proofErr w:type="spellStart"/>
      <w:r w:rsidRPr="00734D3B">
        <w:t>There</w:t>
      </w:r>
      <w:proofErr w:type="spellEnd"/>
      <w:r w:rsidRPr="00734D3B">
        <w:t xml:space="preserve"> are </w:t>
      </w:r>
      <w:proofErr w:type="spellStart"/>
      <w:r w:rsidRPr="00734D3B">
        <w:t>labeled</w:t>
      </w:r>
      <w:proofErr w:type="spellEnd"/>
      <w:r w:rsidRPr="00734D3B">
        <w:t xml:space="preserve"> </w:t>
      </w:r>
      <w:proofErr w:type="spellStart"/>
      <w:r w:rsidRPr="00734D3B">
        <w:t>containers</w:t>
      </w:r>
      <w:proofErr w:type="spellEnd"/>
      <w:r w:rsidRPr="00734D3B">
        <w:t>. / Hay contenedores identificados.</w:t>
      </w:r>
    </w:p>
    <w:p w14:paraId="35A5EDBD" w14:textId="77777777" w:rsidR="000A68ED" w:rsidRPr="00734D3B" w:rsidRDefault="000A68ED" w:rsidP="000A68ED">
      <w:r w:rsidRPr="00734D3B">
        <w:t>Never / Nunca</w:t>
      </w:r>
    </w:p>
    <w:p w14:paraId="399E35B1" w14:textId="77777777" w:rsidR="000A68ED" w:rsidRPr="00734D3B" w:rsidRDefault="000A68ED" w:rsidP="000A68ED">
      <w:r w:rsidRPr="00734D3B">
        <w:t>1</w:t>
      </w:r>
    </w:p>
    <w:p w14:paraId="057E8C77" w14:textId="77777777" w:rsidR="000A68ED" w:rsidRPr="00734D3B" w:rsidRDefault="000A68ED" w:rsidP="000A68ED">
      <w:r w:rsidRPr="00734D3B">
        <w:t>2</w:t>
      </w:r>
    </w:p>
    <w:p w14:paraId="62DF5771" w14:textId="77777777" w:rsidR="000A68ED" w:rsidRPr="00734D3B" w:rsidRDefault="000A68ED" w:rsidP="000A68ED">
      <w:r w:rsidRPr="00734D3B">
        <w:t>3</w:t>
      </w:r>
    </w:p>
    <w:p w14:paraId="2D2A7C51" w14:textId="77777777" w:rsidR="000A68ED" w:rsidRPr="00734D3B" w:rsidRDefault="000A68ED" w:rsidP="000A68ED">
      <w:r w:rsidRPr="00734D3B">
        <w:t>4</w:t>
      </w:r>
    </w:p>
    <w:p w14:paraId="51F00957" w14:textId="77777777" w:rsidR="000A68ED" w:rsidRPr="00734D3B" w:rsidRDefault="000A68ED" w:rsidP="000A68ED">
      <w:r w:rsidRPr="00734D3B">
        <w:t>5</w:t>
      </w:r>
    </w:p>
    <w:p w14:paraId="00A32740" w14:textId="77777777" w:rsidR="000A68ED" w:rsidRPr="00734D3B" w:rsidRDefault="000A68ED" w:rsidP="000A68ED">
      <w:proofErr w:type="spellStart"/>
      <w:r w:rsidRPr="00734D3B">
        <w:t>Always</w:t>
      </w:r>
      <w:proofErr w:type="spellEnd"/>
      <w:r w:rsidRPr="00734D3B">
        <w:t xml:space="preserve"> / Siempre</w:t>
      </w:r>
    </w:p>
    <w:p w14:paraId="0E257129" w14:textId="77777777" w:rsidR="000A68ED" w:rsidRPr="00734D3B" w:rsidRDefault="000A68ED" w:rsidP="000A68ED">
      <w:r w:rsidRPr="00734D3B">
        <w:t xml:space="preserve">9. Waste </w:t>
      </w:r>
      <w:proofErr w:type="spellStart"/>
      <w:r w:rsidRPr="00734D3B">
        <w:t>is</w:t>
      </w:r>
      <w:proofErr w:type="spellEnd"/>
      <w:r w:rsidRPr="00734D3B">
        <w:t xml:space="preserve"> </w:t>
      </w:r>
      <w:proofErr w:type="spellStart"/>
      <w:r w:rsidRPr="00734D3B">
        <w:t>recorded</w:t>
      </w:r>
      <w:proofErr w:type="spellEnd"/>
      <w:r w:rsidRPr="00734D3B">
        <w:t>. / Se lleva registro de residuos.</w:t>
      </w:r>
    </w:p>
    <w:p w14:paraId="4A271E15" w14:textId="77777777" w:rsidR="000A68ED" w:rsidRPr="00734D3B" w:rsidRDefault="000A68ED" w:rsidP="000A68ED">
      <w:r w:rsidRPr="00734D3B">
        <w:t>Never / Nunca</w:t>
      </w:r>
    </w:p>
    <w:p w14:paraId="59B9F7F9" w14:textId="77777777" w:rsidR="000A68ED" w:rsidRPr="00734D3B" w:rsidRDefault="000A68ED" w:rsidP="000A68ED">
      <w:r w:rsidRPr="00734D3B">
        <w:t>1</w:t>
      </w:r>
    </w:p>
    <w:p w14:paraId="4E6AFE52" w14:textId="77777777" w:rsidR="000A68ED" w:rsidRPr="00734D3B" w:rsidRDefault="000A68ED" w:rsidP="000A68ED">
      <w:r w:rsidRPr="00734D3B">
        <w:t>2</w:t>
      </w:r>
    </w:p>
    <w:p w14:paraId="79AB7B15" w14:textId="77777777" w:rsidR="000A68ED" w:rsidRPr="00734D3B" w:rsidRDefault="000A68ED" w:rsidP="000A68ED">
      <w:r w:rsidRPr="00734D3B">
        <w:t>3</w:t>
      </w:r>
    </w:p>
    <w:p w14:paraId="429DD907" w14:textId="77777777" w:rsidR="000A68ED" w:rsidRPr="00734D3B" w:rsidRDefault="000A68ED" w:rsidP="000A68ED">
      <w:r w:rsidRPr="00734D3B">
        <w:lastRenderedPageBreak/>
        <w:t>4</w:t>
      </w:r>
    </w:p>
    <w:p w14:paraId="3C9BB9E2" w14:textId="77777777" w:rsidR="000A68ED" w:rsidRPr="00734D3B" w:rsidRDefault="000A68ED" w:rsidP="000A68ED">
      <w:r w:rsidRPr="00734D3B">
        <w:t>5</w:t>
      </w:r>
    </w:p>
    <w:p w14:paraId="3D36F2DC" w14:textId="77777777" w:rsidR="000A68ED" w:rsidRPr="00734D3B" w:rsidRDefault="000A68ED" w:rsidP="000A68ED">
      <w:proofErr w:type="spellStart"/>
      <w:r w:rsidRPr="00734D3B">
        <w:t>Always</w:t>
      </w:r>
      <w:proofErr w:type="spellEnd"/>
      <w:r w:rsidRPr="00734D3B">
        <w:t xml:space="preserve"> / Siempre</w:t>
      </w:r>
    </w:p>
    <w:p w14:paraId="000FC103" w14:textId="77777777" w:rsidR="000A68ED" w:rsidRPr="00734D3B" w:rsidRDefault="000A68ED" w:rsidP="000A68ED">
      <w:proofErr w:type="spellStart"/>
      <w:r w:rsidRPr="00734D3B">
        <w:t>Infrastructure</w:t>
      </w:r>
      <w:proofErr w:type="spellEnd"/>
      <w:r w:rsidRPr="00734D3B">
        <w:t xml:space="preserve"> and </w:t>
      </w:r>
      <w:proofErr w:type="spellStart"/>
      <w:r w:rsidRPr="00734D3B">
        <w:t>Resources</w:t>
      </w:r>
      <w:proofErr w:type="spellEnd"/>
      <w:r w:rsidRPr="00734D3B">
        <w:t xml:space="preserve"> / Infraestructura y Recursos</w:t>
      </w:r>
    </w:p>
    <w:p w14:paraId="776C3075" w14:textId="77777777" w:rsidR="000A68ED" w:rsidRPr="00734D3B" w:rsidRDefault="000A68ED" w:rsidP="000A68ED">
      <w:r w:rsidRPr="00734D3B">
        <w:t xml:space="preserve">10. The </w:t>
      </w:r>
      <w:proofErr w:type="spellStart"/>
      <w:r w:rsidRPr="00734D3B">
        <w:t>supervisors</w:t>
      </w:r>
      <w:proofErr w:type="spellEnd"/>
      <w:r w:rsidRPr="00734D3B">
        <w:t xml:space="preserve"> are </w:t>
      </w:r>
      <w:proofErr w:type="spellStart"/>
      <w:r w:rsidRPr="00734D3B">
        <w:t>trained</w:t>
      </w:r>
      <w:proofErr w:type="spellEnd"/>
      <w:r w:rsidRPr="00734D3B">
        <w:t xml:space="preserve"> </w:t>
      </w:r>
      <w:proofErr w:type="spellStart"/>
      <w:r w:rsidRPr="00734D3B">
        <w:t>to</w:t>
      </w:r>
      <w:proofErr w:type="spellEnd"/>
      <w:r w:rsidRPr="00734D3B">
        <w:t xml:space="preserve"> </w:t>
      </w:r>
      <w:proofErr w:type="spellStart"/>
      <w:r w:rsidRPr="00734D3B">
        <w:t>verify</w:t>
      </w:r>
      <w:proofErr w:type="spellEnd"/>
      <w:r w:rsidRPr="00734D3B">
        <w:t xml:space="preserve"> </w:t>
      </w:r>
      <w:proofErr w:type="spellStart"/>
      <w:r w:rsidRPr="00734D3B">
        <w:t>compliance</w:t>
      </w:r>
      <w:proofErr w:type="spellEnd"/>
      <w:r w:rsidRPr="00734D3B">
        <w:t xml:space="preserve"> </w:t>
      </w:r>
      <w:proofErr w:type="spellStart"/>
      <w:r w:rsidRPr="00734D3B">
        <w:t>with</w:t>
      </w:r>
      <w:proofErr w:type="spellEnd"/>
      <w:r w:rsidRPr="00734D3B">
        <w:t xml:space="preserve"> </w:t>
      </w:r>
      <w:proofErr w:type="spellStart"/>
      <w:r w:rsidRPr="00734D3B">
        <w:t>waste</w:t>
      </w:r>
      <w:proofErr w:type="spellEnd"/>
      <w:r w:rsidRPr="00734D3B">
        <w:t xml:space="preserve"> </w:t>
      </w:r>
      <w:proofErr w:type="spellStart"/>
      <w:r w:rsidRPr="00734D3B">
        <w:t>management</w:t>
      </w:r>
      <w:proofErr w:type="spellEnd"/>
      <w:r w:rsidRPr="00734D3B">
        <w:t xml:space="preserve"> </w:t>
      </w:r>
      <w:proofErr w:type="spellStart"/>
      <w:r w:rsidRPr="00734D3B">
        <w:t>procedures</w:t>
      </w:r>
      <w:proofErr w:type="spellEnd"/>
      <w:r w:rsidRPr="00734D3B">
        <w:t xml:space="preserve">. </w:t>
      </w:r>
      <w:proofErr w:type="gramStart"/>
      <w:r w:rsidRPr="00734D3B">
        <w:t>/  Los</w:t>
      </w:r>
      <w:proofErr w:type="gramEnd"/>
      <w:r w:rsidRPr="00734D3B">
        <w:t xml:space="preserve"> supervisores están capacitados para verificar el cumplimiento de la gestión de residuos.</w:t>
      </w:r>
    </w:p>
    <w:p w14:paraId="6DC33A50" w14:textId="77777777" w:rsidR="000A68ED" w:rsidRPr="00734D3B" w:rsidRDefault="000A68ED" w:rsidP="000A68ED">
      <w:r w:rsidRPr="00734D3B">
        <w:t>Never / Nunca</w:t>
      </w:r>
    </w:p>
    <w:p w14:paraId="75A0FA0F" w14:textId="77777777" w:rsidR="000A68ED" w:rsidRPr="00734D3B" w:rsidRDefault="000A68ED" w:rsidP="000A68ED">
      <w:r w:rsidRPr="00734D3B">
        <w:t>1</w:t>
      </w:r>
    </w:p>
    <w:p w14:paraId="3BA5F9FA" w14:textId="77777777" w:rsidR="000A68ED" w:rsidRPr="00734D3B" w:rsidRDefault="000A68ED" w:rsidP="000A68ED">
      <w:r w:rsidRPr="00734D3B">
        <w:t>2</w:t>
      </w:r>
    </w:p>
    <w:p w14:paraId="6973AE48" w14:textId="77777777" w:rsidR="000A68ED" w:rsidRPr="00734D3B" w:rsidRDefault="000A68ED" w:rsidP="000A68ED">
      <w:r w:rsidRPr="00734D3B">
        <w:t>3</w:t>
      </w:r>
    </w:p>
    <w:p w14:paraId="15F1DE6B" w14:textId="77777777" w:rsidR="000A68ED" w:rsidRPr="00734D3B" w:rsidRDefault="000A68ED" w:rsidP="000A68ED">
      <w:r w:rsidRPr="00734D3B">
        <w:t>4</w:t>
      </w:r>
    </w:p>
    <w:p w14:paraId="7AEE75AD" w14:textId="77777777" w:rsidR="000A68ED" w:rsidRPr="00734D3B" w:rsidRDefault="000A68ED" w:rsidP="000A68ED">
      <w:r w:rsidRPr="00734D3B">
        <w:t>5</w:t>
      </w:r>
    </w:p>
    <w:p w14:paraId="292560A4" w14:textId="77777777" w:rsidR="000A68ED" w:rsidRPr="00734D3B" w:rsidRDefault="000A68ED" w:rsidP="000A68ED">
      <w:proofErr w:type="spellStart"/>
      <w:r w:rsidRPr="00734D3B">
        <w:t>Always</w:t>
      </w:r>
      <w:proofErr w:type="spellEnd"/>
      <w:r w:rsidRPr="00734D3B">
        <w:t xml:space="preserve"> / Siempre</w:t>
      </w:r>
    </w:p>
    <w:p w14:paraId="19F9318C" w14:textId="77777777" w:rsidR="000A68ED" w:rsidRPr="00734D3B" w:rsidRDefault="000A68ED" w:rsidP="000A68ED">
      <w:r w:rsidRPr="00734D3B">
        <w:t xml:space="preserve">11. The </w:t>
      </w:r>
      <w:proofErr w:type="spellStart"/>
      <w:r w:rsidRPr="00734D3B">
        <w:t>company</w:t>
      </w:r>
      <w:proofErr w:type="spellEnd"/>
      <w:r w:rsidRPr="00734D3B">
        <w:t xml:space="preserve"> has </w:t>
      </w:r>
      <w:proofErr w:type="spellStart"/>
      <w:r w:rsidRPr="00734D3B">
        <w:t>designated</w:t>
      </w:r>
      <w:proofErr w:type="spellEnd"/>
      <w:r w:rsidRPr="00734D3B">
        <w:t xml:space="preserve"> </w:t>
      </w:r>
      <w:proofErr w:type="spellStart"/>
      <w:r w:rsidRPr="00734D3B">
        <w:t>areas</w:t>
      </w:r>
      <w:proofErr w:type="spellEnd"/>
      <w:r w:rsidRPr="00734D3B">
        <w:t xml:space="preserve"> </w:t>
      </w:r>
      <w:proofErr w:type="spellStart"/>
      <w:r w:rsidRPr="00734D3B">
        <w:t>for</w:t>
      </w:r>
      <w:proofErr w:type="spellEnd"/>
      <w:r w:rsidRPr="00734D3B">
        <w:t xml:space="preserve"> </w:t>
      </w:r>
      <w:proofErr w:type="spellStart"/>
      <w:r w:rsidRPr="00734D3B">
        <w:t>temporary</w:t>
      </w:r>
      <w:proofErr w:type="spellEnd"/>
      <w:r w:rsidRPr="00734D3B">
        <w:t xml:space="preserve"> </w:t>
      </w:r>
      <w:proofErr w:type="spellStart"/>
      <w:r w:rsidRPr="00734D3B">
        <w:t>storage</w:t>
      </w:r>
      <w:proofErr w:type="spellEnd"/>
      <w:r w:rsidRPr="00734D3B">
        <w:t xml:space="preserve"> </w:t>
      </w:r>
      <w:proofErr w:type="spellStart"/>
      <w:r w:rsidRPr="00734D3B">
        <w:t>of</w:t>
      </w:r>
      <w:proofErr w:type="spellEnd"/>
      <w:r w:rsidRPr="00734D3B">
        <w:t xml:space="preserve"> </w:t>
      </w:r>
      <w:proofErr w:type="spellStart"/>
      <w:r w:rsidRPr="00734D3B">
        <w:t>waste</w:t>
      </w:r>
      <w:proofErr w:type="spellEnd"/>
      <w:r w:rsidRPr="00734D3B">
        <w:t>. / La empresa cuenta con áreas designadas para almacenamiento temporal de residuos.</w:t>
      </w:r>
    </w:p>
    <w:p w14:paraId="643D758F" w14:textId="77777777" w:rsidR="000A68ED" w:rsidRPr="00734D3B" w:rsidRDefault="000A68ED" w:rsidP="000A68ED">
      <w:r w:rsidRPr="00734D3B">
        <w:t>Never / Nunca</w:t>
      </w:r>
    </w:p>
    <w:p w14:paraId="24D3CB43" w14:textId="77777777" w:rsidR="000A68ED" w:rsidRPr="00734D3B" w:rsidRDefault="000A68ED" w:rsidP="000A68ED">
      <w:r w:rsidRPr="00734D3B">
        <w:t>1</w:t>
      </w:r>
    </w:p>
    <w:p w14:paraId="6C299AC9" w14:textId="77777777" w:rsidR="000A68ED" w:rsidRPr="00734D3B" w:rsidRDefault="000A68ED" w:rsidP="000A68ED">
      <w:r w:rsidRPr="00734D3B">
        <w:t>2</w:t>
      </w:r>
    </w:p>
    <w:p w14:paraId="1323FBDF" w14:textId="77777777" w:rsidR="000A68ED" w:rsidRPr="00734D3B" w:rsidRDefault="000A68ED" w:rsidP="000A68ED">
      <w:r w:rsidRPr="00734D3B">
        <w:t>3</w:t>
      </w:r>
    </w:p>
    <w:p w14:paraId="66824E62" w14:textId="77777777" w:rsidR="000A68ED" w:rsidRPr="00734D3B" w:rsidRDefault="000A68ED" w:rsidP="000A68ED">
      <w:r w:rsidRPr="00734D3B">
        <w:t>4</w:t>
      </w:r>
    </w:p>
    <w:p w14:paraId="30060488" w14:textId="77777777" w:rsidR="000A68ED" w:rsidRPr="00734D3B" w:rsidRDefault="000A68ED" w:rsidP="000A68ED">
      <w:r w:rsidRPr="00734D3B">
        <w:t>5</w:t>
      </w:r>
    </w:p>
    <w:p w14:paraId="71E8A3B4" w14:textId="77777777" w:rsidR="000A68ED" w:rsidRPr="00734D3B" w:rsidRDefault="000A68ED" w:rsidP="000A68ED">
      <w:proofErr w:type="spellStart"/>
      <w:r w:rsidRPr="00734D3B">
        <w:t>Always</w:t>
      </w:r>
      <w:proofErr w:type="spellEnd"/>
      <w:r w:rsidRPr="00734D3B">
        <w:t xml:space="preserve"> / Siempre</w:t>
      </w:r>
    </w:p>
    <w:p w14:paraId="04DD297B" w14:textId="77777777" w:rsidR="000A68ED" w:rsidRPr="00734D3B" w:rsidRDefault="000A68ED" w:rsidP="000A68ED">
      <w:proofErr w:type="spellStart"/>
      <w:r w:rsidRPr="00734D3B">
        <w:t>Regulatory</w:t>
      </w:r>
      <w:proofErr w:type="spellEnd"/>
      <w:r w:rsidRPr="00734D3B">
        <w:t xml:space="preserve"> </w:t>
      </w:r>
      <w:proofErr w:type="spellStart"/>
      <w:r w:rsidRPr="00734D3B">
        <w:t>compliance</w:t>
      </w:r>
      <w:proofErr w:type="spellEnd"/>
      <w:r w:rsidRPr="00734D3B">
        <w:t xml:space="preserve"> and </w:t>
      </w:r>
      <w:proofErr w:type="spellStart"/>
      <w:r w:rsidRPr="00734D3B">
        <w:t>risks</w:t>
      </w:r>
      <w:proofErr w:type="spellEnd"/>
      <w:r w:rsidRPr="00734D3B">
        <w:t xml:space="preserve"> / Cumplimiento normativo y riesgos</w:t>
      </w:r>
    </w:p>
    <w:p w14:paraId="338CF52D" w14:textId="77777777" w:rsidR="000A68ED" w:rsidRPr="00734D3B" w:rsidRDefault="000A68ED" w:rsidP="000A68ED">
      <w:r w:rsidRPr="00734D3B">
        <w:lastRenderedPageBreak/>
        <w:t xml:space="preserve">12.  The </w:t>
      </w:r>
      <w:proofErr w:type="spellStart"/>
      <w:r w:rsidRPr="00734D3B">
        <w:t>company</w:t>
      </w:r>
      <w:proofErr w:type="spellEnd"/>
      <w:r w:rsidRPr="00734D3B">
        <w:t xml:space="preserve"> </w:t>
      </w:r>
      <w:proofErr w:type="spellStart"/>
      <w:r w:rsidRPr="00734D3B">
        <w:t>is</w:t>
      </w:r>
      <w:proofErr w:type="spellEnd"/>
      <w:r w:rsidRPr="00734D3B">
        <w:t xml:space="preserve"> familiar </w:t>
      </w:r>
      <w:proofErr w:type="spellStart"/>
      <w:r w:rsidRPr="00734D3B">
        <w:t>with</w:t>
      </w:r>
      <w:proofErr w:type="spellEnd"/>
      <w:r w:rsidRPr="00734D3B">
        <w:t xml:space="preserve"> </w:t>
      </w:r>
      <w:proofErr w:type="spellStart"/>
      <w:r w:rsidRPr="00734D3B">
        <w:t>the</w:t>
      </w:r>
      <w:proofErr w:type="spellEnd"/>
      <w:r w:rsidRPr="00734D3B">
        <w:t xml:space="preserve"> </w:t>
      </w:r>
      <w:proofErr w:type="spellStart"/>
      <w:r w:rsidRPr="00734D3B">
        <w:t>environmental</w:t>
      </w:r>
      <w:proofErr w:type="spellEnd"/>
      <w:r w:rsidRPr="00734D3B">
        <w:t xml:space="preserve"> </w:t>
      </w:r>
      <w:proofErr w:type="spellStart"/>
      <w:r w:rsidRPr="00734D3B">
        <w:t>regulations</w:t>
      </w:r>
      <w:proofErr w:type="spellEnd"/>
      <w:r w:rsidRPr="00734D3B">
        <w:t xml:space="preserve"> </w:t>
      </w:r>
      <w:proofErr w:type="spellStart"/>
      <w:r w:rsidRPr="00734D3B">
        <w:t>applicable</w:t>
      </w:r>
      <w:proofErr w:type="spellEnd"/>
      <w:r w:rsidRPr="00734D3B">
        <w:t xml:space="preserve"> in Arizona </w:t>
      </w:r>
      <w:proofErr w:type="spellStart"/>
      <w:r w:rsidRPr="00734D3B">
        <w:t>for</w:t>
      </w:r>
      <w:proofErr w:type="spellEnd"/>
      <w:r w:rsidRPr="00734D3B">
        <w:t xml:space="preserve"> </w:t>
      </w:r>
      <w:proofErr w:type="spellStart"/>
      <w:r w:rsidRPr="00734D3B">
        <w:t>electrical</w:t>
      </w:r>
      <w:proofErr w:type="spellEnd"/>
      <w:r w:rsidRPr="00734D3B">
        <w:t xml:space="preserve"> </w:t>
      </w:r>
      <w:proofErr w:type="spellStart"/>
      <w:r w:rsidRPr="00734D3B">
        <w:t>projects</w:t>
      </w:r>
      <w:proofErr w:type="spellEnd"/>
      <w:r w:rsidRPr="00734D3B">
        <w:t>. / La empresa conoce la normativa ambiental aplicable en Arizona para proyectos eléctricos.</w:t>
      </w:r>
    </w:p>
    <w:p w14:paraId="306C2B4F" w14:textId="77777777" w:rsidR="000A68ED" w:rsidRPr="00734D3B" w:rsidRDefault="000A68ED" w:rsidP="000A68ED">
      <w:r w:rsidRPr="00734D3B">
        <w:t>Never / Nunca</w:t>
      </w:r>
    </w:p>
    <w:p w14:paraId="40C636BD" w14:textId="77777777" w:rsidR="000A68ED" w:rsidRPr="00734D3B" w:rsidRDefault="000A68ED" w:rsidP="000A68ED">
      <w:r w:rsidRPr="00734D3B">
        <w:t>1</w:t>
      </w:r>
    </w:p>
    <w:p w14:paraId="0F2EBD9D" w14:textId="77777777" w:rsidR="000A68ED" w:rsidRPr="00734D3B" w:rsidRDefault="000A68ED" w:rsidP="000A68ED">
      <w:r w:rsidRPr="00734D3B">
        <w:t>2</w:t>
      </w:r>
    </w:p>
    <w:p w14:paraId="0F2CF86B" w14:textId="77777777" w:rsidR="000A68ED" w:rsidRPr="00734D3B" w:rsidRDefault="000A68ED" w:rsidP="000A68ED">
      <w:r w:rsidRPr="00734D3B">
        <w:t>3</w:t>
      </w:r>
    </w:p>
    <w:p w14:paraId="4B42E62E" w14:textId="77777777" w:rsidR="000A68ED" w:rsidRPr="00734D3B" w:rsidRDefault="000A68ED" w:rsidP="000A68ED">
      <w:r w:rsidRPr="00734D3B">
        <w:t>4</w:t>
      </w:r>
    </w:p>
    <w:p w14:paraId="60854D39" w14:textId="77777777" w:rsidR="000A68ED" w:rsidRPr="00734D3B" w:rsidRDefault="000A68ED" w:rsidP="000A68ED">
      <w:r w:rsidRPr="00734D3B">
        <w:t>5</w:t>
      </w:r>
    </w:p>
    <w:p w14:paraId="74F06DBA" w14:textId="77777777" w:rsidR="000A68ED" w:rsidRPr="00734D3B" w:rsidRDefault="000A68ED" w:rsidP="000A68ED">
      <w:proofErr w:type="spellStart"/>
      <w:r w:rsidRPr="00734D3B">
        <w:t>Always</w:t>
      </w:r>
      <w:proofErr w:type="spellEnd"/>
      <w:r w:rsidRPr="00734D3B">
        <w:t xml:space="preserve"> / Siempre</w:t>
      </w:r>
    </w:p>
    <w:p w14:paraId="46AE7999" w14:textId="61F6B0B1" w:rsidR="000A68ED" w:rsidRPr="00734D3B" w:rsidRDefault="000A68ED" w:rsidP="000A68ED">
      <w:r w:rsidRPr="00734D3B">
        <w:t xml:space="preserve">13.   </w:t>
      </w:r>
      <w:proofErr w:type="spellStart"/>
      <w:r w:rsidRPr="00734D3B">
        <w:t>Sanctions</w:t>
      </w:r>
      <w:proofErr w:type="spellEnd"/>
      <w:r w:rsidRPr="00734D3B">
        <w:t xml:space="preserve"> </w:t>
      </w:r>
      <w:proofErr w:type="spellStart"/>
      <w:r w:rsidRPr="00734D3B">
        <w:t>or</w:t>
      </w:r>
      <w:proofErr w:type="spellEnd"/>
      <w:r w:rsidRPr="00734D3B">
        <w:t xml:space="preserve"> </w:t>
      </w:r>
      <w:proofErr w:type="spellStart"/>
      <w:r w:rsidRPr="00734D3B">
        <w:t>warnings</w:t>
      </w:r>
      <w:proofErr w:type="spellEnd"/>
      <w:r w:rsidRPr="00734D3B">
        <w:t xml:space="preserve"> </w:t>
      </w:r>
      <w:proofErr w:type="spellStart"/>
      <w:r w:rsidRPr="00734D3B">
        <w:t>have</w:t>
      </w:r>
      <w:proofErr w:type="spellEnd"/>
      <w:r w:rsidRPr="00734D3B">
        <w:t xml:space="preserve"> </w:t>
      </w:r>
      <w:proofErr w:type="spellStart"/>
      <w:r w:rsidRPr="00734D3B">
        <w:t>been</w:t>
      </w:r>
      <w:proofErr w:type="spellEnd"/>
      <w:r w:rsidRPr="00734D3B">
        <w:t xml:space="preserve"> </w:t>
      </w:r>
      <w:proofErr w:type="spellStart"/>
      <w:r w:rsidRPr="00734D3B">
        <w:t>issued</w:t>
      </w:r>
      <w:proofErr w:type="spellEnd"/>
      <w:r w:rsidRPr="00734D3B">
        <w:t xml:space="preserve"> </w:t>
      </w:r>
      <w:proofErr w:type="spellStart"/>
      <w:r w:rsidRPr="00734D3B">
        <w:t>for</w:t>
      </w:r>
      <w:proofErr w:type="spellEnd"/>
      <w:r w:rsidRPr="00734D3B">
        <w:t xml:space="preserve"> </w:t>
      </w:r>
      <w:proofErr w:type="spellStart"/>
      <w:r w:rsidRPr="00734D3B">
        <w:t>poor</w:t>
      </w:r>
      <w:proofErr w:type="spellEnd"/>
      <w:r w:rsidRPr="00734D3B">
        <w:t xml:space="preserve"> </w:t>
      </w:r>
      <w:proofErr w:type="spellStart"/>
      <w:r w:rsidRPr="00734D3B">
        <w:t>waste</w:t>
      </w:r>
      <w:proofErr w:type="spellEnd"/>
      <w:r w:rsidRPr="00734D3B">
        <w:t xml:space="preserve"> </w:t>
      </w:r>
      <w:proofErr w:type="spellStart"/>
      <w:r w:rsidRPr="00734D3B">
        <w:t>management</w:t>
      </w:r>
      <w:proofErr w:type="spellEnd"/>
      <w:r w:rsidR="00845594" w:rsidRPr="00734D3B">
        <w:t xml:space="preserve">. </w:t>
      </w:r>
      <w:r w:rsidRPr="00734D3B">
        <w:t>/ Se han presentado sanciones o llamados de atención por mala gestión de residuos.</w:t>
      </w:r>
    </w:p>
    <w:p w14:paraId="5AC1DADF" w14:textId="77777777" w:rsidR="000A68ED" w:rsidRPr="00734D3B" w:rsidRDefault="000A68ED" w:rsidP="000A68ED">
      <w:r w:rsidRPr="00734D3B">
        <w:t>Never / Nunca</w:t>
      </w:r>
    </w:p>
    <w:p w14:paraId="59F68D7A" w14:textId="77777777" w:rsidR="000A68ED" w:rsidRPr="00734D3B" w:rsidRDefault="000A68ED" w:rsidP="000A68ED">
      <w:r w:rsidRPr="00734D3B">
        <w:t>1</w:t>
      </w:r>
    </w:p>
    <w:p w14:paraId="629E73CF" w14:textId="77777777" w:rsidR="000A68ED" w:rsidRPr="00734D3B" w:rsidRDefault="000A68ED" w:rsidP="000A68ED">
      <w:r w:rsidRPr="00734D3B">
        <w:t>2</w:t>
      </w:r>
    </w:p>
    <w:p w14:paraId="73CDBB04" w14:textId="77777777" w:rsidR="000A68ED" w:rsidRPr="00734D3B" w:rsidRDefault="000A68ED" w:rsidP="000A68ED">
      <w:r w:rsidRPr="00734D3B">
        <w:t>3</w:t>
      </w:r>
    </w:p>
    <w:p w14:paraId="368C7B18" w14:textId="77777777" w:rsidR="000A68ED" w:rsidRPr="00734D3B" w:rsidRDefault="000A68ED" w:rsidP="000A68ED">
      <w:r w:rsidRPr="00734D3B">
        <w:t>4</w:t>
      </w:r>
    </w:p>
    <w:p w14:paraId="465B1E43" w14:textId="77777777" w:rsidR="000A68ED" w:rsidRPr="00734D3B" w:rsidRDefault="000A68ED" w:rsidP="000A68ED">
      <w:r w:rsidRPr="00734D3B">
        <w:t>5</w:t>
      </w:r>
    </w:p>
    <w:p w14:paraId="30A4C250" w14:textId="77777777" w:rsidR="000A68ED" w:rsidRPr="00734D3B" w:rsidRDefault="000A68ED" w:rsidP="000A68ED">
      <w:proofErr w:type="spellStart"/>
      <w:r w:rsidRPr="00734D3B">
        <w:t>Always</w:t>
      </w:r>
      <w:proofErr w:type="spellEnd"/>
      <w:r w:rsidRPr="00734D3B">
        <w:t xml:space="preserve"> / Siempre</w:t>
      </w:r>
    </w:p>
    <w:p w14:paraId="3BBF45F6" w14:textId="77777777" w:rsidR="000A68ED" w:rsidRPr="00734D3B" w:rsidRDefault="000A68ED" w:rsidP="000A68ED">
      <w:r w:rsidRPr="00734D3B">
        <w:t>Training and culture / Capacitación y cultura</w:t>
      </w:r>
    </w:p>
    <w:p w14:paraId="33EBD279" w14:textId="77777777" w:rsidR="000A68ED" w:rsidRPr="00734D3B" w:rsidRDefault="000A68ED" w:rsidP="000A68ED">
      <w:r w:rsidRPr="00734D3B">
        <w:t xml:space="preserve">14. </w:t>
      </w:r>
      <w:proofErr w:type="spellStart"/>
      <w:r w:rsidRPr="00734D3B">
        <w:t>There</w:t>
      </w:r>
      <w:proofErr w:type="spellEnd"/>
      <w:r w:rsidRPr="00734D3B">
        <w:t xml:space="preserve"> </w:t>
      </w:r>
      <w:proofErr w:type="spellStart"/>
      <w:r w:rsidRPr="00734D3B">
        <w:t>is</w:t>
      </w:r>
      <w:proofErr w:type="spellEnd"/>
      <w:r w:rsidRPr="00734D3B">
        <w:t xml:space="preserve"> </w:t>
      </w:r>
      <w:proofErr w:type="spellStart"/>
      <w:r w:rsidRPr="00734D3B">
        <w:t>sustainability</w:t>
      </w:r>
      <w:proofErr w:type="spellEnd"/>
      <w:r w:rsidRPr="00734D3B">
        <w:t xml:space="preserve"> training. / Existe capacitación en sostenibilidad.</w:t>
      </w:r>
    </w:p>
    <w:p w14:paraId="18FD8A83" w14:textId="77777777" w:rsidR="000A68ED" w:rsidRPr="00734D3B" w:rsidRDefault="000A68ED" w:rsidP="000A68ED">
      <w:r w:rsidRPr="00734D3B">
        <w:t>Never / Nunca</w:t>
      </w:r>
    </w:p>
    <w:p w14:paraId="51B77890" w14:textId="77777777" w:rsidR="000A68ED" w:rsidRPr="00734D3B" w:rsidRDefault="000A68ED" w:rsidP="000A68ED">
      <w:r w:rsidRPr="00734D3B">
        <w:t>1</w:t>
      </w:r>
    </w:p>
    <w:p w14:paraId="06991644" w14:textId="77777777" w:rsidR="000A68ED" w:rsidRPr="00734D3B" w:rsidRDefault="000A68ED" w:rsidP="000A68ED">
      <w:r w:rsidRPr="00734D3B">
        <w:t>2</w:t>
      </w:r>
    </w:p>
    <w:p w14:paraId="39F7DC09" w14:textId="77777777" w:rsidR="000A68ED" w:rsidRPr="00734D3B" w:rsidRDefault="000A68ED" w:rsidP="000A68ED">
      <w:r w:rsidRPr="00734D3B">
        <w:t>3</w:t>
      </w:r>
    </w:p>
    <w:p w14:paraId="74C11AFC" w14:textId="77777777" w:rsidR="000A68ED" w:rsidRPr="00734D3B" w:rsidRDefault="000A68ED" w:rsidP="000A68ED">
      <w:r w:rsidRPr="00734D3B">
        <w:lastRenderedPageBreak/>
        <w:t>4</w:t>
      </w:r>
    </w:p>
    <w:p w14:paraId="2F352DF5" w14:textId="77777777" w:rsidR="000A68ED" w:rsidRPr="00734D3B" w:rsidRDefault="000A68ED" w:rsidP="000A68ED">
      <w:r w:rsidRPr="00734D3B">
        <w:t>5</w:t>
      </w:r>
    </w:p>
    <w:p w14:paraId="2630E5F3" w14:textId="77777777" w:rsidR="000A68ED" w:rsidRPr="00734D3B" w:rsidRDefault="000A68ED" w:rsidP="000A68ED">
      <w:proofErr w:type="spellStart"/>
      <w:r w:rsidRPr="00734D3B">
        <w:t>Always</w:t>
      </w:r>
      <w:proofErr w:type="spellEnd"/>
      <w:r w:rsidRPr="00734D3B">
        <w:t xml:space="preserve"> / Siempre</w:t>
      </w:r>
    </w:p>
    <w:p w14:paraId="3CF25BDE" w14:textId="77777777" w:rsidR="000A68ED" w:rsidRPr="00734D3B" w:rsidRDefault="000A68ED" w:rsidP="000A68ED">
      <w:r w:rsidRPr="00734D3B">
        <w:t xml:space="preserve">15. Management </w:t>
      </w:r>
      <w:proofErr w:type="spellStart"/>
      <w:r w:rsidRPr="00734D3B">
        <w:t>promotes</w:t>
      </w:r>
      <w:proofErr w:type="spellEnd"/>
      <w:r w:rsidRPr="00734D3B">
        <w:t xml:space="preserve"> </w:t>
      </w:r>
      <w:proofErr w:type="spellStart"/>
      <w:r w:rsidRPr="00734D3B">
        <w:t>sustainability</w:t>
      </w:r>
      <w:proofErr w:type="spellEnd"/>
      <w:r w:rsidRPr="00734D3B">
        <w:t>. / La gerencia promueve sostenibilidad.</w:t>
      </w:r>
    </w:p>
    <w:p w14:paraId="7D5A4246" w14:textId="77777777" w:rsidR="000A68ED" w:rsidRPr="00734D3B" w:rsidRDefault="000A68ED" w:rsidP="000A68ED">
      <w:r w:rsidRPr="00734D3B">
        <w:t>Never / Nunca</w:t>
      </w:r>
    </w:p>
    <w:p w14:paraId="0AAD60DB" w14:textId="77777777" w:rsidR="000A68ED" w:rsidRPr="00734D3B" w:rsidRDefault="000A68ED" w:rsidP="000A68ED">
      <w:r w:rsidRPr="00734D3B">
        <w:t>1</w:t>
      </w:r>
    </w:p>
    <w:p w14:paraId="38697AEA" w14:textId="77777777" w:rsidR="000A68ED" w:rsidRPr="00734D3B" w:rsidRDefault="000A68ED" w:rsidP="000A68ED">
      <w:r w:rsidRPr="00734D3B">
        <w:t>2</w:t>
      </w:r>
    </w:p>
    <w:p w14:paraId="419D362E" w14:textId="77777777" w:rsidR="000A68ED" w:rsidRPr="00734D3B" w:rsidRDefault="000A68ED" w:rsidP="000A68ED">
      <w:r w:rsidRPr="00734D3B">
        <w:t>3</w:t>
      </w:r>
    </w:p>
    <w:p w14:paraId="47344E04" w14:textId="77777777" w:rsidR="000A68ED" w:rsidRPr="00734D3B" w:rsidRDefault="000A68ED" w:rsidP="000A68ED">
      <w:r w:rsidRPr="00734D3B">
        <w:t>4</w:t>
      </w:r>
    </w:p>
    <w:p w14:paraId="3CA1B7FC" w14:textId="77777777" w:rsidR="000A68ED" w:rsidRPr="00734D3B" w:rsidRDefault="000A68ED" w:rsidP="000A68ED">
      <w:r w:rsidRPr="00734D3B">
        <w:t>5</w:t>
      </w:r>
    </w:p>
    <w:p w14:paraId="231C11CB" w14:textId="77777777" w:rsidR="000A68ED" w:rsidRPr="00734D3B" w:rsidRDefault="000A68ED" w:rsidP="000A68ED">
      <w:proofErr w:type="spellStart"/>
      <w:r w:rsidRPr="00734D3B">
        <w:t>Always</w:t>
      </w:r>
      <w:proofErr w:type="spellEnd"/>
      <w:r w:rsidRPr="00734D3B">
        <w:t xml:space="preserve"> / Siempre</w:t>
      </w:r>
    </w:p>
    <w:p w14:paraId="06E36B05" w14:textId="77777777" w:rsidR="000A68ED" w:rsidRPr="00734D3B" w:rsidRDefault="000A68ED" w:rsidP="000A68ED">
      <w:proofErr w:type="spellStart"/>
      <w:r w:rsidRPr="00734D3B">
        <w:t>Barriers</w:t>
      </w:r>
      <w:proofErr w:type="spellEnd"/>
      <w:r w:rsidRPr="00734D3B">
        <w:t xml:space="preserve"> / Barreras</w:t>
      </w:r>
    </w:p>
    <w:p w14:paraId="5D8D6339" w14:textId="77777777" w:rsidR="000A68ED" w:rsidRPr="00734D3B" w:rsidRDefault="000A68ED" w:rsidP="000A68ED">
      <w:r w:rsidRPr="00734D3B">
        <w:t xml:space="preserve">16. Schedule </w:t>
      </w:r>
      <w:proofErr w:type="spellStart"/>
      <w:r w:rsidRPr="00734D3B">
        <w:t>pressure</w:t>
      </w:r>
      <w:proofErr w:type="spellEnd"/>
      <w:r w:rsidRPr="00734D3B">
        <w:t xml:space="preserve"> </w:t>
      </w:r>
      <w:proofErr w:type="spellStart"/>
      <w:r w:rsidRPr="00734D3B">
        <w:t>makes</w:t>
      </w:r>
      <w:proofErr w:type="spellEnd"/>
      <w:r w:rsidRPr="00734D3B">
        <w:t xml:space="preserve"> </w:t>
      </w:r>
      <w:proofErr w:type="spellStart"/>
      <w:r w:rsidRPr="00734D3B">
        <w:t>sustainability</w:t>
      </w:r>
      <w:proofErr w:type="spellEnd"/>
      <w:r w:rsidRPr="00734D3B">
        <w:t xml:space="preserve"> </w:t>
      </w:r>
      <w:proofErr w:type="spellStart"/>
      <w:r w:rsidRPr="00734D3B">
        <w:t>difficult</w:t>
      </w:r>
      <w:proofErr w:type="spellEnd"/>
      <w:r w:rsidRPr="00734D3B">
        <w:t>. / La presión de tiempo dificulta la sostenibilidad.</w:t>
      </w:r>
    </w:p>
    <w:p w14:paraId="56AA040D" w14:textId="77777777" w:rsidR="000A68ED" w:rsidRPr="00734D3B" w:rsidRDefault="000A68ED" w:rsidP="000A68ED">
      <w:r w:rsidRPr="00734D3B">
        <w:t>Never / Nunca</w:t>
      </w:r>
    </w:p>
    <w:p w14:paraId="536A3CE4" w14:textId="77777777" w:rsidR="000A68ED" w:rsidRPr="00734D3B" w:rsidRDefault="000A68ED" w:rsidP="000A68ED">
      <w:r w:rsidRPr="00734D3B">
        <w:t>1</w:t>
      </w:r>
    </w:p>
    <w:p w14:paraId="2DAECC53" w14:textId="77777777" w:rsidR="000A68ED" w:rsidRPr="00734D3B" w:rsidRDefault="000A68ED" w:rsidP="000A68ED">
      <w:r w:rsidRPr="00734D3B">
        <w:t>2</w:t>
      </w:r>
    </w:p>
    <w:p w14:paraId="25E1494C" w14:textId="77777777" w:rsidR="000A68ED" w:rsidRPr="00734D3B" w:rsidRDefault="000A68ED" w:rsidP="000A68ED">
      <w:r w:rsidRPr="00734D3B">
        <w:t>3</w:t>
      </w:r>
    </w:p>
    <w:p w14:paraId="4EC5A47A" w14:textId="77777777" w:rsidR="000A68ED" w:rsidRPr="00734D3B" w:rsidRDefault="000A68ED" w:rsidP="000A68ED">
      <w:r w:rsidRPr="00734D3B">
        <w:t>4</w:t>
      </w:r>
    </w:p>
    <w:p w14:paraId="0F43BB2F" w14:textId="77777777" w:rsidR="000A68ED" w:rsidRPr="00734D3B" w:rsidRDefault="000A68ED" w:rsidP="000A68ED">
      <w:r w:rsidRPr="00734D3B">
        <w:t>5</w:t>
      </w:r>
    </w:p>
    <w:p w14:paraId="3470ABE7" w14:textId="77777777" w:rsidR="000A68ED" w:rsidRPr="00734D3B" w:rsidRDefault="000A68ED" w:rsidP="000A68ED">
      <w:proofErr w:type="spellStart"/>
      <w:r w:rsidRPr="00734D3B">
        <w:t>Always</w:t>
      </w:r>
      <w:proofErr w:type="spellEnd"/>
      <w:r w:rsidRPr="00734D3B">
        <w:t xml:space="preserve"> / Siempre</w:t>
      </w:r>
    </w:p>
    <w:p w14:paraId="617F8EBD" w14:textId="77777777" w:rsidR="000A68ED" w:rsidRPr="00734D3B" w:rsidRDefault="000A68ED" w:rsidP="000A68ED">
      <w:r w:rsidRPr="00734D3B">
        <w:t xml:space="preserve">17. </w:t>
      </w:r>
      <w:proofErr w:type="spellStart"/>
      <w:r w:rsidRPr="00734D3B">
        <w:t>Sustainability</w:t>
      </w:r>
      <w:proofErr w:type="spellEnd"/>
      <w:r w:rsidRPr="00734D3B">
        <w:t xml:space="preserve"> </w:t>
      </w:r>
      <w:proofErr w:type="spellStart"/>
      <w:r w:rsidRPr="00734D3B">
        <w:t>increases</w:t>
      </w:r>
      <w:proofErr w:type="spellEnd"/>
      <w:r w:rsidRPr="00734D3B">
        <w:t xml:space="preserve"> </w:t>
      </w:r>
      <w:proofErr w:type="spellStart"/>
      <w:r w:rsidRPr="00734D3B">
        <w:t>project</w:t>
      </w:r>
      <w:proofErr w:type="spellEnd"/>
      <w:r w:rsidRPr="00734D3B">
        <w:t xml:space="preserve"> </w:t>
      </w:r>
      <w:proofErr w:type="spellStart"/>
      <w:r w:rsidRPr="00734D3B">
        <w:t>costs</w:t>
      </w:r>
      <w:proofErr w:type="spellEnd"/>
      <w:r w:rsidRPr="00734D3B">
        <w:t>. / La sostenibilidad incrementa costos.</w:t>
      </w:r>
    </w:p>
    <w:p w14:paraId="429EE2E5" w14:textId="77777777" w:rsidR="000A68ED" w:rsidRPr="00734D3B" w:rsidRDefault="000A68ED" w:rsidP="000A68ED">
      <w:r w:rsidRPr="00734D3B">
        <w:t>Never / Nunca</w:t>
      </w:r>
    </w:p>
    <w:p w14:paraId="647337D7" w14:textId="77777777" w:rsidR="000A68ED" w:rsidRPr="00734D3B" w:rsidRDefault="000A68ED" w:rsidP="000A68ED">
      <w:r w:rsidRPr="00734D3B">
        <w:t>1</w:t>
      </w:r>
    </w:p>
    <w:p w14:paraId="33322C57" w14:textId="77777777" w:rsidR="000A68ED" w:rsidRPr="00734D3B" w:rsidRDefault="000A68ED" w:rsidP="000A68ED">
      <w:r w:rsidRPr="00734D3B">
        <w:t>2</w:t>
      </w:r>
    </w:p>
    <w:p w14:paraId="26DBDB66" w14:textId="77777777" w:rsidR="000A68ED" w:rsidRPr="00734D3B" w:rsidRDefault="000A68ED" w:rsidP="000A68ED">
      <w:r w:rsidRPr="00734D3B">
        <w:lastRenderedPageBreak/>
        <w:t>3</w:t>
      </w:r>
    </w:p>
    <w:p w14:paraId="5B7CB111" w14:textId="77777777" w:rsidR="000A68ED" w:rsidRPr="00734D3B" w:rsidRDefault="000A68ED" w:rsidP="000A68ED">
      <w:r w:rsidRPr="00734D3B">
        <w:t>4</w:t>
      </w:r>
    </w:p>
    <w:p w14:paraId="59A1D149" w14:textId="77777777" w:rsidR="000A68ED" w:rsidRPr="00734D3B" w:rsidRDefault="000A68ED" w:rsidP="000A68ED">
      <w:r w:rsidRPr="00734D3B">
        <w:t>5</w:t>
      </w:r>
    </w:p>
    <w:p w14:paraId="2FE6BDE1" w14:textId="77777777" w:rsidR="000A68ED" w:rsidRPr="00734D3B" w:rsidRDefault="000A68ED" w:rsidP="000A68ED">
      <w:proofErr w:type="spellStart"/>
      <w:r w:rsidRPr="00734D3B">
        <w:t>Always</w:t>
      </w:r>
      <w:proofErr w:type="spellEnd"/>
      <w:r w:rsidRPr="00734D3B">
        <w:t xml:space="preserve"> / Siempre</w:t>
      </w:r>
    </w:p>
    <w:p w14:paraId="420F2AD8" w14:textId="77777777" w:rsidR="000A68ED" w:rsidRPr="00734D3B" w:rsidRDefault="000A68ED" w:rsidP="000A68ED">
      <w:r w:rsidRPr="00734D3B">
        <w:t>Role-</w:t>
      </w:r>
      <w:proofErr w:type="spellStart"/>
      <w:r w:rsidRPr="00734D3B">
        <w:t>specific</w:t>
      </w:r>
      <w:proofErr w:type="spellEnd"/>
      <w:r w:rsidRPr="00734D3B">
        <w:t xml:space="preserve"> / Específico por rol</w:t>
      </w:r>
    </w:p>
    <w:p w14:paraId="5AEB6C98" w14:textId="77777777" w:rsidR="000A68ED" w:rsidRPr="00734D3B" w:rsidRDefault="000A68ED" w:rsidP="000A68ED">
      <w:r w:rsidRPr="00734D3B">
        <w:t xml:space="preserve">18. </w:t>
      </w:r>
      <w:proofErr w:type="spellStart"/>
      <w:r w:rsidRPr="00734D3B">
        <w:t>We</w:t>
      </w:r>
      <w:proofErr w:type="spellEnd"/>
      <w:r w:rsidRPr="00734D3B">
        <w:t xml:space="preserve"> </w:t>
      </w:r>
      <w:proofErr w:type="spellStart"/>
      <w:r w:rsidRPr="00734D3B">
        <w:t>have</w:t>
      </w:r>
      <w:proofErr w:type="spellEnd"/>
      <w:r w:rsidRPr="00734D3B">
        <w:t xml:space="preserve"> </w:t>
      </w:r>
      <w:proofErr w:type="spellStart"/>
      <w:r w:rsidRPr="00734D3B">
        <w:t>resources</w:t>
      </w:r>
      <w:proofErr w:type="spellEnd"/>
      <w:r w:rsidRPr="00734D3B">
        <w:t xml:space="preserve"> </w:t>
      </w:r>
      <w:proofErr w:type="spellStart"/>
      <w:r w:rsidRPr="00734D3B">
        <w:t>for</w:t>
      </w:r>
      <w:proofErr w:type="spellEnd"/>
      <w:r w:rsidRPr="00734D3B">
        <w:t xml:space="preserve"> </w:t>
      </w:r>
      <w:proofErr w:type="spellStart"/>
      <w:r w:rsidRPr="00734D3B">
        <w:t>sustainability</w:t>
      </w:r>
      <w:proofErr w:type="spellEnd"/>
      <w:r w:rsidRPr="00734D3B">
        <w:t>. / Tenemos recursos para sostenibilidad.</w:t>
      </w:r>
    </w:p>
    <w:p w14:paraId="099F35EA" w14:textId="77777777" w:rsidR="000A68ED" w:rsidRPr="00734D3B" w:rsidRDefault="000A68ED" w:rsidP="000A68ED">
      <w:r w:rsidRPr="00734D3B">
        <w:t>Never / Nunca</w:t>
      </w:r>
    </w:p>
    <w:p w14:paraId="3BE4020A" w14:textId="77777777" w:rsidR="000A68ED" w:rsidRPr="00734D3B" w:rsidRDefault="000A68ED" w:rsidP="000A68ED">
      <w:r w:rsidRPr="00734D3B">
        <w:t>1</w:t>
      </w:r>
    </w:p>
    <w:p w14:paraId="352EFDAB" w14:textId="77777777" w:rsidR="000A68ED" w:rsidRPr="00734D3B" w:rsidRDefault="000A68ED" w:rsidP="000A68ED">
      <w:r w:rsidRPr="00734D3B">
        <w:t>2</w:t>
      </w:r>
    </w:p>
    <w:p w14:paraId="66C66043" w14:textId="77777777" w:rsidR="000A68ED" w:rsidRPr="00734D3B" w:rsidRDefault="000A68ED" w:rsidP="000A68ED">
      <w:r w:rsidRPr="00734D3B">
        <w:t>3</w:t>
      </w:r>
    </w:p>
    <w:p w14:paraId="6367CDB1" w14:textId="77777777" w:rsidR="000A68ED" w:rsidRPr="00734D3B" w:rsidRDefault="000A68ED" w:rsidP="000A68ED">
      <w:r w:rsidRPr="00734D3B">
        <w:t>4</w:t>
      </w:r>
    </w:p>
    <w:p w14:paraId="204AF9F6" w14:textId="77777777" w:rsidR="000A68ED" w:rsidRPr="00734D3B" w:rsidRDefault="000A68ED" w:rsidP="000A68ED">
      <w:r w:rsidRPr="00734D3B">
        <w:t>5</w:t>
      </w:r>
    </w:p>
    <w:p w14:paraId="7764131A" w14:textId="77777777" w:rsidR="000A68ED" w:rsidRPr="00734D3B" w:rsidRDefault="000A68ED" w:rsidP="000A68ED">
      <w:proofErr w:type="spellStart"/>
      <w:r w:rsidRPr="00734D3B">
        <w:t>Always</w:t>
      </w:r>
      <w:proofErr w:type="spellEnd"/>
      <w:r w:rsidRPr="00734D3B">
        <w:t xml:space="preserve"> / Siempre</w:t>
      </w:r>
    </w:p>
    <w:p w14:paraId="553DCA40" w14:textId="77777777" w:rsidR="000A68ED" w:rsidRPr="00734D3B" w:rsidRDefault="000A68ED" w:rsidP="000A68ED">
      <w:r w:rsidRPr="00734D3B">
        <w:t>19. GC/</w:t>
      </w:r>
      <w:proofErr w:type="spellStart"/>
      <w:r w:rsidRPr="00734D3B">
        <w:t>Owners</w:t>
      </w:r>
      <w:proofErr w:type="spellEnd"/>
      <w:r w:rsidRPr="00734D3B">
        <w:t xml:space="preserve"> </w:t>
      </w:r>
      <w:proofErr w:type="spellStart"/>
      <w:r w:rsidRPr="00734D3B">
        <w:t>support</w:t>
      </w:r>
      <w:proofErr w:type="spellEnd"/>
      <w:r w:rsidRPr="00734D3B">
        <w:t xml:space="preserve"> </w:t>
      </w:r>
      <w:proofErr w:type="spellStart"/>
      <w:r w:rsidRPr="00734D3B">
        <w:t>sustainability</w:t>
      </w:r>
      <w:proofErr w:type="spellEnd"/>
      <w:r w:rsidRPr="00734D3B">
        <w:t>. / GC/</w:t>
      </w:r>
      <w:proofErr w:type="spellStart"/>
      <w:r w:rsidRPr="00734D3B">
        <w:t>Owners</w:t>
      </w:r>
      <w:proofErr w:type="spellEnd"/>
      <w:r w:rsidRPr="00734D3B">
        <w:t xml:space="preserve"> apoyan la sostenibilidad.</w:t>
      </w:r>
    </w:p>
    <w:p w14:paraId="08806C95" w14:textId="77777777" w:rsidR="000A68ED" w:rsidRPr="00734D3B" w:rsidRDefault="000A68ED" w:rsidP="000A68ED">
      <w:r w:rsidRPr="00734D3B">
        <w:t>Never / Nunca</w:t>
      </w:r>
    </w:p>
    <w:p w14:paraId="41D24E3F" w14:textId="77777777" w:rsidR="000A68ED" w:rsidRPr="00734D3B" w:rsidRDefault="000A68ED" w:rsidP="000A68ED">
      <w:r w:rsidRPr="00734D3B">
        <w:t>1</w:t>
      </w:r>
    </w:p>
    <w:p w14:paraId="3C10909E" w14:textId="77777777" w:rsidR="000A68ED" w:rsidRPr="00734D3B" w:rsidRDefault="000A68ED" w:rsidP="000A68ED">
      <w:r w:rsidRPr="00734D3B">
        <w:t>2</w:t>
      </w:r>
    </w:p>
    <w:p w14:paraId="6288CD0C" w14:textId="77777777" w:rsidR="000A68ED" w:rsidRPr="00734D3B" w:rsidRDefault="000A68ED" w:rsidP="000A68ED">
      <w:r w:rsidRPr="00734D3B">
        <w:t>3</w:t>
      </w:r>
    </w:p>
    <w:p w14:paraId="352F226C" w14:textId="77777777" w:rsidR="000A68ED" w:rsidRPr="00734D3B" w:rsidRDefault="000A68ED" w:rsidP="000A68ED">
      <w:r w:rsidRPr="00734D3B">
        <w:t>4</w:t>
      </w:r>
    </w:p>
    <w:p w14:paraId="6C4853A3" w14:textId="77777777" w:rsidR="000A68ED" w:rsidRPr="00734D3B" w:rsidRDefault="000A68ED" w:rsidP="000A68ED">
      <w:r w:rsidRPr="00734D3B">
        <w:t>5</w:t>
      </w:r>
    </w:p>
    <w:p w14:paraId="2DBD7C37" w14:textId="77777777" w:rsidR="000A68ED" w:rsidRPr="00734D3B" w:rsidRDefault="000A68ED" w:rsidP="000A68ED">
      <w:proofErr w:type="spellStart"/>
      <w:r w:rsidRPr="00734D3B">
        <w:t>Always</w:t>
      </w:r>
      <w:proofErr w:type="spellEnd"/>
      <w:r w:rsidRPr="00734D3B">
        <w:t xml:space="preserve"> / Siempre</w:t>
      </w:r>
    </w:p>
    <w:p w14:paraId="59532850" w14:textId="77777777" w:rsidR="000A68ED" w:rsidRPr="00734D3B" w:rsidRDefault="000A68ED" w:rsidP="000A68ED">
      <w:r w:rsidRPr="00734D3B">
        <w:t xml:space="preserve">20. </w:t>
      </w:r>
      <w:proofErr w:type="spellStart"/>
      <w:r w:rsidRPr="00734D3B">
        <w:t>Subcontractors</w:t>
      </w:r>
      <w:proofErr w:type="spellEnd"/>
      <w:r w:rsidRPr="00734D3B">
        <w:t xml:space="preserve"> </w:t>
      </w:r>
      <w:proofErr w:type="spellStart"/>
      <w:r w:rsidRPr="00734D3B">
        <w:t>comply</w:t>
      </w:r>
      <w:proofErr w:type="spellEnd"/>
      <w:r w:rsidRPr="00734D3B">
        <w:t xml:space="preserve"> </w:t>
      </w:r>
      <w:proofErr w:type="spellStart"/>
      <w:r w:rsidRPr="00734D3B">
        <w:t>with</w:t>
      </w:r>
      <w:proofErr w:type="spellEnd"/>
      <w:r w:rsidRPr="00734D3B">
        <w:t xml:space="preserve"> </w:t>
      </w:r>
      <w:proofErr w:type="spellStart"/>
      <w:r w:rsidRPr="00734D3B">
        <w:t>sustainability</w:t>
      </w:r>
      <w:proofErr w:type="spellEnd"/>
      <w:r w:rsidRPr="00734D3B">
        <w:t>. / Los subcontratistas cumplen sostenibilidad.</w:t>
      </w:r>
    </w:p>
    <w:p w14:paraId="05BC8833" w14:textId="77777777" w:rsidR="000A68ED" w:rsidRPr="00734D3B" w:rsidRDefault="000A68ED" w:rsidP="000A68ED">
      <w:r w:rsidRPr="00734D3B">
        <w:t>Never / Nunca</w:t>
      </w:r>
    </w:p>
    <w:p w14:paraId="2CC1CADF" w14:textId="77777777" w:rsidR="000A68ED" w:rsidRPr="00734D3B" w:rsidRDefault="000A68ED" w:rsidP="000A68ED">
      <w:r w:rsidRPr="00734D3B">
        <w:t>1</w:t>
      </w:r>
    </w:p>
    <w:p w14:paraId="21908549" w14:textId="77777777" w:rsidR="000A68ED" w:rsidRPr="00734D3B" w:rsidRDefault="000A68ED" w:rsidP="000A68ED">
      <w:r w:rsidRPr="00734D3B">
        <w:lastRenderedPageBreak/>
        <w:t>2</w:t>
      </w:r>
    </w:p>
    <w:p w14:paraId="405604CE" w14:textId="77777777" w:rsidR="000A68ED" w:rsidRPr="00734D3B" w:rsidRDefault="000A68ED" w:rsidP="000A68ED">
      <w:r w:rsidRPr="00734D3B">
        <w:t>3</w:t>
      </w:r>
    </w:p>
    <w:p w14:paraId="3F033105" w14:textId="77777777" w:rsidR="000A68ED" w:rsidRPr="00734D3B" w:rsidRDefault="000A68ED" w:rsidP="000A68ED">
      <w:r w:rsidRPr="00734D3B">
        <w:t>4</w:t>
      </w:r>
    </w:p>
    <w:p w14:paraId="787C7304" w14:textId="77777777" w:rsidR="000A68ED" w:rsidRPr="00734D3B" w:rsidRDefault="000A68ED" w:rsidP="000A68ED">
      <w:r w:rsidRPr="00734D3B">
        <w:t>5</w:t>
      </w:r>
    </w:p>
    <w:p w14:paraId="5955575D" w14:textId="77777777" w:rsidR="000A68ED" w:rsidRPr="00734D3B" w:rsidRDefault="000A68ED" w:rsidP="000A68ED">
      <w:proofErr w:type="spellStart"/>
      <w:r w:rsidRPr="00734D3B">
        <w:t>Always</w:t>
      </w:r>
      <w:proofErr w:type="spellEnd"/>
      <w:r w:rsidRPr="00734D3B">
        <w:t xml:space="preserve"> / Siempre</w:t>
      </w:r>
    </w:p>
    <w:p w14:paraId="3A056ED1" w14:textId="77777777" w:rsidR="000A68ED" w:rsidRPr="00734D3B" w:rsidRDefault="000A68ED" w:rsidP="000A68ED">
      <w:r w:rsidRPr="00734D3B">
        <w:t xml:space="preserve">21. </w:t>
      </w:r>
      <w:proofErr w:type="spellStart"/>
      <w:r w:rsidRPr="00734D3B">
        <w:t>There</w:t>
      </w:r>
      <w:proofErr w:type="spellEnd"/>
      <w:r w:rsidRPr="00734D3B">
        <w:t xml:space="preserve"> </w:t>
      </w:r>
      <w:proofErr w:type="spellStart"/>
      <w:r w:rsidRPr="00734D3B">
        <w:t>is</w:t>
      </w:r>
      <w:proofErr w:type="spellEnd"/>
      <w:r w:rsidRPr="00734D3B">
        <w:t xml:space="preserve"> </w:t>
      </w:r>
      <w:proofErr w:type="spellStart"/>
      <w:r w:rsidRPr="00734D3B">
        <w:t>environmental</w:t>
      </w:r>
      <w:proofErr w:type="spellEnd"/>
      <w:r w:rsidRPr="00734D3B">
        <w:t xml:space="preserve"> </w:t>
      </w:r>
      <w:proofErr w:type="spellStart"/>
      <w:r w:rsidRPr="00734D3B">
        <w:t>supervision</w:t>
      </w:r>
      <w:proofErr w:type="spellEnd"/>
      <w:r w:rsidRPr="00734D3B">
        <w:t>. / Hay supervisión ambiental.</w:t>
      </w:r>
    </w:p>
    <w:p w14:paraId="2822EFA1" w14:textId="77777777" w:rsidR="000A68ED" w:rsidRPr="00734D3B" w:rsidRDefault="000A68ED" w:rsidP="000A68ED">
      <w:r w:rsidRPr="00734D3B">
        <w:t>Never / Nunca</w:t>
      </w:r>
    </w:p>
    <w:p w14:paraId="5F4FCE60" w14:textId="77777777" w:rsidR="000A68ED" w:rsidRPr="00734D3B" w:rsidRDefault="000A68ED" w:rsidP="000A68ED">
      <w:r w:rsidRPr="00734D3B">
        <w:t>1</w:t>
      </w:r>
    </w:p>
    <w:p w14:paraId="13AD1F61" w14:textId="77777777" w:rsidR="000A68ED" w:rsidRPr="00734D3B" w:rsidRDefault="000A68ED" w:rsidP="000A68ED">
      <w:r w:rsidRPr="00734D3B">
        <w:t>2</w:t>
      </w:r>
    </w:p>
    <w:p w14:paraId="7399924B" w14:textId="77777777" w:rsidR="000A68ED" w:rsidRPr="00734D3B" w:rsidRDefault="000A68ED" w:rsidP="000A68ED">
      <w:r w:rsidRPr="00734D3B">
        <w:t>3</w:t>
      </w:r>
    </w:p>
    <w:p w14:paraId="658E4114" w14:textId="77777777" w:rsidR="000A68ED" w:rsidRPr="00734D3B" w:rsidRDefault="000A68ED" w:rsidP="000A68ED">
      <w:r w:rsidRPr="00734D3B">
        <w:t>4</w:t>
      </w:r>
    </w:p>
    <w:p w14:paraId="1D638398" w14:textId="77777777" w:rsidR="000A68ED" w:rsidRPr="00734D3B" w:rsidRDefault="000A68ED" w:rsidP="000A68ED">
      <w:r w:rsidRPr="00734D3B">
        <w:t>5</w:t>
      </w:r>
    </w:p>
    <w:p w14:paraId="0DBC2435" w14:textId="77777777" w:rsidR="000A68ED" w:rsidRPr="00734D3B" w:rsidRDefault="000A68ED" w:rsidP="000A68ED">
      <w:proofErr w:type="spellStart"/>
      <w:r w:rsidRPr="00734D3B">
        <w:t>Always</w:t>
      </w:r>
      <w:proofErr w:type="spellEnd"/>
      <w:r w:rsidRPr="00734D3B">
        <w:t xml:space="preserve"> / Siempre</w:t>
      </w:r>
    </w:p>
    <w:p w14:paraId="05C5AB65" w14:textId="77777777" w:rsidR="000A68ED" w:rsidRPr="00734D3B" w:rsidRDefault="000A68ED" w:rsidP="000A68ED">
      <w:r w:rsidRPr="00734D3B">
        <w:t xml:space="preserve">22. </w:t>
      </w:r>
      <w:proofErr w:type="spellStart"/>
      <w:r w:rsidRPr="00734D3B">
        <w:t>We</w:t>
      </w:r>
      <w:proofErr w:type="spellEnd"/>
      <w:r w:rsidRPr="00734D3B">
        <w:t xml:space="preserve"> </w:t>
      </w:r>
      <w:proofErr w:type="spellStart"/>
      <w:r w:rsidRPr="00734D3B">
        <w:t>provide</w:t>
      </w:r>
      <w:proofErr w:type="spellEnd"/>
      <w:r w:rsidRPr="00734D3B">
        <w:t xml:space="preserve"> </w:t>
      </w:r>
      <w:proofErr w:type="spellStart"/>
      <w:r w:rsidRPr="00734D3B">
        <w:t>sustainability</w:t>
      </w:r>
      <w:proofErr w:type="spellEnd"/>
      <w:r w:rsidRPr="00734D3B">
        <w:t xml:space="preserve"> </w:t>
      </w:r>
      <w:proofErr w:type="spellStart"/>
      <w:r w:rsidRPr="00734D3B">
        <w:t>requirements</w:t>
      </w:r>
      <w:proofErr w:type="spellEnd"/>
      <w:r w:rsidRPr="00734D3B">
        <w:t>. / Proveemos requisitos de sostenibilidad.</w:t>
      </w:r>
    </w:p>
    <w:p w14:paraId="25040629" w14:textId="77777777" w:rsidR="000A68ED" w:rsidRPr="00734D3B" w:rsidRDefault="000A68ED" w:rsidP="000A68ED">
      <w:r w:rsidRPr="00734D3B">
        <w:t>Never / Nunca</w:t>
      </w:r>
    </w:p>
    <w:p w14:paraId="266D2B29" w14:textId="77777777" w:rsidR="000A68ED" w:rsidRPr="00734D3B" w:rsidRDefault="000A68ED" w:rsidP="000A68ED">
      <w:r w:rsidRPr="00734D3B">
        <w:t>1</w:t>
      </w:r>
    </w:p>
    <w:p w14:paraId="451D9CAF" w14:textId="77777777" w:rsidR="000A68ED" w:rsidRPr="00734D3B" w:rsidRDefault="000A68ED" w:rsidP="000A68ED">
      <w:r w:rsidRPr="00734D3B">
        <w:t>2</w:t>
      </w:r>
    </w:p>
    <w:p w14:paraId="1C10C8C8" w14:textId="77777777" w:rsidR="000A68ED" w:rsidRPr="00734D3B" w:rsidRDefault="000A68ED" w:rsidP="000A68ED">
      <w:r w:rsidRPr="00734D3B">
        <w:t>3</w:t>
      </w:r>
    </w:p>
    <w:p w14:paraId="4AF36703" w14:textId="77777777" w:rsidR="000A68ED" w:rsidRPr="00734D3B" w:rsidRDefault="000A68ED" w:rsidP="000A68ED">
      <w:r w:rsidRPr="00734D3B">
        <w:t>4</w:t>
      </w:r>
    </w:p>
    <w:p w14:paraId="76C3CD6E" w14:textId="77777777" w:rsidR="000A68ED" w:rsidRPr="00734D3B" w:rsidRDefault="000A68ED" w:rsidP="000A68ED">
      <w:r w:rsidRPr="00734D3B">
        <w:t>5</w:t>
      </w:r>
    </w:p>
    <w:p w14:paraId="50ACF204" w14:textId="77777777" w:rsidR="000A68ED" w:rsidRPr="00734D3B" w:rsidRDefault="000A68ED" w:rsidP="000A68ED">
      <w:proofErr w:type="spellStart"/>
      <w:r w:rsidRPr="00734D3B">
        <w:t>Always</w:t>
      </w:r>
      <w:proofErr w:type="spellEnd"/>
      <w:r w:rsidRPr="00734D3B">
        <w:t xml:space="preserve"> / Siempre</w:t>
      </w:r>
    </w:p>
    <w:p w14:paraId="15CD6370" w14:textId="77777777" w:rsidR="000A68ED" w:rsidRPr="00734D3B" w:rsidRDefault="000A68ED" w:rsidP="000A68ED">
      <w:r w:rsidRPr="00734D3B">
        <w:t xml:space="preserve">23. </w:t>
      </w:r>
      <w:proofErr w:type="spellStart"/>
      <w:r w:rsidRPr="00734D3B">
        <w:t>We</w:t>
      </w:r>
      <w:proofErr w:type="spellEnd"/>
      <w:r w:rsidRPr="00734D3B">
        <w:t xml:space="preserve"> </w:t>
      </w:r>
      <w:proofErr w:type="spellStart"/>
      <w:r w:rsidRPr="00734D3B">
        <w:t>track</w:t>
      </w:r>
      <w:proofErr w:type="spellEnd"/>
      <w:r w:rsidRPr="00734D3B">
        <w:t xml:space="preserve"> </w:t>
      </w:r>
      <w:proofErr w:type="spellStart"/>
      <w:r w:rsidRPr="00734D3B">
        <w:t>environmental</w:t>
      </w:r>
      <w:proofErr w:type="spellEnd"/>
      <w:r w:rsidRPr="00734D3B">
        <w:t xml:space="preserve"> performance. / Damos seguimiento a desempeño ambiental.</w:t>
      </w:r>
    </w:p>
    <w:p w14:paraId="767616CB" w14:textId="77777777" w:rsidR="000A68ED" w:rsidRPr="00734D3B" w:rsidRDefault="000A68ED" w:rsidP="000A68ED">
      <w:r w:rsidRPr="00734D3B">
        <w:t>Never / Nunca</w:t>
      </w:r>
    </w:p>
    <w:p w14:paraId="2B5556B2" w14:textId="77777777" w:rsidR="000A68ED" w:rsidRPr="00734D3B" w:rsidRDefault="000A68ED" w:rsidP="000A68ED">
      <w:r w:rsidRPr="00734D3B">
        <w:t>1</w:t>
      </w:r>
    </w:p>
    <w:p w14:paraId="03EBA257" w14:textId="77777777" w:rsidR="000A68ED" w:rsidRPr="00734D3B" w:rsidRDefault="000A68ED" w:rsidP="000A68ED">
      <w:r w:rsidRPr="00734D3B">
        <w:t>2</w:t>
      </w:r>
    </w:p>
    <w:p w14:paraId="01BF9583" w14:textId="77777777" w:rsidR="000A68ED" w:rsidRPr="00734D3B" w:rsidRDefault="000A68ED" w:rsidP="000A68ED">
      <w:r w:rsidRPr="00734D3B">
        <w:lastRenderedPageBreak/>
        <w:t>3</w:t>
      </w:r>
    </w:p>
    <w:p w14:paraId="2DD77505" w14:textId="77777777" w:rsidR="000A68ED" w:rsidRPr="00734D3B" w:rsidRDefault="000A68ED" w:rsidP="000A68ED">
      <w:r w:rsidRPr="00734D3B">
        <w:t>4</w:t>
      </w:r>
    </w:p>
    <w:p w14:paraId="3DB0FDA9" w14:textId="77777777" w:rsidR="000A68ED" w:rsidRPr="00734D3B" w:rsidRDefault="000A68ED" w:rsidP="000A68ED">
      <w:r w:rsidRPr="00734D3B">
        <w:t>5</w:t>
      </w:r>
    </w:p>
    <w:p w14:paraId="4A0019C1" w14:textId="77777777" w:rsidR="000A68ED" w:rsidRPr="00734D3B" w:rsidRDefault="000A68ED" w:rsidP="000A68ED">
      <w:proofErr w:type="spellStart"/>
      <w:r w:rsidRPr="00734D3B">
        <w:t>Always</w:t>
      </w:r>
      <w:proofErr w:type="spellEnd"/>
      <w:r w:rsidRPr="00734D3B">
        <w:t xml:space="preserve"> / Siempre</w:t>
      </w:r>
    </w:p>
    <w:p w14:paraId="00E8E765" w14:textId="77777777" w:rsidR="000A68ED" w:rsidRPr="00734D3B" w:rsidRDefault="000A68ED" w:rsidP="000A68ED">
      <w:proofErr w:type="spellStart"/>
      <w:r w:rsidRPr="00734D3B">
        <w:t>Opportunities</w:t>
      </w:r>
      <w:proofErr w:type="spellEnd"/>
      <w:r w:rsidRPr="00734D3B">
        <w:t xml:space="preserve"> / Oportunidades</w:t>
      </w:r>
    </w:p>
    <w:p w14:paraId="0201BED9" w14:textId="77777777" w:rsidR="000A68ED" w:rsidRPr="00734D3B" w:rsidRDefault="000A68ED" w:rsidP="000A68ED">
      <w:r w:rsidRPr="00734D3B">
        <w:t xml:space="preserve">24. A guide </w:t>
      </w:r>
      <w:proofErr w:type="spellStart"/>
      <w:r w:rsidRPr="00734D3B">
        <w:t>would</w:t>
      </w:r>
      <w:proofErr w:type="spellEnd"/>
      <w:r w:rsidRPr="00734D3B">
        <w:t xml:space="preserve"> </w:t>
      </w:r>
      <w:proofErr w:type="spellStart"/>
      <w:r w:rsidRPr="00734D3B">
        <w:t>help</w:t>
      </w:r>
      <w:proofErr w:type="spellEnd"/>
      <w:r w:rsidRPr="00734D3B">
        <w:t xml:space="preserve"> </w:t>
      </w:r>
      <w:proofErr w:type="spellStart"/>
      <w:r w:rsidRPr="00734D3B">
        <w:t>improve</w:t>
      </w:r>
      <w:proofErr w:type="spellEnd"/>
      <w:r w:rsidRPr="00734D3B">
        <w:t xml:space="preserve"> </w:t>
      </w:r>
      <w:proofErr w:type="spellStart"/>
      <w:r w:rsidRPr="00734D3B">
        <w:t>waste</w:t>
      </w:r>
      <w:proofErr w:type="spellEnd"/>
      <w:r w:rsidRPr="00734D3B">
        <w:t xml:space="preserve"> </w:t>
      </w:r>
      <w:proofErr w:type="spellStart"/>
      <w:r w:rsidRPr="00734D3B">
        <w:t>management</w:t>
      </w:r>
      <w:proofErr w:type="spellEnd"/>
      <w:r w:rsidRPr="00734D3B">
        <w:t>. / Una guía ayudaría a mejorar el manejo de residuos.</w:t>
      </w:r>
    </w:p>
    <w:p w14:paraId="50602F86" w14:textId="77777777" w:rsidR="000A68ED" w:rsidRPr="00734D3B" w:rsidRDefault="000A68ED" w:rsidP="000A68ED">
      <w:r w:rsidRPr="00734D3B">
        <w:t>Never / Nunca</w:t>
      </w:r>
    </w:p>
    <w:p w14:paraId="150C084D" w14:textId="77777777" w:rsidR="000A68ED" w:rsidRPr="00734D3B" w:rsidRDefault="000A68ED" w:rsidP="000A68ED">
      <w:r w:rsidRPr="00734D3B">
        <w:t>1</w:t>
      </w:r>
    </w:p>
    <w:p w14:paraId="09A74140" w14:textId="77777777" w:rsidR="000A68ED" w:rsidRPr="00734D3B" w:rsidRDefault="000A68ED" w:rsidP="000A68ED">
      <w:r w:rsidRPr="00734D3B">
        <w:t>2</w:t>
      </w:r>
    </w:p>
    <w:p w14:paraId="707EEE77" w14:textId="77777777" w:rsidR="000A68ED" w:rsidRPr="00734D3B" w:rsidRDefault="000A68ED" w:rsidP="000A68ED">
      <w:r w:rsidRPr="00734D3B">
        <w:t>3</w:t>
      </w:r>
    </w:p>
    <w:p w14:paraId="508F509A" w14:textId="77777777" w:rsidR="000A68ED" w:rsidRPr="00734D3B" w:rsidRDefault="000A68ED" w:rsidP="000A68ED">
      <w:r w:rsidRPr="00734D3B">
        <w:t>4</w:t>
      </w:r>
    </w:p>
    <w:p w14:paraId="25140A13" w14:textId="77777777" w:rsidR="000A68ED" w:rsidRPr="00734D3B" w:rsidRDefault="000A68ED" w:rsidP="000A68ED">
      <w:r w:rsidRPr="00734D3B">
        <w:t>5</w:t>
      </w:r>
    </w:p>
    <w:p w14:paraId="0CD3447C" w14:textId="77777777" w:rsidR="000A68ED" w:rsidRPr="00734D3B" w:rsidRDefault="000A68ED" w:rsidP="000A68ED">
      <w:proofErr w:type="spellStart"/>
      <w:r w:rsidRPr="00734D3B">
        <w:t>Always</w:t>
      </w:r>
      <w:proofErr w:type="spellEnd"/>
      <w:r w:rsidRPr="00734D3B">
        <w:t xml:space="preserve"> / Siempre</w:t>
      </w:r>
    </w:p>
    <w:p w14:paraId="1FF70AC3" w14:textId="77777777" w:rsidR="000A68ED" w:rsidRPr="00734D3B" w:rsidRDefault="000A68ED" w:rsidP="000A68ED">
      <w:r w:rsidRPr="00734D3B">
        <w:t xml:space="preserve">Open </w:t>
      </w:r>
      <w:proofErr w:type="spellStart"/>
      <w:r w:rsidRPr="00734D3B">
        <w:t>questions</w:t>
      </w:r>
      <w:proofErr w:type="spellEnd"/>
      <w:r w:rsidRPr="00734D3B">
        <w:t xml:space="preserve"> / Preguntas abiertas</w:t>
      </w:r>
    </w:p>
    <w:p w14:paraId="636499C7" w14:textId="77777777" w:rsidR="000A68ED" w:rsidRPr="00734D3B" w:rsidRDefault="000A68ED" w:rsidP="000A68ED">
      <w:pPr>
        <w:rPr>
          <w:lang w:val="en-US"/>
        </w:rPr>
      </w:pPr>
      <w:r w:rsidRPr="00734D3B">
        <w:rPr>
          <w:lang w:val="en-US"/>
        </w:rPr>
        <w:t>25. What is the biggest challenge? / ¿</w:t>
      </w:r>
      <w:proofErr w:type="spellStart"/>
      <w:r w:rsidRPr="00734D3B">
        <w:rPr>
          <w:lang w:val="en-US"/>
        </w:rPr>
        <w:t>Cuál</w:t>
      </w:r>
      <w:proofErr w:type="spellEnd"/>
      <w:r w:rsidRPr="00734D3B">
        <w:rPr>
          <w:lang w:val="en-US"/>
        </w:rPr>
        <w:t xml:space="preserve"> es </w:t>
      </w:r>
      <w:proofErr w:type="spellStart"/>
      <w:r w:rsidRPr="00734D3B">
        <w:rPr>
          <w:lang w:val="en-US"/>
        </w:rPr>
        <w:t>el</w:t>
      </w:r>
      <w:proofErr w:type="spellEnd"/>
      <w:r w:rsidRPr="00734D3B">
        <w:rPr>
          <w:lang w:val="en-US"/>
        </w:rPr>
        <w:t xml:space="preserve"> mayor </w:t>
      </w:r>
      <w:proofErr w:type="spellStart"/>
      <w:r w:rsidRPr="00734D3B">
        <w:rPr>
          <w:lang w:val="en-US"/>
        </w:rPr>
        <w:t>reto</w:t>
      </w:r>
      <w:proofErr w:type="spellEnd"/>
      <w:r w:rsidRPr="00734D3B">
        <w:rPr>
          <w:lang w:val="en-US"/>
        </w:rPr>
        <w:t>?</w:t>
      </w:r>
    </w:p>
    <w:p w14:paraId="485E60BE" w14:textId="77777777" w:rsidR="000A68ED" w:rsidRPr="00734D3B" w:rsidRDefault="000A68ED" w:rsidP="000A68ED">
      <w:r w:rsidRPr="00734D3B">
        <w:t xml:space="preserve">Tiempo </w:t>
      </w:r>
    </w:p>
    <w:p w14:paraId="67B23A34" w14:textId="77777777" w:rsidR="000A68ED" w:rsidRPr="00734D3B" w:rsidRDefault="000A68ED" w:rsidP="000A68ED">
      <w:r w:rsidRPr="00734D3B">
        <w:t xml:space="preserve">26. Mention </w:t>
      </w:r>
      <w:proofErr w:type="spellStart"/>
      <w:r w:rsidRPr="00734D3B">
        <w:t>one</w:t>
      </w:r>
      <w:proofErr w:type="spellEnd"/>
      <w:r w:rsidRPr="00734D3B">
        <w:t xml:space="preserve"> positive </w:t>
      </w:r>
      <w:proofErr w:type="spellStart"/>
      <w:r w:rsidRPr="00734D3B">
        <w:t>practice</w:t>
      </w:r>
      <w:proofErr w:type="spellEnd"/>
      <w:r w:rsidRPr="00734D3B">
        <w:t>. / Mencione una práctica positiva.</w:t>
      </w:r>
    </w:p>
    <w:p w14:paraId="4300FEE3" w14:textId="77777777" w:rsidR="003A1360" w:rsidRPr="00734D3B" w:rsidRDefault="003A1360" w:rsidP="003A1360">
      <w:pPr>
        <w:pStyle w:val="Heading1"/>
        <w:numPr>
          <w:ilvl w:val="0"/>
          <w:numId w:val="0"/>
        </w:numPr>
      </w:pPr>
    </w:p>
    <w:p w14:paraId="2ABEC38F" w14:textId="68322834" w:rsidR="00007824" w:rsidRPr="00734D3B" w:rsidRDefault="00007824">
      <w:pPr>
        <w:spacing w:line="240" w:lineRule="auto"/>
        <w:ind w:firstLine="0"/>
      </w:pPr>
      <w:r w:rsidRPr="00734D3B">
        <w:br w:type="page"/>
      </w:r>
    </w:p>
    <w:p w14:paraId="66F5BD7D" w14:textId="16B1EC3D" w:rsidR="00007824" w:rsidRPr="00734D3B" w:rsidRDefault="00007824" w:rsidP="00007824">
      <w:pPr>
        <w:pStyle w:val="Heading1"/>
        <w:numPr>
          <w:ilvl w:val="0"/>
          <w:numId w:val="0"/>
        </w:numPr>
      </w:pPr>
      <w:bookmarkStart w:id="400" w:name="_Toc227936456"/>
      <w:r w:rsidRPr="00734D3B">
        <w:lastRenderedPageBreak/>
        <w:t>Anexo 6: Plantillas para la guía metodológica</w:t>
      </w:r>
      <w:bookmarkEnd w:id="400"/>
      <w:r w:rsidRPr="00734D3B">
        <w:t xml:space="preserve"> </w:t>
      </w:r>
    </w:p>
    <w:p w14:paraId="673D5078" w14:textId="77777777" w:rsidR="00BA1FBA" w:rsidRPr="00734D3B" w:rsidRDefault="00BA1FBA" w:rsidP="00685431"/>
    <w:p w14:paraId="6B637C77" w14:textId="77777777" w:rsidR="00007824" w:rsidRPr="00734D3B" w:rsidRDefault="00007824" w:rsidP="00007824">
      <w:pPr>
        <w:rPr>
          <w:rFonts w:cs="Arial"/>
          <w:b/>
          <w:bCs/>
          <w:szCs w:val="22"/>
          <w:lang w:val="en-US"/>
        </w:rPr>
      </w:pPr>
      <w:r w:rsidRPr="00734D3B">
        <w:rPr>
          <w:rFonts w:cs="Arial"/>
          <w:b/>
          <w:bCs/>
          <w:szCs w:val="22"/>
          <w:lang w:val="en-US"/>
        </w:rPr>
        <w:t>Sustainable Management Guide for Electrical Projects</w:t>
      </w:r>
    </w:p>
    <w:p w14:paraId="62AAE04F" w14:textId="77777777" w:rsidR="00007824" w:rsidRPr="00734D3B" w:rsidRDefault="00007824" w:rsidP="00007824">
      <w:pPr>
        <w:rPr>
          <w:rFonts w:cs="Arial"/>
          <w:szCs w:val="22"/>
        </w:rPr>
      </w:pPr>
      <w:r w:rsidRPr="00734D3B">
        <w:rPr>
          <w:rFonts w:cs="Arial"/>
          <w:szCs w:val="22"/>
        </w:rPr>
        <w:t xml:space="preserve">F-DA-01 – </w:t>
      </w:r>
      <w:proofErr w:type="spellStart"/>
      <w:r w:rsidRPr="00734D3B">
        <w:rPr>
          <w:rFonts w:cs="Arial"/>
          <w:szCs w:val="22"/>
        </w:rPr>
        <w:t>Environmental</w:t>
      </w:r>
      <w:proofErr w:type="spellEnd"/>
      <w:r w:rsidRPr="00734D3B">
        <w:rPr>
          <w:rFonts w:cs="Arial"/>
          <w:szCs w:val="22"/>
        </w:rPr>
        <w:t xml:space="preserve"> Diagnosis / Diagnóstico Ambiental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14A6A7BB" w14:textId="77777777" w:rsidTr="0049024C">
        <w:tc>
          <w:tcPr>
            <w:tcW w:w="4315" w:type="dxa"/>
          </w:tcPr>
          <w:p w14:paraId="506C12EF"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5D1F4BAA"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0220F9C6" w14:textId="77777777" w:rsidTr="0049024C">
        <w:tc>
          <w:tcPr>
            <w:tcW w:w="4315" w:type="dxa"/>
          </w:tcPr>
          <w:p w14:paraId="587D64C8" w14:textId="77777777" w:rsidR="00007824" w:rsidRPr="00734D3B" w:rsidRDefault="00007824" w:rsidP="0049024C">
            <w:pPr>
              <w:rPr>
                <w:rFonts w:cs="Arial"/>
                <w:szCs w:val="22"/>
              </w:rPr>
            </w:pPr>
            <w:r w:rsidRPr="00734D3B">
              <w:rPr>
                <w:rFonts w:cs="Arial"/>
                <w:szCs w:val="22"/>
              </w:rPr>
              <w:t>Project Name / Nombre del proyecto</w:t>
            </w:r>
          </w:p>
        </w:tc>
        <w:tc>
          <w:tcPr>
            <w:tcW w:w="4315" w:type="dxa"/>
          </w:tcPr>
          <w:p w14:paraId="5D90412B" w14:textId="77777777" w:rsidR="00007824" w:rsidRPr="00734D3B" w:rsidRDefault="00007824" w:rsidP="0049024C">
            <w:pPr>
              <w:rPr>
                <w:rFonts w:cs="Arial"/>
                <w:szCs w:val="22"/>
              </w:rPr>
            </w:pPr>
          </w:p>
        </w:tc>
      </w:tr>
      <w:tr w:rsidR="00734D3B" w:rsidRPr="00734D3B" w14:paraId="318C6BC0" w14:textId="77777777" w:rsidTr="0049024C">
        <w:tc>
          <w:tcPr>
            <w:tcW w:w="4315" w:type="dxa"/>
          </w:tcPr>
          <w:p w14:paraId="461ACAAA" w14:textId="77777777" w:rsidR="00007824" w:rsidRPr="00734D3B" w:rsidRDefault="00007824" w:rsidP="0049024C">
            <w:pPr>
              <w:rPr>
                <w:rFonts w:cs="Arial"/>
                <w:szCs w:val="22"/>
              </w:rPr>
            </w:pPr>
            <w:r w:rsidRPr="00734D3B">
              <w:rPr>
                <w:rFonts w:cs="Arial"/>
                <w:szCs w:val="22"/>
              </w:rPr>
              <w:t xml:space="preserve">Project </w:t>
            </w:r>
            <w:proofErr w:type="spellStart"/>
            <w:r w:rsidRPr="00734D3B">
              <w:rPr>
                <w:rFonts w:cs="Arial"/>
                <w:szCs w:val="22"/>
              </w:rPr>
              <w:t>Location</w:t>
            </w:r>
            <w:proofErr w:type="spellEnd"/>
            <w:r w:rsidRPr="00734D3B">
              <w:rPr>
                <w:rFonts w:cs="Arial"/>
                <w:szCs w:val="22"/>
              </w:rPr>
              <w:t xml:space="preserve"> / Ubicación del proyecto</w:t>
            </w:r>
          </w:p>
        </w:tc>
        <w:tc>
          <w:tcPr>
            <w:tcW w:w="4315" w:type="dxa"/>
          </w:tcPr>
          <w:p w14:paraId="0CDDBC45" w14:textId="77777777" w:rsidR="00007824" w:rsidRPr="00734D3B" w:rsidRDefault="00007824" w:rsidP="0049024C">
            <w:pPr>
              <w:rPr>
                <w:rFonts w:cs="Arial"/>
                <w:szCs w:val="22"/>
              </w:rPr>
            </w:pPr>
          </w:p>
        </w:tc>
      </w:tr>
      <w:tr w:rsidR="00734D3B" w:rsidRPr="00734D3B" w14:paraId="6F752DB2" w14:textId="77777777" w:rsidTr="0049024C">
        <w:tc>
          <w:tcPr>
            <w:tcW w:w="4315" w:type="dxa"/>
          </w:tcPr>
          <w:p w14:paraId="730E5F91" w14:textId="77777777" w:rsidR="00007824" w:rsidRPr="00734D3B" w:rsidRDefault="00007824" w:rsidP="0049024C">
            <w:pPr>
              <w:rPr>
                <w:rFonts w:cs="Arial"/>
                <w:szCs w:val="22"/>
              </w:rPr>
            </w:pPr>
            <w:r w:rsidRPr="00734D3B">
              <w:rPr>
                <w:rFonts w:cs="Arial"/>
                <w:szCs w:val="22"/>
              </w:rPr>
              <w:t xml:space="preserve">Main </w:t>
            </w:r>
            <w:proofErr w:type="spellStart"/>
            <w:r w:rsidRPr="00734D3B">
              <w:rPr>
                <w:rFonts w:cs="Arial"/>
                <w:szCs w:val="22"/>
              </w:rPr>
              <w:t>Electrical</w:t>
            </w:r>
            <w:proofErr w:type="spellEnd"/>
            <w:r w:rsidRPr="00734D3B">
              <w:rPr>
                <w:rFonts w:cs="Arial"/>
                <w:szCs w:val="22"/>
              </w:rPr>
              <w:t xml:space="preserve"> </w:t>
            </w:r>
            <w:proofErr w:type="spellStart"/>
            <w:r w:rsidRPr="00734D3B">
              <w:rPr>
                <w:rFonts w:cs="Arial"/>
                <w:szCs w:val="22"/>
              </w:rPr>
              <w:t>Activities</w:t>
            </w:r>
            <w:proofErr w:type="spellEnd"/>
            <w:r w:rsidRPr="00734D3B">
              <w:rPr>
                <w:rFonts w:cs="Arial"/>
                <w:szCs w:val="22"/>
              </w:rPr>
              <w:t xml:space="preserve"> / Actividades eléctricas principales</w:t>
            </w:r>
          </w:p>
        </w:tc>
        <w:tc>
          <w:tcPr>
            <w:tcW w:w="4315" w:type="dxa"/>
          </w:tcPr>
          <w:p w14:paraId="09752E12" w14:textId="77777777" w:rsidR="00007824" w:rsidRPr="00734D3B" w:rsidRDefault="00007824" w:rsidP="0049024C">
            <w:pPr>
              <w:rPr>
                <w:rFonts w:cs="Arial"/>
                <w:szCs w:val="22"/>
              </w:rPr>
            </w:pPr>
          </w:p>
        </w:tc>
      </w:tr>
      <w:tr w:rsidR="00734D3B" w:rsidRPr="00734D3B" w14:paraId="53059759" w14:textId="77777777" w:rsidTr="0049024C">
        <w:tc>
          <w:tcPr>
            <w:tcW w:w="4315" w:type="dxa"/>
          </w:tcPr>
          <w:p w14:paraId="7D66F89A" w14:textId="77777777" w:rsidR="00007824" w:rsidRPr="00734D3B" w:rsidRDefault="00007824" w:rsidP="0049024C">
            <w:pPr>
              <w:rPr>
                <w:rFonts w:cs="Arial"/>
                <w:szCs w:val="22"/>
              </w:rPr>
            </w:pPr>
            <w:r w:rsidRPr="00734D3B">
              <w:rPr>
                <w:rFonts w:cs="Arial"/>
                <w:szCs w:val="22"/>
              </w:rPr>
              <w:t xml:space="preserve">Sensitive Natural </w:t>
            </w:r>
            <w:proofErr w:type="spellStart"/>
            <w:r w:rsidRPr="00734D3B">
              <w:rPr>
                <w:rFonts w:cs="Arial"/>
                <w:szCs w:val="22"/>
              </w:rPr>
              <w:t>Resources</w:t>
            </w:r>
            <w:proofErr w:type="spellEnd"/>
            <w:r w:rsidRPr="00734D3B">
              <w:rPr>
                <w:rFonts w:cs="Arial"/>
                <w:szCs w:val="22"/>
              </w:rPr>
              <w:t xml:space="preserve"> / Recursos naturales sensibles</w:t>
            </w:r>
          </w:p>
        </w:tc>
        <w:tc>
          <w:tcPr>
            <w:tcW w:w="4315" w:type="dxa"/>
          </w:tcPr>
          <w:p w14:paraId="725C1E5C" w14:textId="77777777" w:rsidR="00007824" w:rsidRPr="00734D3B" w:rsidRDefault="00007824" w:rsidP="0049024C">
            <w:pPr>
              <w:rPr>
                <w:rFonts w:cs="Arial"/>
                <w:szCs w:val="22"/>
              </w:rPr>
            </w:pPr>
          </w:p>
        </w:tc>
      </w:tr>
      <w:tr w:rsidR="00734D3B" w:rsidRPr="00734D3B" w14:paraId="690F91EB" w14:textId="77777777" w:rsidTr="0049024C">
        <w:tc>
          <w:tcPr>
            <w:tcW w:w="4315" w:type="dxa"/>
          </w:tcPr>
          <w:p w14:paraId="188C08C7" w14:textId="77777777" w:rsidR="00007824" w:rsidRPr="00734D3B" w:rsidRDefault="00007824" w:rsidP="0049024C">
            <w:pPr>
              <w:rPr>
                <w:rFonts w:cs="Arial"/>
                <w:szCs w:val="22"/>
              </w:rPr>
            </w:pPr>
            <w:proofErr w:type="spellStart"/>
            <w:r w:rsidRPr="00734D3B">
              <w:rPr>
                <w:rFonts w:cs="Arial"/>
                <w:szCs w:val="22"/>
              </w:rPr>
              <w:t>Applicable</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Regulations</w:t>
            </w:r>
            <w:proofErr w:type="spellEnd"/>
            <w:r w:rsidRPr="00734D3B">
              <w:rPr>
                <w:rFonts w:cs="Arial"/>
                <w:szCs w:val="22"/>
              </w:rPr>
              <w:t xml:space="preserve"> / Normativa ambiental aplicable</w:t>
            </w:r>
          </w:p>
        </w:tc>
        <w:tc>
          <w:tcPr>
            <w:tcW w:w="4315" w:type="dxa"/>
          </w:tcPr>
          <w:p w14:paraId="4F396CCB" w14:textId="77777777" w:rsidR="00007824" w:rsidRPr="00734D3B" w:rsidRDefault="00007824" w:rsidP="0049024C">
            <w:pPr>
              <w:rPr>
                <w:rFonts w:cs="Arial"/>
                <w:szCs w:val="22"/>
              </w:rPr>
            </w:pPr>
          </w:p>
        </w:tc>
      </w:tr>
      <w:tr w:rsidR="00734D3B" w:rsidRPr="00734D3B" w14:paraId="26563FBC" w14:textId="77777777" w:rsidTr="0049024C">
        <w:tc>
          <w:tcPr>
            <w:tcW w:w="4315" w:type="dxa"/>
          </w:tcPr>
          <w:p w14:paraId="155DCCF9" w14:textId="77777777" w:rsidR="00007824" w:rsidRPr="00734D3B" w:rsidRDefault="00007824" w:rsidP="0049024C">
            <w:pPr>
              <w:rPr>
                <w:rFonts w:cs="Arial"/>
                <w:szCs w:val="22"/>
              </w:rPr>
            </w:pPr>
            <w:r w:rsidRPr="00734D3B">
              <w:rPr>
                <w:rFonts w:cs="Arial"/>
                <w:szCs w:val="22"/>
              </w:rPr>
              <w:t xml:space="preserve">Preventive Measures </w:t>
            </w:r>
            <w:proofErr w:type="spellStart"/>
            <w:r w:rsidRPr="00734D3B">
              <w:rPr>
                <w:rFonts w:cs="Arial"/>
                <w:szCs w:val="22"/>
              </w:rPr>
              <w:t>Identified</w:t>
            </w:r>
            <w:proofErr w:type="spellEnd"/>
            <w:r w:rsidRPr="00734D3B">
              <w:rPr>
                <w:rFonts w:cs="Arial"/>
                <w:szCs w:val="22"/>
              </w:rPr>
              <w:t xml:space="preserve"> / Medidas preventivas identificadas</w:t>
            </w:r>
          </w:p>
        </w:tc>
        <w:tc>
          <w:tcPr>
            <w:tcW w:w="4315" w:type="dxa"/>
          </w:tcPr>
          <w:p w14:paraId="4A8D35D0" w14:textId="77777777" w:rsidR="00007824" w:rsidRPr="00734D3B" w:rsidRDefault="00007824" w:rsidP="0049024C">
            <w:pPr>
              <w:rPr>
                <w:rFonts w:cs="Arial"/>
                <w:szCs w:val="22"/>
              </w:rPr>
            </w:pPr>
          </w:p>
        </w:tc>
      </w:tr>
      <w:tr w:rsidR="00734D3B" w:rsidRPr="00734D3B" w14:paraId="323A3191" w14:textId="77777777" w:rsidTr="0049024C">
        <w:tc>
          <w:tcPr>
            <w:tcW w:w="4315" w:type="dxa"/>
          </w:tcPr>
          <w:p w14:paraId="55D7DA99" w14:textId="77777777" w:rsidR="00007824" w:rsidRPr="00734D3B" w:rsidRDefault="00007824" w:rsidP="0049024C">
            <w:pPr>
              <w:rPr>
                <w:rFonts w:cs="Arial"/>
                <w:szCs w:val="22"/>
              </w:rPr>
            </w:pPr>
            <w:proofErr w:type="spellStart"/>
            <w:r w:rsidRPr="00734D3B">
              <w:rPr>
                <w:rFonts w:cs="Arial"/>
                <w:szCs w:val="22"/>
              </w:rPr>
              <w:t>Initial</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Observations</w:t>
            </w:r>
            <w:proofErr w:type="spellEnd"/>
            <w:r w:rsidRPr="00734D3B">
              <w:rPr>
                <w:rFonts w:cs="Arial"/>
                <w:szCs w:val="22"/>
              </w:rPr>
              <w:t xml:space="preserve"> / Observaciones ambientales iniciales</w:t>
            </w:r>
          </w:p>
        </w:tc>
        <w:tc>
          <w:tcPr>
            <w:tcW w:w="4315" w:type="dxa"/>
          </w:tcPr>
          <w:p w14:paraId="54EA0E7A" w14:textId="77777777" w:rsidR="00007824" w:rsidRPr="00734D3B" w:rsidRDefault="00007824" w:rsidP="0049024C">
            <w:pPr>
              <w:rPr>
                <w:rFonts w:cs="Arial"/>
                <w:szCs w:val="22"/>
              </w:rPr>
            </w:pPr>
          </w:p>
        </w:tc>
      </w:tr>
      <w:tr w:rsidR="00007824" w:rsidRPr="00734D3B" w14:paraId="38CD7E92" w14:textId="77777777" w:rsidTr="0049024C">
        <w:tc>
          <w:tcPr>
            <w:tcW w:w="4315" w:type="dxa"/>
          </w:tcPr>
          <w:p w14:paraId="7D8C59F2" w14:textId="77777777" w:rsidR="00007824" w:rsidRPr="00734D3B" w:rsidRDefault="00007824" w:rsidP="0049024C">
            <w:pPr>
              <w:rPr>
                <w:rFonts w:cs="Arial"/>
                <w:szCs w:val="22"/>
              </w:rPr>
            </w:pPr>
            <w:proofErr w:type="spellStart"/>
            <w:r w:rsidRPr="00734D3B">
              <w:rPr>
                <w:rFonts w:cs="Arial"/>
                <w:szCs w:val="22"/>
              </w:rPr>
              <w:t>Authorized</w:t>
            </w:r>
            <w:proofErr w:type="spellEnd"/>
            <w:r w:rsidRPr="00734D3B">
              <w:rPr>
                <w:rFonts w:cs="Arial"/>
                <w:szCs w:val="22"/>
              </w:rPr>
              <w:t xml:space="preserve"> Waste Managers </w:t>
            </w:r>
            <w:proofErr w:type="spellStart"/>
            <w:r w:rsidRPr="00734D3B">
              <w:rPr>
                <w:rFonts w:cs="Arial"/>
                <w:szCs w:val="22"/>
              </w:rPr>
              <w:t>Identified</w:t>
            </w:r>
            <w:proofErr w:type="spellEnd"/>
            <w:r w:rsidRPr="00734D3B">
              <w:rPr>
                <w:rFonts w:cs="Arial"/>
                <w:szCs w:val="22"/>
              </w:rPr>
              <w:t xml:space="preserve"> / Gestores autorizados identificados?</w:t>
            </w:r>
          </w:p>
        </w:tc>
        <w:tc>
          <w:tcPr>
            <w:tcW w:w="4315" w:type="dxa"/>
          </w:tcPr>
          <w:p w14:paraId="0C6383B1" w14:textId="77777777" w:rsidR="00007824" w:rsidRPr="00734D3B" w:rsidRDefault="00007824" w:rsidP="0049024C">
            <w:pPr>
              <w:rPr>
                <w:rFonts w:cs="Arial"/>
                <w:szCs w:val="22"/>
              </w:rPr>
            </w:pPr>
            <w:r w:rsidRPr="00734D3B">
              <w:rPr>
                <w:rFonts w:ascii="Segoe UI Symbol" w:hAnsi="Segoe UI Symbol" w:cs="Segoe UI Symbol"/>
                <w:szCs w:val="22"/>
              </w:rPr>
              <w:t>☐</w:t>
            </w:r>
            <w:r w:rsidRPr="00734D3B">
              <w:rPr>
                <w:rFonts w:cs="Arial"/>
                <w:szCs w:val="22"/>
              </w:rPr>
              <w:t xml:space="preserve"> Yes / Sí </w:t>
            </w:r>
            <w:r w:rsidRPr="00734D3B">
              <w:rPr>
                <w:rFonts w:ascii="Segoe UI Symbol" w:hAnsi="Segoe UI Symbol" w:cs="Segoe UI Symbol"/>
                <w:szCs w:val="22"/>
              </w:rPr>
              <w:t>☐</w:t>
            </w:r>
            <w:r w:rsidRPr="00734D3B">
              <w:rPr>
                <w:rFonts w:cs="Arial"/>
                <w:szCs w:val="22"/>
              </w:rPr>
              <w:t xml:space="preserve"> No</w:t>
            </w:r>
          </w:p>
          <w:p w14:paraId="60BFCAA1" w14:textId="77777777" w:rsidR="00007824" w:rsidRPr="00734D3B" w:rsidRDefault="00007824" w:rsidP="0049024C">
            <w:pPr>
              <w:rPr>
                <w:rFonts w:cs="Arial"/>
                <w:szCs w:val="22"/>
              </w:rPr>
            </w:pPr>
          </w:p>
        </w:tc>
      </w:tr>
    </w:tbl>
    <w:p w14:paraId="3E7D7916" w14:textId="77777777" w:rsidR="00007824" w:rsidRPr="00734D3B" w:rsidRDefault="00007824" w:rsidP="00007824">
      <w:pPr>
        <w:rPr>
          <w:rFonts w:cs="Arial"/>
          <w:szCs w:val="22"/>
        </w:rPr>
      </w:pPr>
    </w:p>
    <w:p w14:paraId="5786A578" w14:textId="77777777" w:rsidR="00A154DB" w:rsidRPr="00734D3B" w:rsidRDefault="00A154DB" w:rsidP="00007824">
      <w:pPr>
        <w:rPr>
          <w:rFonts w:cs="Arial"/>
          <w:szCs w:val="22"/>
        </w:rPr>
      </w:pPr>
    </w:p>
    <w:p w14:paraId="6E9B16DC" w14:textId="41AAFBB2" w:rsidR="00007824" w:rsidRPr="00734D3B" w:rsidRDefault="00007824" w:rsidP="00007824">
      <w:pPr>
        <w:rPr>
          <w:rFonts w:cs="Arial"/>
          <w:szCs w:val="22"/>
        </w:rPr>
      </w:pPr>
      <w:r w:rsidRPr="00734D3B">
        <w:rPr>
          <w:rFonts w:cs="Arial"/>
          <w:szCs w:val="22"/>
        </w:rPr>
        <w:lastRenderedPageBreak/>
        <w:t xml:space="preserve">F-IA-02 –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Impact</w:t>
      </w:r>
      <w:proofErr w:type="spellEnd"/>
      <w:r w:rsidRPr="00734D3B">
        <w:rPr>
          <w:rFonts w:cs="Arial"/>
          <w:szCs w:val="22"/>
        </w:rPr>
        <w:t xml:space="preserve"> Matrix / Matriz de Impactos Ambientales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16F06EE3" w14:textId="77777777" w:rsidTr="0049024C">
        <w:tc>
          <w:tcPr>
            <w:tcW w:w="4315" w:type="dxa"/>
          </w:tcPr>
          <w:p w14:paraId="4EC8D5E8"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09C2F2FC"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36C3C63B" w14:textId="77777777" w:rsidTr="0049024C">
        <w:tc>
          <w:tcPr>
            <w:tcW w:w="4315" w:type="dxa"/>
          </w:tcPr>
          <w:p w14:paraId="20DABCEE" w14:textId="77777777" w:rsidR="00007824" w:rsidRPr="00734D3B" w:rsidRDefault="00007824" w:rsidP="0049024C">
            <w:pPr>
              <w:rPr>
                <w:rFonts w:cs="Arial"/>
                <w:szCs w:val="22"/>
              </w:rPr>
            </w:pPr>
            <w:proofErr w:type="spellStart"/>
            <w:r w:rsidRPr="00734D3B">
              <w:rPr>
                <w:rFonts w:cs="Arial"/>
                <w:szCs w:val="22"/>
              </w:rPr>
              <w:t>Electrical</w:t>
            </w:r>
            <w:proofErr w:type="spellEnd"/>
            <w:r w:rsidRPr="00734D3B">
              <w:rPr>
                <w:rFonts w:cs="Arial"/>
                <w:szCs w:val="22"/>
              </w:rPr>
              <w:t xml:space="preserve"> </w:t>
            </w:r>
            <w:proofErr w:type="spellStart"/>
            <w:r w:rsidRPr="00734D3B">
              <w:rPr>
                <w:rFonts w:cs="Arial"/>
                <w:szCs w:val="22"/>
              </w:rPr>
              <w:t>Activity</w:t>
            </w:r>
            <w:proofErr w:type="spellEnd"/>
            <w:r w:rsidRPr="00734D3B">
              <w:rPr>
                <w:rFonts w:cs="Arial"/>
                <w:szCs w:val="22"/>
              </w:rPr>
              <w:t xml:space="preserve"> / Actividad eléctrica</w:t>
            </w:r>
          </w:p>
        </w:tc>
        <w:tc>
          <w:tcPr>
            <w:tcW w:w="4315" w:type="dxa"/>
          </w:tcPr>
          <w:p w14:paraId="028EAE5D" w14:textId="77777777" w:rsidR="00007824" w:rsidRPr="00734D3B" w:rsidRDefault="00007824" w:rsidP="0049024C">
            <w:pPr>
              <w:rPr>
                <w:rFonts w:cs="Arial"/>
                <w:szCs w:val="22"/>
              </w:rPr>
            </w:pPr>
          </w:p>
        </w:tc>
      </w:tr>
      <w:tr w:rsidR="00734D3B" w:rsidRPr="00734D3B" w14:paraId="5DB0B6B4" w14:textId="77777777" w:rsidTr="0049024C">
        <w:tc>
          <w:tcPr>
            <w:tcW w:w="4315" w:type="dxa"/>
          </w:tcPr>
          <w:p w14:paraId="0F9891DE" w14:textId="77777777" w:rsidR="00007824" w:rsidRPr="00734D3B" w:rsidRDefault="00007824" w:rsidP="0049024C">
            <w:pPr>
              <w:rPr>
                <w:rFonts w:cs="Arial"/>
                <w:szCs w:val="22"/>
              </w:rPr>
            </w:pP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Aspect</w:t>
            </w:r>
            <w:proofErr w:type="spellEnd"/>
            <w:r w:rsidRPr="00734D3B">
              <w:rPr>
                <w:rFonts w:cs="Arial"/>
                <w:szCs w:val="22"/>
              </w:rPr>
              <w:t xml:space="preserve"> / Aspecto ambiental</w:t>
            </w:r>
          </w:p>
        </w:tc>
        <w:tc>
          <w:tcPr>
            <w:tcW w:w="4315" w:type="dxa"/>
          </w:tcPr>
          <w:p w14:paraId="6B20A040" w14:textId="77777777" w:rsidR="00007824" w:rsidRPr="00734D3B" w:rsidRDefault="00007824" w:rsidP="0049024C">
            <w:pPr>
              <w:rPr>
                <w:rFonts w:cs="Arial"/>
                <w:szCs w:val="22"/>
              </w:rPr>
            </w:pPr>
          </w:p>
        </w:tc>
      </w:tr>
      <w:tr w:rsidR="00734D3B" w:rsidRPr="00734D3B" w14:paraId="2BDAB8BB" w14:textId="77777777" w:rsidTr="0049024C">
        <w:tc>
          <w:tcPr>
            <w:tcW w:w="4315" w:type="dxa"/>
          </w:tcPr>
          <w:p w14:paraId="5F5DF02E" w14:textId="77777777" w:rsidR="00007824" w:rsidRPr="00734D3B" w:rsidRDefault="00007824" w:rsidP="0049024C">
            <w:pPr>
              <w:rPr>
                <w:rFonts w:cs="Arial"/>
                <w:szCs w:val="22"/>
              </w:rPr>
            </w:pPr>
            <w:proofErr w:type="spellStart"/>
            <w:r w:rsidRPr="00734D3B">
              <w:rPr>
                <w:rFonts w:cs="Arial"/>
                <w:szCs w:val="22"/>
              </w:rPr>
              <w:t>Impact</w:t>
            </w:r>
            <w:proofErr w:type="spellEnd"/>
            <w:r w:rsidRPr="00734D3B">
              <w:rPr>
                <w:rFonts w:cs="Arial"/>
                <w:szCs w:val="22"/>
              </w:rPr>
              <w:t xml:space="preserve"> </w:t>
            </w:r>
            <w:proofErr w:type="spellStart"/>
            <w:r w:rsidRPr="00734D3B">
              <w:rPr>
                <w:rFonts w:cs="Arial"/>
                <w:szCs w:val="22"/>
              </w:rPr>
              <w:t>Type</w:t>
            </w:r>
            <w:proofErr w:type="spellEnd"/>
            <w:r w:rsidRPr="00734D3B">
              <w:rPr>
                <w:rFonts w:cs="Arial"/>
                <w:szCs w:val="22"/>
              </w:rPr>
              <w:t xml:space="preserve"> / Tipo de impacto</w:t>
            </w:r>
          </w:p>
        </w:tc>
        <w:tc>
          <w:tcPr>
            <w:tcW w:w="4315" w:type="dxa"/>
          </w:tcPr>
          <w:p w14:paraId="31D3F7EB" w14:textId="77777777" w:rsidR="00007824" w:rsidRPr="00734D3B" w:rsidRDefault="00007824" w:rsidP="0049024C">
            <w:pPr>
              <w:rPr>
                <w:rFonts w:cs="Arial"/>
                <w:szCs w:val="22"/>
              </w:rPr>
            </w:pPr>
            <w:r w:rsidRPr="00734D3B">
              <w:rPr>
                <w:rFonts w:ascii="Segoe UI Symbol" w:hAnsi="Segoe UI Symbol" w:cs="Segoe UI Symbol"/>
                <w:szCs w:val="22"/>
              </w:rPr>
              <w:t>☐</w:t>
            </w:r>
            <w:r w:rsidRPr="00734D3B">
              <w:rPr>
                <w:rFonts w:cs="Arial"/>
                <w:szCs w:val="22"/>
              </w:rPr>
              <w:t xml:space="preserve"> Positivo </w:t>
            </w:r>
            <w:r w:rsidRPr="00734D3B">
              <w:rPr>
                <w:rFonts w:ascii="Segoe UI Symbol" w:hAnsi="Segoe UI Symbol" w:cs="Segoe UI Symbol"/>
                <w:szCs w:val="22"/>
              </w:rPr>
              <w:t>☐</w:t>
            </w:r>
            <w:r w:rsidRPr="00734D3B">
              <w:rPr>
                <w:rFonts w:cs="Arial"/>
                <w:szCs w:val="22"/>
              </w:rPr>
              <w:t xml:space="preserve"> Negativo / </w:t>
            </w:r>
            <w:r w:rsidRPr="00734D3B">
              <w:rPr>
                <w:rFonts w:ascii="Segoe UI Symbol" w:hAnsi="Segoe UI Symbol" w:cs="Segoe UI Symbol"/>
                <w:szCs w:val="22"/>
              </w:rPr>
              <w:t>☐</w:t>
            </w:r>
            <w:r w:rsidRPr="00734D3B">
              <w:rPr>
                <w:rFonts w:cs="Arial"/>
                <w:szCs w:val="22"/>
              </w:rPr>
              <w:t xml:space="preserve"> Directo </w:t>
            </w:r>
            <w:r w:rsidRPr="00734D3B">
              <w:rPr>
                <w:rFonts w:ascii="Segoe UI Symbol" w:hAnsi="Segoe UI Symbol" w:cs="Segoe UI Symbol"/>
                <w:szCs w:val="22"/>
              </w:rPr>
              <w:t>☐</w:t>
            </w:r>
            <w:r w:rsidRPr="00734D3B">
              <w:rPr>
                <w:rFonts w:cs="Arial"/>
                <w:szCs w:val="22"/>
              </w:rPr>
              <w:t xml:space="preserve"> Indirecto</w:t>
            </w:r>
          </w:p>
        </w:tc>
      </w:tr>
      <w:tr w:rsidR="00734D3B" w:rsidRPr="00734D3B" w14:paraId="1FFDF3F0" w14:textId="77777777" w:rsidTr="0049024C">
        <w:tc>
          <w:tcPr>
            <w:tcW w:w="4315" w:type="dxa"/>
          </w:tcPr>
          <w:p w14:paraId="00EDA6EB" w14:textId="77777777" w:rsidR="00007824" w:rsidRPr="00734D3B" w:rsidRDefault="00007824" w:rsidP="0049024C">
            <w:pPr>
              <w:rPr>
                <w:rFonts w:cs="Arial"/>
                <w:szCs w:val="22"/>
              </w:rPr>
            </w:pPr>
            <w:proofErr w:type="spellStart"/>
            <w:r w:rsidRPr="00734D3B">
              <w:rPr>
                <w:rFonts w:cs="Arial"/>
                <w:szCs w:val="22"/>
              </w:rPr>
              <w:t>Potential</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Impact</w:t>
            </w:r>
            <w:proofErr w:type="spellEnd"/>
            <w:r w:rsidRPr="00734D3B">
              <w:rPr>
                <w:rFonts w:cs="Arial"/>
                <w:szCs w:val="22"/>
              </w:rPr>
              <w:t xml:space="preserve"> / Impacto ambiental potencial</w:t>
            </w:r>
          </w:p>
        </w:tc>
        <w:tc>
          <w:tcPr>
            <w:tcW w:w="4315" w:type="dxa"/>
          </w:tcPr>
          <w:p w14:paraId="382935B3" w14:textId="77777777" w:rsidR="00007824" w:rsidRPr="00734D3B" w:rsidRDefault="00007824" w:rsidP="0049024C">
            <w:pPr>
              <w:rPr>
                <w:rFonts w:cs="Arial"/>
                <w:szCs w:val="22"/>
              </w:rPr>
            </w:pPr>
          </w:p>
        </w:tc>
      </w:tr>
      <w:tr w:rsidR="00734D3B" w:rsidRPr="00734D3B" w14:paraId="412CFAB5" w14:textId="77777777" w:rsidTr="0049024C">
        <w:tc>
          <w:tcPr>
            <w:tcW w:w="4315" w:type="dxa"/>
          </w:tcPr>
          <w:p w14:paraId="6C84104E" w14:textId="77777777" w:rsidR="00007824" w:rsidRPr="00734D3B" w:rsidRDefault="00007824" w:rsidP="0049024C">
            <w:pPr>
              <w:rPr>
                <w:rFonts w:cs="Arial"/>
                <w:szCs w:val="22"/>
              </w:rPr>
            </w:pPr>
            <w:proofErr w:type="spellStart"/>
            <w:r w:rsidRPr="00734D3B">
              <w:rPr>
                <w:rFonts w:cs="Arial"/>
                <w:szCs w:val="22"/>
              </w:rPr>
              <w:t>Impact</w:t>
            </w:r>
            <w:proofErr w:type="spellEnd"/>
            <w:r w:rsidRPr="00734D3B">
              <w:rPr>
                <w:rFonts w:cs="Arial"/>
                <w:szCs w:val="22"/>
              </w:rPr>
              <w:t xml:space="preserve"> Level (Low / Medium / High) / Nivel de impacto (Bajo/ Medio/ Alto)</w:t>
            </w:r>
          </w:p>
        </w:tc>
        <w:tc>
          <w:tcPr>
            <w:tcW w:w="4315" w:type="dxa"/>
          </w:tcPr>
          <w:p w14:paraId="2172838A" w14:textId="77777777" w:rsidR="00007824" w:rsidRPr="00734D3B" w:rsidRDefault="00007824" w:rsidP="0049024C">
            <w:pPr>
              <w:rPr>
                <w:rFonts w:cs="Arial"/>
                <w:szCs w:val="22"/>
              </w:rPr>
            </w:pPr>
          </w:p>
        </w:tc>
      </w:tr>
      <w:tr w:rsidR="00007824" w:rsidRPr="00734D3B" w14:paraId="5334BC66" w14:textId="77777777" w:rsidTr="0049024C">
        <w:tc>
          <w:tcPr>
            <w:tcW w:w="4315" w:type="dxa"/>
          </w:tcPr>
          <w:p w14:paraId="759AC6B8" w14:textId="77777777" w:rsidR="00007824" w:rsidRPr="00734D3B" w:rsidRDefault="00007824" w:rsidP="0049024C">
            <w:pPr>
              <w:rPr>
                <w:rFonts w:cs="Arial"/>
                <w:szCs w:val="22"/>
              </w:rPr>
            </w:pPr>
            <w:proofErr w:type="spellStart"/>
            <w:r w:rsidRPr="00734D3B">
              <w:rPr>
                <w:rFonts w:cs="Arial"/>
                <w:szCs w:val="22"/>
              </w:rPr>
              <w:t>Mitigation</w:t>
            </w:r>
            <w:proofErr w:type="spellEnd"/>
            <w:r w:rsidRPr="00734D3B">
              <w:rPr>
                <w:rFonts w:cs="Arial"/>
                <w:szCs w:val="22"/>
              </w:rPr>
              <w:t xml:space="preserve"> </w:t>
            </w:r>
            <w:proofErr w:type="spellStart"/>
            <w:r w:rsidRPr="00734D3B">
              <w:rPr>
                <w:rFonts w:cs="Arial"/>
                <w:szCs w:val="22"/>
              </w:rPr>
              <w:t>Measure</w:t>
            </w:r>
            <w:proofErr w:type="spellEnd"/>
            <w:r w:rsidRPr="00734D3B">
              <w:rPr>
                <w:rFonts w:cs="Arial"/>
                <w:szCs w:val="22"/>
              </w:rPr>
              <w:t xml:space="preserve"> / Medida de mitigación</w:t>
            </w:r>
          </w:p>
        </w:tc>
        <w:tc>
          <w:tcPr>
            <w:tcW w:w="4315" w:type="dxa"/>
          </w:tcPr>
          <w:p w14:paraId="4DC6804C" w14:textId="77777777" w:rsidR="00007824" w:rsidRPr="00734D3B" w:rsidRDefault="00007824" w:rsidP="0049024C">
            <w:pPr>
              <w:rPr>
                <w:rFonts w:cs="Arial"/>
                <w:szCs w:val="22"/>
              </w:rPr>
            </w:pPr>
          </w:p>
        </w:tc>
      </w:tr>
    </w:tbl>
    <w:p w14:paraId="292C7843" w14:textId="77777777" w:rsidR="00007824" w:rsidRPr="00734D3B" w:rsidRDefault="00007824" w:rsidP="00007824">
      <w:pPr>
        <w:rPr>
          <w:rFonts w:cs="Arial"/>
          <w:szCs w:val="22"/>
        </w:rPr>
      </w:pPr>
    </w:p>
    <w:p w14:paraId="2A0E68B3" w14:textId="77777777" w:rsidR="00007824" w:rsidRPr="00734D3B" w:rsidRDefault="00007824" w:rsidP="00007824">
      <w:pPr>
        <w:rPr>
          <w:rFonts w:cs="Arial"/>
          <w:szCs w:val="22"/>
        </w:rPr>
      </w:pPr>
      <w:r w:rsidRPr="00734D3B">
        <w:rPr>
          <w:rFonts w:cs="Arial"/>
          <w:szCs w:val="22"/>
        </w:rPr>
        <w:t xml:space="preserve">F-BP-03 – </w:t>
      </w:r>
      <w:proofErr w:type="spellStart"/>
      <w:r w:rsidRPr="00734D3B">
        <w:rPr>
          <w:rFonts w:cs="Arial"/>
          <w:szCs w:val="22"/>
        </w:rPr>
        <w:t>Sustainable</w:t>
      </w:r>
      <w:proofErr w:type="spellEnd"/>
      <w:r w:rsidRPr="00734D3B">
        <w:rPr>
          <w:rFonts w:cs="Arial"/>
          <w:szCs w:val="22"/>
        </w:rPr>
        <w:t xml:space="preserve"> </w:t>
      </w:r>
      <w:proofErr w:type="spellStart"/>
      <w:r w:rsidRPr="00734D3B">
        <w:rPr>
          <w:rFonts w:cs="Arial"/>
          <w:szCs w:val="22"/>
        </w:rPr>
        <w:t>Practices</w:t>
      </w:r>
      <w:proofErr w:type="spellEnd"/>
      <w:r w:rsidRPr="00734D3B">
        <w:rPr>
          <w:rFonts w:cs="Arial"/>
          <w:szCs w:val="22"/>
        </w:rPr>
        <w:t xml:space="preserve"> </w:t>
      </w:r>
      <w:proofErr w:type="spellStart"/>
      <w:r w:rsidRPr="00734D3B">
        <w:rPr>
          <w:rFonts w:cs="Arial"/>
          <w:szCs w:val="22"/>
        </w:rPr>
        <w:t>Checklist</w:t>
      </w:r>
      <w:proofErr w:type="spellEnd"/>
      <w:r w:rsidRPr="00734D3B">
        <w:rPr>
          <w:rFonts w:cs="Arial"/>
          <w:szCs w:val="22"/>
        </w:rPr>
        <w:t xml:space="preserve"> / Lista de Buenas Prácticas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21E223C8" w14:textId="77777777" w:rsidTr="0049024C">
        <w:tc>
          <w:tcPr>
            <w:tcW w:w="4315" w:type="dxa"/>
          </w:tcPr>
          <w:p w14:paraId="05D36403"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19B0776C"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36F560BB" w14:textId="77777777" w:rsidTr="0049024C">
        <w:tc>
          <w:tcPr>
            <w:tcW w:w="4315" w:type="dxa"/>
          </w:tcPr>
          <w:p w14:paraId="7B83764F" w14:textId="77777777" w:rsidR="00007824" w:rsidRPr="00734D3B" w:rsidRDefault="00007824" w:rsidP="0049024C">
            <w:pPr>
              <w:rPr>
                <w:rFonts w:cs="Arial"/>
                <w:szCs w:val="22"/>
              </w:rPr>
            </w:pPr>
            <w:proofErr w:type="spellStart"/>
            <w:r w:rsidRPr="00734D3B">
              <w:rPr>
                <w:rFonts w:cs="Arial"/>
                <w:szCs w:val="22"/>
              </w:rPr>
              <w:t>Sustainability</w:t>
            </w:r>
            <w:proofErr w:type="spellEnd"/>
            <w:r w:rsidRPr="00734D3B">
              <w:rPr>
                <w:rFonts w:cs="Arial"/>
                <w:szCs w:val="22"/>
              </w:rPr>
              <w:t xml:space="preserve"> </w:t>
            </w:r>
            <w:proofErr w:type="spellStart"/>
            <w:r w:rsidRPr="00734D3B">
              <w:rPr>
                <w:rFonts w:cs="Arial"/>
                <w:szCs w:val="22"/>
              </w:rPr>
              <w:t>Category</w:t>
            </w:r>
            <w:proofErr w:type="spellEnd"/>
            <w:r w:rsidRPr="00734D3B">
              <w:rPr>
                <w:rFonts w:cs="Arial"/>
                <w:szCs w:val="22"/>
              </w:rPr>
              <w:t xml:space="preserve"> / Categoría de sostenibilidad</w:t>
            </w:r>
          </w:p>
        </w:tc>
        <w:tc>
          <w:tcPr>
            <w:tcW w:w="4315" w:type="dxa"/>
          </w:tcPr>
          <w:p w14:paraId="7D5EBFEA" w14:textId="77777777" w:rsidR="00007824" w:rsidRPr="00734D3B" w:rsidRDefault="00007824" w:rsidP="0049024C">
            <w:pPr>
              <w:rPr>
                <w:rFonts w:cs="Arial"/>
                <w:szCs w:val="22"/>
              </w:rPr>
            </w:pPr>
          </w:p>
        </w:tc>
      </w:tr>
      <w:tr w:rsidR="00734D3B" w:rsidRPr="00734D3B" w14:paraId="1109A5FB" w14:textId="77777777" w:rsidTr="0049024C">
        <w:tc>
          <w:tcPr>
            <w:tcW w:w="4315" w:type="dxa"/>
          </w:tcPr>
          <w:p w14:paraId="7E8CAEFC" w14:textId="77777777" w:rsidR="00007824" w:rsidRPr="00734D3B" w:rsidRDefault="00007824" w:rsidP="0049024C">
            <w:pPr>
              <w:rPr>
                <w:rFonts w:cs="Arial"/>
                <w:szCs w:val="22"/>
              </w:rPr>
            </w:pPr>
            <w:r w:rsidRPr="00734D3B">
              <w:rPr>
                <w:rFonts w:cs="Arial"/>
                <w:szCs w:val="22"/>
              </w:rPr>
              <w:t xml:space="preserve">Best </w:t>
            </w:r>
            <w:proofErr w:type="spellStart"/>
            <w:r w:rsidRPr="00734D3B">
              <w:rPr>
                <w:rFonts w:cs="Arial"/>
                <w:szCs w:val="22"/>
              </w:rPr>
              <w:t>Practice</w:t>
            </w:r>
            <w:proofErr w:type="spellEnd"/>
            <w:r w:rsidRPr="00734D3B">
              <w:rPr>
                <w:rFonts w:cs="Arial"/>
                <w:szCs w:val="22"/>
              </w:rPr>
              <w:t xml:space="preserve"> </w:t>
            </w:r>
            <w:proofErr w:type="spellStart"/>
            <w:r w:rsidRPr="00734D3B">
              <w:rPr>
                <w:rFonts w:cs="Arial"/>
                <w:szCs w:val="22"/>
              </w:rPr>
              <w:t>Description</w:t>
            </w:r>
            <w:proofErr w:type="spellEnd"/>
            <w:r w:rsidRPr="00734D3B">
              <w:rPr>
                <w:rFonts w:cs="Arial"/>
                <w:szCs w:val="22"/>
              </w:rPr>
              <w:t xml:space="preserve"> / Descripción de la buena práctica</w:t>
            </w:r>
          </w:p>
        </w:tc>
        <w:tc>
          <w:tcPr>
            <w:tcW w:w="4315" w:type="dxa"/>
          </w:tcPr>
          <w:p w14:paraId="7621FD91" w14:textId="77777777" w:rsidR="00007824" w:rsidRPr="00734D3B" w:rsidRDefault="00007824" w:rsidP="0049024C">
            <w:pPr>
              <w:rPr>
                <w:rFonts w:cs="Arial"/>
                <w:szCs w:val="22"/>
              </w:rPr>
            </w:pPr>
          </w:p>
        </w:tc>
      </w:tr>
      <w:tr w:rsidR="00734D3B" w:rsidRPr="0026787D" w14:paraId="1C776691" w14:textId="77777777" w:rsidTr="0049024C">
        <w:tc>
          <w:tcPr>
            <w:tcW w:w="4315" w:type="dxa"/>
          </w:tcPr>
          <w:p w14:paraId="3A313CDD" w14:textId="77777777" w:rsidR="00007824" w:rsidRPr="00734D3B" w:rsidRDefault="00007824" w:rsidP="0049024C">
            <w:pPr>
              <w:rPr>
                <w:rFonts w:cs="Arial"/>
                <w:szCs w:val="22"/>
                <w:lang w:val="en-US"/>
              </w:rPr>
            </w:pPr>
            <w:r w:rsidRPr="00734D3B">
              <w:rPr>
                <w:rFonts w:cs="Arial"/>
                <w:szCs w:val="22"/>
                <w:lang w:val="en-US"/>
              </w:rPr>
              <w:t>Is it implemented? (Yes / No) / ¿</w:t>
            </w:r>
            <w:proofErr w:type="spellStart"/>
            <w:r w:rsidRPr="00734D3B">
              <w:rPr>
                <w:rFonts w:cs="Arial"/>
                <w:szCs w:val="22"/>
                <w:lang w:val="en-US"/>
              </w:rPr>
              <w:t>Está</w:t>
            </w:r>
            <w:proofErr w:type="spellEnd"/>
            <w:r w:rsidRPr="00734D3B">
              <w:rPr>
                <w:rFonts w:cs="Arial"/>
                <w:szCs w:val="22"/>
                <w:lang w:val="en-US"/>
              </w:rPr>
              <w:t xml:space="preserve"> </w:t>
            </w:r>
            <w:proofErr w:type="spellStart"/>
            <w:r w:rsidRPr="00734D3B">
              <w:rPr>
                <w:rFonts w:cs="Arial"/>
                <w:szCs w:val="22"/>
                <w:lang w:val="en-US"/>
              </w:rPr>
              <w:t>implementada</w:t>
            </w:r>
            <w:proofErr w:type="spellEnd"/>
            <w:r w:rsidRPr="00734D3B">
              <w:rPr>
                <w:rFonts w:cs="Arial"/>
                <w:szCs w:val="22"/>
                <w:lang w:val="en-US"/>
              </w:rPr>
              <w:t>?</w:t>
            </w:r>
          </w:p>
        </w:tc>
        <w:tc>
          <w:tcPr>
            <w:tcW w:w="4315" w:type="dxa"/>
          </w:tcPr>
          <w:p w14:paraId="0DF8CA59" w14:textId="77777777" w:rsidR="00007824" w:rsidRPr="00734D3B" w:rsidRDefault="00007824" w:rsidP="0049024C">
            <w:pPr>
              <w:rPr>
                <w:rFonts w:cs="Arial"/>
                <w:szCs w:val="22"/>
                <w:lang w:val="en-US"/>
              </w:rPr>
            </w:pPr>
          </w:p>
        </w:tc>
      </w:tr>
      <w:tr w:rsidR="00734D3B" w:rsidRPr="00734D3B" w14:paraId="597B2073" w14:textId="77777777" w:rsidTr="0049024C">
        <w:tc>
          <w:tcPr>
            <w:tcW w:w="4315" w:type="dxa"/>
          </w:tcPr>
          <w:p w14:paraId="2BA67EED" w14:textId="77777777" w:rsidR="00007824" w:rsidRPr="00734D3B" w:rsidRDefault="00007824" w:rsidP="0049024C">
            <w:pPr>
              <w:rPr>
                <w:rFonts w:cs="Arial"/>
                <w:szCs w:val="22"/>
              </w:rPr>
            </w:pPr>
            <w:proofErr w:type="spellStart"/>
            <w:r w:rsidRPr="00734D3B">
              <w:rPr>
                <w:rFonts w:cs="Arial"/>
                <w:szCs w:val="22"/>
              </w:rPr>
              <w:lastRenderedPageBreak/>
              <w:t>Expected</w:t>
            </w:r>
            <w:proofErr w:type="spellEnd"/>
            <w:r w:rsidRPr="00734D3B">
              <w:rPr>
                <w:rFonts w:cs="Arial"/>
                <w:szCs w:val="22"/>
              </w:rPr>
              <w:t xml:space="preserve"> </w:t>
            </w:r>
            <w:proofErr w:type="spellStart"/>
            <w:r w:rsidRPr="00734D3B">
              <w:rPr>
                <w:rFonts w:cs="Arial"/>
                <w:szCs w:val="22"/>
              </w:rPr>
              <w:t>Environmental</w:t>
            </w:r>
            <w:proofErr w:type="spellEnd"/>
            <w:r w:rsidRPr="00734D3B">
              <w:rPr>
                <w:rFonts w:cs="Arial"/>
                <w:szCs w:val="22"/>
              </w:rPr>
              <w:t xml:space="preserve"> Benefit / Beneficio ambiental esperado</w:t>
            </w:r>
          </w:p>
        </w:tc>
        <w:tc>
          <w:tcPr>
            <w:tcW w:w="4315" w:type="dxa"/>
          </w:tcPr>
          <w:p w14:paraId="2D60110E" w14:textId="77777777" w:rsidR="00007824" w:rsidRPr="00734D3B" w:rsidRDefault="00007824" w:rsidP="0049024C">
            <w:pPr>
              <w:rPr>
                <w:rFonts w:cs="Arial"/>
                <w:szCs w:val="22"/>
              </w:rPr>
            </w:pPr>
          </w:p>
        </w:tc>
      </w:tr>
      <w:tr w:rsidR="00734D3B" w:rsidRPr="00734D3B" w14:paraId="49F334A6" w14:textId="77777777" w:rsidTr="0049024C">
        <w:tc>
          <w:tcPr>
            <w:tcW w:w="4315" w:type="dxa"/>
          </w:tcPr>
          <w:p w14:paraId="6398B7DD" w14:textId="77777777" w:rsidR="00007824" w:rsidRPr="00734D3B" w:rsidRDefault="00007824" w:rsidP="0049024C">
            <w:pPr>
              <w:rPr>
                <w:rFonts w:cs="Arial"/>
                <w:szCs w:val="22"/>
              </w:rPr>
            </w:pPr>
            <w:proofErr w:type="spellStart"/>
            <w:r w:rsidRPr="00734D3B">
              <w:rPr>
                <w:rFonts w:cs="Arial"/>
                <w:szCs w:val="22"/>
              </w:rPr>
              <w:t>Implementation</w:t>
            </w:r>
            <w:proofErr w:type="spellEnd"/>
            <w:r w:rsidRPr="00734D3B">
              <w:rPr>
                <w:rFonts w:cs="Arial"/>
                <w:szCs w:val="22"/>
              </w:rPr>
              <w:t xml:space="preserve"> </w:t>
            </w:r>
            <w:proofErr w:type="spellStart"/>
            <w:r w:rsidRPr="00734D3B">
              <w:rPr>
                <w:rFonts w:cs="Arial"/>
                <w:szCs w:val="22"/>
              </w:rPr>
              <w:t>Challenges</w:t>
            </w:r>
            <w:proofErr w:type="spellEnd"/>
            <w:r w:rsidRPr="00734D3B">
              <w:rPr>
                <w:rFonts w:cs="Arial"/>
                <w:szCs w:val="22"/>
              </w:rPr>
              <w:t xml:space="preserve"> / Retos de implementación</w:t>
            </w:r>
          </w:p>
        </w:tc>
        <w:tc>
          <w:tcPr>
            <w:tcW w:w="4315" w:type="dxa"/>
          </w:tcPr>
          <w:p w14:paraId="74D27C30" w14:textId="77777777" w:rsidR="00007824" w:rsidRPr="00734D3B" w:rsidRDefault="00007824" w:rsidP="0049024C">
            <w:pPr>
              <w:rPr>
                <w:rFonts w:cs="Arial"/>
                <w:szCs w:val="22"/>
              </w:rPr>
            </w:pPr>
          </w:p>
        </w:tc>
      </w:tr>
      <w:tr w:rsidR="00007824" w:rsidRPr="00734D3B" w14:paraId="30C2615D" w14:textId="77777777" w:rsidTr="0049024C">
        <w:tc>
          <w:tcPr>
            <w:tcW w:w="4315" w:type="dxa"/>
          </w:tcPr>
          <w:p w14:paraId="12379DD9" w14:textId="77777777" w:rsidR="00007824" w:rsidRPr="00734D3B" w:rsidRDefault="00007824" w:rsidP="0049024C">
            <w:pPr>
              <w:rPr>
                <w:rFonts w:cs="Arial"/>
                <w:szCs w:val="22"/>
              </w:rPr>
            </w:pPr>
            <w:proofErr w:type="spellStart"/>
            <w:r w:rsidRPr="00734D3B">
              <w:rPr>
                <w:rFonts w:cs="Arial"/>
                <w:szCs w:val="22"/>
              </w:rPr>
              <w:t>Comments</w:t>
            </w:r>
            <w:proofErr w:type="spellEnd"/>
            <w:r w:rsidRPr="00734D3B">
              <w:rPr>
                <w:rFonts w:cs="Arial"/>
                <w:szCs w:val="22"/>
              </w:rPr>
              <w:t xml:space="preserve"> / Observaciones</w:t>
            </w:r>
          </w:p>
        </w:tc>
        <w:tc>
          <w:tcPr>
            <w:tcW w:w="4315" w:type="dxa"/>
          </w:tcPr>
          <w:p w14:paraId="7AAF43A1" w14:textId="77777777" w:rsidR="00007824" w:rsidRPr="00734D3B" w:rsidRDefault="00007824" w:rsidP="0049024C">
            <w:pPr>
              <w:rPr>
                <w:rFonts w:cs="Arial"/>
                <w:szCs w:val="22"/>
              </w:rPr>
            </w:pPr>
          </w:p>
        </w:tc>
      </w:tr>
    </w:tbl>
    <w:p w14:paraId="2C1DF997" w14:textId="77777777" w:rsidR="00007824" w:rsidRPr="00734D3B" w:rsidRDefault="00007824" w:rsidP="00007824">
      <w:pPr>
        <w:rPr>
          <w:rFonts w:cs="Arial"/>
          <w:szCs w:val="22"/>
        </w:rPr>
      </w:pPr>
    </w:p>
    <w:p w14:paraId="14FCD04D" w14:textId="77777777" w:rsidR="00007824" w:rsidRPr="00734D3B" w:rsidRDefault="00007824" w:rsidP="00007824">
      <w:pPr>
        <w:rPr>
          <w:rFonts w:cs="Arial"/>
          <w:szCs w:val="22"/>
        </w:rPr>
      </w:pPr>
      <w:r w:rsidRPr="00734D3B">
        <w:rPr>
          <w:rFonts w:cs="Arial"/>
          <w:szCs w:val="22"/>
        </w:rPr>
        <w:t xml:space="preserve">F-RS-04 – </w:t>
      </w:r>
      <w:proofErr w:type="spellStart"/>
      <w:r w:rsidRPr="00734D3B">
        <w:rPr>
          <w:rFonts w:cs="Arial"/>
          <w:szCs w:val="22"/>
        </w:rPr>
        <w:t>Electrical</w:t>
      </w:r>
      <w:proofErr w:type="spellEnd"/>
      <w:r w:rsidRPr="00734D3B">
        <w:rPr>
          <w:rFonts w:cs="Arial"/>
          <w:szCs w:val="22"/>
        </w:rPr>
        <w:t xml:space="preserve"> Waste Register (RAEE) / Registro de Residuos Eléctricos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5C2FB51E" w14:textId="77777777" w:rsidTr="0049024C">
        <w:tc>
          <w:tcPr>
            <w:tcW w:w="4315" w:type="dxa"/>
          </w:tcPr>
          <w:p w14:paraId="41CFE786"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5FF1D971"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27CA8FEA" w14:textId="77777777" w:rsidTr="0049024C">
        <w:tc>
          <w:tcPr>
            <w:tcW w:w="4315" w:type="dxa"/>
          </w:tcPr>
          <w:p w14:paraId="2D441D69" w14:textId="77777777" w:rsidR="00007824" w:rsidRPr="00734D3B" w:rsidRDefault="00007824" w:rsidP="0049024C">
            <w:pPr>
              <w:rPr>
                <w:rFonts w:cs="Arial"/>
                <w:szCs w:val="22"/>
              </w:rPr>
            </w:pPr>
            <w:r w:rsidRPr="00734D3B">
              <w:rPr>
                <w:rFonts w:cs="Arial"/>
                <w:szCs w:val="22"/>
              </w:rPr>
              <w:t>Date / Fecha</w:t>
            </w:r>
          </w:p>
        </w:tc>
        <w:tc>
          <w:tcPr>
            <w:tcW w:w="4315" w:type="dxa"/>
          </w:tcPr>
          <w:p w14:paraId="292912FF" w14:textId="77777777" w:rsidR="00007824" w:rsidRPr="00734D3B" w:rsidRDefault="00007824" w:rsidP="0049024C">
            <w:pPr>
              <w:rPr>
                <w:rFonts w:cs="Arial"/>
                <w:szCs w:val="22"/>
              </w:rPr>
            </w:pPr>
          </w:p>
        </w:tc>
      </w:tr>
      <w:tr w:rsidR="00734D3B" w:rsidRPr="00734D3B" w14:paraId="1F576365" w14:textId="77777777" w:rsidTr="0049024C">
        <w:tc>
          <w:tcPr>
            <w:tcW w:w="4315" w:type="dxa"/>
          </w:tcPr>
          <w:p w14:paraId="20FFBE3B" w14:textId="77777777" w:rsidR="00007824" w:rsidRPr="00734D3B" w:rsidRDefault="00007824" w:rsidP="0049024C">
            <w:pPr>
              <w:rPr>
                <w:rFonts w:cs="Arial"/>
                <w:szCs w:val="22"/>
              </w:rPr>
            </w:pPr>
            <w:r w:rsidRPr="00734D3B">
              <w:rPr>
                <w:rFonts w:cs="Arial"/>
                <w:szCs w:val="22"/>
              </w:rPr>
              <w:t xml:space="preserve">Waste </w:t>
            </w:r>
            <w:proofErr w:type="spellStart"/>
            <w:r w:rsidRPr="00734D3B">
              <w:rPr>
                <w:rFonts w:cs="Arial"/>
                <w:szCs w:val="22"/>
              </w:rPr>
              <w:t>Type</w:t>
            </w:r>
            <w:proofErr w:type="spellEnd"/>
            <w:r w:rsidRPr="00734D3B">
              <w:rPr>
                <w:rFonts w:cs="Arial"/>
                <w:szCs w:val="22"/>
              </w:rPr>
              <w:t xml:space="preserve"> (RAEE) / Tipo de residuo</w:t>
            </w:r>
          </w:p>
        </w:tc>
        <w:tc>
          <w:tcPr>
            <w:tcW w:w="4315" w:type="dxa"/>
          </w:tcPr>
          <w:p w14:paraId="0E319615" w14:textId="77777777" w:rsidR="00007824" w:rsidRPr="00734D3B" w:rsidRDefault="00007824" w:rsidP="0049024C">
            <w:pPr>
              <w:rPr>
                <w:rFonts w:cs="Arial"/>
                <w:szCs w:val="22"/>
              </w:rPr>
            </w:pPr>
          </w:p>
        </w:tc>
      </w:tr>
      <w:tr w:rsidR="00734D3B" w:rsidRPr="00734D3B" w14:paraId="5B136874" w14:textId="77777777" w:rsidTr="0049024C">
        <w:tc>
          <w:tcPr>
            <w:tcW w:w="4315" w:type="dxa"/>
          </w:tcPr>
          <w:p w14:paraId="768CE345" w14:textId="77777777" w:rsidR="00007824" w:rsidRPr="00734D3B" w:rsidRDefault="00007824" w:rsidP="0049024C">
            <w:pPr>
              <w:rPr>
                <w:rFonts w:cs="Arial"/>
                <w:szCs w:val="22"/>
              </w:rPr>
            </w:pPr>
            <w:proofErr w:type="spellStart"/>
            <w:r w:rsidRPr="00734D3B">
              <w:rPr>
                <w:rFonts w:cs="Arial"/>
                <w:szCs w:val="22"/>
              </w:rPr>
              <w:t>Estimated</w:t>
            </w:r>
            <w:proofErr w:type="spellEnd"/>
            <w:r w:rsidRPr="00734D3B">
              <w:rPr>
                <w:rFonts w:cs="Arial"/>
                <w:szCs w:val="22"/>
              </w:rPr>
              <w:t xml:space="preserve"> </w:t>
            </w:r>
            <w:proofErr w:type="spellStart"/>
            <w:r w:rsidRPr="00734D3B">
              <w:rPr>
                <w:rFonts w:cs="Arial"/>
                <w:szCs w:val="22"/>
              </w:rPr>
              <w:t>Quantity</w:t>
            </w:r>
            <w:proofErr w:type="spellEnd"/>
            <w:r w:rsidRPr="00734D3B">
              <w:rPr>
                <w:rFonts w:cs="Arial"/>
                <w:szCs w:val="22"/>
              </w:rPr>
              <w:t xml:space="preserve"> / Cantidad estimada</w:t>
            </w:r>
          </w:p>
        </w:tc>
        <w:tc>
          <w:tcPr>
            <w:tcW w:w="4315" w:type="dxa"/>
          </w:tcPr>
          <w:p w14:paraId="15F7B625" w14:textId="77777777" w:rsidR="00007824" w:rsidRPr="00734D3B" w:rsidRDefault="00007824" w:rsidP="0049024C">
            <w:pPr>
              <w:rPr>
                <w:rFonts w:cs="Arial"/>
                <w:szCs w:val="22"/>
              </w:rPr>
            </w:pPr>
          </w:p>
        </w:tc>
      </w:tr>
      <w:tr w:rsidR="00734D3B" w:rsidRPr="00734D3B" w14:paraId="53BEE36A" w14:textId="77777777" w:rsidTr="0049024C">
        <w:tc>
          <w:tcPr>
            <w:tcW w:w="4315" w:type="dxa"/>
          </w:tcPr>
          <w:p w14:paraId="129B2121" w14:textId="77777777" w:rsidR="00007824" w:rsidRPr="00734D3B" w:rsidRDefault="00007824" w:rsidP="0049024C">
            <w:pPr>
              <w:rPr>
                <w:rFonts w:cs="Arial"/>
                <w:szCs w:val="22"/>
              </w:rPr>
            </w:pPr>
            <w:r w:rsidRPr="00734D3B">
              <w:rPr>
                <w:rFonts w:cs="Arial"/>
                <w:szCs w:val="22"/>
              </w:rPr>
              <w:t>Work Area / Área de origen</w:t>
            </w:r>
          </w:p>
        </w:tc>
        <w:tc>
          <w:tcPr>
            <w:tcW w:w="4315" w:type="dxa"/>
          </w:tcPr>
          <w:p w14:paraId="6452B38C" w14:textId="77777777" w:rsidR="00007824" w:rsidRPr="00734D3B" w:rsidRDefault="00007824" w:rsidP="0049024C">
            <w:pPr>
              <w:rPr>
                <w:rFonts w:cs="Arial"/>
                <w:szCs w:val="22"/>
              </w:rPr>
            </w:pPr>
          </w:p>
        </w:tc>
      </w:tr>
      <w:tr w:rsidR="00734D3B" w:rsidRPr="00734D3B" w14:paraId="60C8A2FB" w14:textId="77777777" w:rsidTr="0049024C">
        <w:tc>
          <w:tcPr>
            <w:tcW w:w="4315" w:type="dxa"/>
          </w:tcPr>
          <w:p w14:paraId="5D274661" w14:textId="77777777" w:rsidR="00007824" w:rsidRPr="00734D3B" w:rsidRDefault="00007824" w:rsidP="0049024C">
            <w:pPr>
              <w:rPr>
                <w:rFonts w:cs="Arial"/>
                <w:szCs w:val="22"/>
              </w:rPr>
            </w:pPr>
            <w:proofErr w:type="spellStart"/>
            <w:r w:rsidRPr="00734D3B">
              <w:rPr>
                <w:rFonts w:cs="Arial"/>
                <w:szCs w:val="22"/>
              </w:rPr>
              <w:t>Segregation</w:t>
            </w:r>
            <w:proofErr w:type="spellEnd"/>
            <w:r w:rsidRPr="00734D3B">
              <w:rPr>
                <w:rFonts w:cs="Arial"/>
                <w:szCs w:val="22"/>
              </w:rPr>
              <w:t xml:space="preserve"> Method / Método de segregación</w:t>
            </w:r>
          </w:p>
        </w:tc>
        <w:tc>
          <w:tcPr>
            <w:tcW w:w="4315" w:type="dxa"/>
          </w:tcPr>
          <w:p w14:paraId="46C3CE28" w14:textId="77777777" w:rsidR="00007824" w:rsidRPr="00734D3B" w:rsidRDefault="00007824" w:rsidP="0049024C">
            <w:pPr>
              <w:rPr>
                <w:rFonts w:cs="Arial"/>
                <w:szCs w:val="22"/>
              </w:rPr>
            </w:pPr>
          </w:p>
        </w:tc>
      </w:tr>
      <w:tr w:rsidR="00734D3B" w:rsidRPr="00734D3B" w14:paraId="39503CA3" w14:textId="77777777" w:rsidTr="0049024C">
        <w:tc>
          <w:tcPr>
            <w:tcW w:w="4315" w:type="dxa"/>
          </w:tcPr>
          <w:p w14:paraId="0C2157D8" w14:textId="77777777" w:rsidR="00007824" w:rsidRPr="00734D3B" w:rsidRDefault="00007824" w:rsidP="0049024C">
            <w:pPr>
              <w:rPr>
                <w:rFonts w:cs="Arial"/>
                <w:szCs w:val="22"/>
              </w:rPr>
            </w:pPr>
            <w:proofErr w:type="spellStart"/>
            <w:r w:rsidRPr="00734D3B">
              <w:rPr>
                <w:rFonts w:cs="Arial"/>
                <w:szCs w:val="22"/>
              </w:rPr>
              <w:t>Temporary</w:t>
            </w:r>
            <w:proofErr w:type="spellEnd"/>
            <w:r w:rsidRPr="00734D3B">
              <w:rPr>
                <w:rFonts w:cs="Arial"/>
                <w:szCs w:val="22"/>
              </w:rPr>
              <w:t xml:space="preserve"> Storage </w:t>
            </w:r>
            <w:proofErr w:type="spellStart"/>
            <w:r w:rsidRPr="00734D3B">
              <w:rPr>
                <w:rFonts w:cs="Arial"/>
                <w:szCs w:val="22"/>
              </w:rPr>
              <w:t>Location</w:t>
            </w:r>
            <w:proofErr w:type="spellEnd"/>
            <w:r w:rsidRPr="00734D3B">
              <w:rPr>
                <w:rFonts w:cs="Arial"/>
                <w:szCs w:val="22"/>
              </w:rPr>
              <w:t xml:space="preserve"> / Almacenamiento temporal</w:t>
            </w:r>
          </w:p>
        </w:tc>
        <w:tc>
          <w:tcPr>
            <w:tcW w:w="4315" w:type="dxa"/>
          </w:tcPr>
          <w:p w14:paraId="7633B914" w14:textId="77777777" w:rsidR="00007824" w:rsidRPr="00734D3B" w:rsidRDefault="00007824" w:rsidP="0049024C">
            <w:pPr>
              <w:rPr>
                <w:rFonts w:cs="Arial"/>
                <w:szCs w:val="22"/>
              </w:rPr>
            </w:pPr>
          </w:p>
        </w:tc>
      </w:tr>
      <w:tr w:rsidR="00734D3B" w:rsidRPr="00734D3B" w14:paraId="6422280B" w14:textId="77777777" w:rsidTr="0049024C">
        <w:tc>
          <w:tcPr>
            <w:tcW w:w="4315" w:type="dxa"/>
          </w:tcPr>
          <w:p w14:paraId="5633032B" w14:textId="77777777" w:rsidR="00007824" w:rsidRPr="00734D3B" w:rsidRDefault="00007824" w:rsidP="0049024C">
            <w:pPr>
              <w:rPr>
                <w:rFonts w:cs="Arial"/>
                <w:szCs w:val="22"/>
              </w:rPr>
            </w:pPr>
            <w:r w:rsidRPr="00734D3B">
              <w:rPr>
                <w:rFonts w:cs="Arial"/>
                <w:szCs w:val="22"/>
              </w:rPr>
              <w:t xml:space="preserve">Final </w:t>
            </w:r>
            <w:proofErr w:type="spellStart"/>
            <w:r w:rsidRPr="00734D3B">
              <w:rPr>
                <w:rFonts w:cs="Arial"/>
                <w:szCs w:val="22"/>
              </w:rPr>
              <w:t>Disposal</w:t>
            </w:r>
            <w:proofErr w:type="spellEnd"/>
            <w:r w:rsidRPr="00734D3B">
              <w:rPr>
                <w:rFonts w:cs="Arial"/>
                <w:szCs w:val="22"/>
              </w:rPr>
              <w:t xml:space="preserve"> Method / Método de disposición final</w:t>
            </w:r>
          </w:p>
        </w:tc>
        <w:tc>
          <w:tcPr>
            <w:tcW w:w="4315" w:type="dxa"/>
          </w:tcPr>
          <w:p w14:paraId="7E0D6D2C" w14:textId="77777777" w:rsidR="00007824" w:rsidRPr="00734D3B" w:rsidRDefault="00007824" w:rsidP="0049024C">
            <w:pPr>
              <w:rPr>
                <w:rFonts w:cs="Arial"/>
                <w:szCs w:val="22"/>
              </w:rPr>
            </w:pPr>
          </w:p>
        </w:tc>
      </w:tr>
      <w:tr w:rsidR="00734D3B" w:rsidRPr="0026787D" w14:paraId="27BDE2B1" w14:textId="77777777" w:rsidTr="0049024C">
        <w:tc>
          <w:tcPr>
            <w:tcW w:w="4315" w:type="dxa"/>
          </w:tcPr>
          <w:p w14:paraId="0D671FF7" w14:textId="77777777" w:rsidR="00007824" w:rsidRPr="00734D3B" w:rsidRDefault="00007824" w:rsidP="0049024C">
            <w:pPr>
              <w:rPr>
                <w:rFonts w:cs="Arial"/>
                <w:szCs w:val="22"/>
                <w:lang w:val="en-US"/>
              </w:rPr>
            </w:pPr>
            <w:r w:rsidRPr="00734D3B">
              <w:rPr>
                <w:rFonts w:cs="Arial"/>
                <w:szCs w:val="22"/>
                <w:lang w:val="en-US"/>
              </w:rPr>
              <w:t xml:space="preserve">Authorized Waste Manager / Gestor </w:t>
            </w:r>
            <w:proofErr w:type="spellStart"/>
            <w:r w:rsidRPr="00734D3B">
              <w:rPr>
                <w:rFonts w:cs="Arial"/>
                <w:szCs w:val="22"/>
                <w:lang w:val="en-US"/>
              </w:rPr>
              <w:t>autorizado</w:t>
            </w:r>
            <w:proofErr w:type="spellEnd"/>
          </w:p>
        </w:tc>
        <w:tc>
          <w:tcPr>
            <w:tcW w:w="4315" w:type="dxa"/>
          </w:tcPr>
          <w:p w14:paraId="484204C5" w14:textId="77777777" w:rsidR="00007824" w:rsidRPr="00734D3B" w:rsidRDefault="00007824" w:rsidP="0049024C">
            <w:pPr>
              <w:rPr>
                <w:rFonts w:cs="Arial"/>
                <w:szCs w:val="22"/>
                <w:lang w:val="en-US"/>
              </w:rPr>
            </w:pPr>
          </w:p>
        </w:tc>
      </w:tr>
    </w:tbl>
    <w:p w14:paraId="3AAE7412" w14:textId="77777777" w:rsidR="00007824" w:rsidRPr="00734D3B" w:rsidRDefault="00007824" w:rsidP="00007824">
      <w:pPr>
        <w:rPr>
          <w:rFonts w:cs="Arial"/>
          <w:szCs w:val="22"/>
          <w:lang w:val="en-US"/>
        </w:rPr>
      </w:pPr>
    </w:p>
    <w:p w14:paraId="51A7B339" w14:textId="77777777" w:rsidR="00007824" w:rsidRPr="00734D3B" w:rsidRDefault="00007824" w:rsidP="00007824">
      <w:pPr>
        <w:rPr>
          <w:rFonts w:cs="Arial"/>
          <w:szCs w:val="22"/>
        </w:rPr>
      </w:pPr>
      <w:r w:rsidRPr="00734D3B">
        <w:rPr>
          <w:rFonts w:cs="Arial"/>
          <w:szCs w:val="22"/>
        </w:rPr>
        <w:t xml:space="preserve">F-BA-05 –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Logbook</w:t>
      </w:r>
      <w:proofErr w:type="spellEnd"/>
      <w:r w:rsidRPr="00734D3B">
        <w:rPr>
          <w:rFonts w:cs="Arial"/>
          <w:szCs w:val="22"/>
        </w:rPr>
        <w:t xml:space="preserve"> / Bitácora Ambiental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59865D33" w14:textId="77777777" w:rsidTr="0049024C">
        <w:tc>
          <w:tcPr>
            <w:tcW w:w="4315" w:type="dxa"/>
          </w:tcPr>
          <w:p w14:paraId="299385FF" w14:textId="77777777" w:rsidR="00007824" w:rsidRPr="00734D3B" w:rsidRDefault="00007824" w:rsidP="0049024C">
            <w:pPr>
              <w:rPr>
                <w:rFonts w:cs="Arial"/>
                <w:b/>
                <w:bCs/>
                <w:szCs w:val="22"/>
              </w:rPr>
            </w:pPr>
            <w:r w:rsidRPr="00734D3B">
              <w:rPr>
                <w:rFonts w:cs="Arial"/>
                <w:b/>
                <w:bCs/>
                <w:szCs w:val="22"/>
              </w:rPr>
              <w:lastRenderedPageBreak/>
              <w:t>Field / Campo</w:t>
            </w:r>
          </w:p>
        </w:tc>
        <w:tc>
          <w:tcPr>
            <w:tcW w:w="4315" w:type="dxa"/>
          </w:tcPr>
          <w:p w14:paraId="1B885DE2"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17FB9797" w14:textId="77777777" w:rsidTr="0049024C">
        <w:tc>
          <w:tcPr>
            <w:tcW w:w="4315" w:type="dxa"/>
          </w:tcPr>
          <w:p w14:paraId="12B24CEA" w14:textId="77777777" w:rsidR="00007824" w:rsidRPr="00734D3B" w:rsidRDefault="00007824" w:rsidP="0049024C">
            <w:pPr>
              <w:rPr>
                <w:rFonts w:cs="Arial"/>
                <w:szCs w:val="22"/>
              </w:rPr>
            </w:pPr>
            <w:r w:rsidRPr="00734D3B">
              <w:rPr>
                <w:rFonts w:cs="Arial"/>
                <w:szCs w:val="22"/>
              </w:rPr>
              <w:t>Date / Fecha</w:t>
            </w:r>
          </w:p>
        </w:tc>
        <w:tc>
          <w:tcPr>
            <w:tcW w:w="4315" w:type="dxa"/>
          </w:tcPr>
          <w:p w14:paraId="5D3D6940" w14:textId="77777777" w:rsidR="00007824" w:rsidRPr="00734D3B" w:rsidRDefault="00007824" w:rsidP="0049024C">
            <w:pPr>
              <w:rPr>
                <w:rFonts w:cs="Arial"/>
                <w:szCs w:val="22"/>
              </w:rPr>
            </w:pPr>
          </w:p>
        </w:tc>
      </w:tr>
      <w:tr w:rsidR="00734D3B" w:rsidRPr="00734D3B" w14:paraId="6644661A" w14:textId="77777777" w:rsidTr="0049024C">
        <w:tc>
          <w:tcPr>
            <w:tcW w:w="4315" w:type="dxa"/>
          </w:tcPr>
          <w:p w14:paraId="29F33F71" w14:textId="77777777" w:rsidR="00007824" w:rsidRPr="00734D3B" w:rsidRDefault="00007824" w:rsidP="0049024C">
            <w:pPr>
              <w:rPr>
                <w:rFonts w:cs="Arial"/>
                <w:szCs w:val="22"/>
              </w:rPr>
            </w:pPr>
            <w:r w:rsidRPr="00734D3B">
              <w:rPr>
                <w:rFonts w:cs="Arial"/>
                <w:szCs w:val="22"/>
              </w:rPr>
              <w:t xml:space="preserve">Project </w:t>
            </w:r>
            <w:proofErr w:type="spellStart"/>
            <w:r w:rsidRPr="00734D3B">
              <w:rPr>
                <w:rFonts w:cs="Arial"/>
                <w:szCs w:val="22"/>
              </w:rPr>
              <w:t>Activity</w:t>
            </w:r>
            <w:proofErr w:type="spellEnd"/>
            <w:r w:rsidRPr="00734D3B">
              <w:rPr>
                <w:rFonts w:cs="Arial"/>
                <w:szCs w:val="22"/>
              </w:rPr>
              <w:t xml:space="preserve"> / Actividad del proyecto</w:t>
            </w:r>
          </w:p>
        </w:tc>
        <w:tc>
          <w:tcPr>
            <w:tcW w:w="4315" w:type="dxa"/>
          </w:tcPr>
          <w:p w14:paraId="73D5A5BE" w14:textId="77777777" w:rsidR="00007824" w:rsidRPr="00734D3B" w:rsidRDefault="00007824" w:rsidP="0049024C">
            <w:pPr>
              <w:rPr>
                <w:rFonts w:cs="Arial"/>
                <w:szCs w:val="22"/>
              </w:rPr>
            </w:pPr>
          </w:p>
        </w:tc>
      </w:tr>
      <w:tr w:rsidR="00734D3B" w:rsidRPr="00734D3B" w14:paraId="58E96394" w14:textId="77777777" w:rsidTr="0049024C">
        <w:tc>
          <w:tcPr>
            <w:tcW w:w="4315" w:type="dxa"/>
          </w:tcPr>
          <w:p w14:paraId="690DEBDA" w14:textId="77777777" w:rsidR="00007824" w:rsidRPr="00734D3B" w:rsidRDefault="00007824" w:rsidP="0049024C">
            <w:pPr>
              <w:rPr>
                <w:rFonts w:cs="Arial"/>
                <w:szCs w:val="22"/>
              </w:rPr>
            </w:pPr>
            <w:proofErr w:type="spellStart"/>
            <w:r w:rsidRPr="00734D3B">
              <w:rPr>
                <w:rFonts w:cs="Arial"/>
                <w:szCs w:val="22"/>
              </w:rPr>
              <w:t>Environmental</w:t>
            </w:r>
            <w:proofErr w:type="spellEnd"/>
            <w:r w:rsidRPr="00734D3B">
              <w:rPr>
                <w:rFonts w:cs="Arial"/>
                <w:szCs w:val="22"/>
              </w:rPr>
              <w:t xml:space="preserve"> Finding / Hallazgo ambiental</w:t>
            </w:r>
          </w:p>
        </w:tc>
        <w:tc>
          <w:tcPr>
            <w:tcW w:w="4315" w:type="dxa"/>
          </w:tcPr>
          <w:p w14:paraId="561E066D" w14:textId="77777777" w:rsidR="00007824" w:rsidRPr="00734D3B" w:rsidRDefault="00007824" w:rsidP="0049024C">
            <w:pPr>
              <w:rPr>
                <w:rFonts w:cs="Arial"/>
                <w:szCs w:val="22"/>
              </w:rPr>
            </w:pPr>
          </w:p>
        </w:tc>
      </w:tr>
      <w:tr w:rsidR="00734D3B" w:rsidRPr="00734D3B" w14:paraId="357D3F6A" w14:textId="77777777" w:rsidTr="0049024C">
        <w:tc>
          <w:tcPr>
            <w:tcW w:w="4315" w:type="dxa"/>
          </w:tcPr>
          <w:p w14:paraId="0C9E18C2" w14:textId="77777777" w:rsidR="00007824" w:rsidRPr="00734D3B" w:rsidRDefault="00007824" w:rsidP="0049024C">
            <w:pPr>
              <w:rPr>
                <w:rFonts w:cs="Arial"/>
                <w:szCs w:val="22"/>
                <w:lang w:val="en-US"/>
              </w:rPr>
            </w:pPr>
            <w:r w:rsidRPr="00734D3B">
              <w:rPr>
                <w:rFonts w:cs="Arial"/>
                <w:szCs w:val="22"/>
                <w:lang w:val="en-US"/>
              </w:rPr>
              <w:t xml:space="preserve">Type of Finding / Tipo de </w:t>
            </w:r>
            <w:proofErr w:type="spellStart"/>
            <w:r w:rsidRPr="00734D3B">
              <w:rPr>
                <w:rFonts w:cs="Arial"/>
                <w:szCs w:val="22"/>
                <w:lang w:val="en-US"/>
              </w:rPr>
              <w:t>hallazgo</w:t>
            </w:r>
            <w:proofErr w:type="spellEnd"/>
          </w:p>
        </w:tc>
        <w:tc>
          <w:tcPr>
            <w:tcW w:w="4315" w:type="dxa"/>
          </w:tcPr>
          <w:p w14:paraId="282884D9" w14:textId="77777777" w:rsidR="00007824" w:rsidRPr="00734D3B" w:rsidRDefault="00007824" w:rsidP="0049024C">
            <w:pPr>
              <w:rPr>
                <w:rFonts w:cs="Arial"/>
                <w:szCs w:val="22"/>
              </w:rPr>
            </w:pPr>
            <w:r w:rsidRPr="00734D3B">
              <w:rPr>
                <w:rFonts w:ascii="Segoe UI Symbol" w:hAnsi="Segoe UI Symbol" w:cs="Segoe UI Symbol"/>
                <w:szCs w:val="22"/>
              </w:rPr>
              <w:t>☐</w:t>
            </w:r>
            <w:r w:rsidRPr="00734D3B">
              <w:rPr>
                <w:rFonts w:cs="Arial"/>
                <w:szCs w:val="22"/>
              </w:rPr>
              <w:t xml:space="preserve"> No conformidad </w:t>
            </w:r>
            <w:r w:rsidRPr="00734D3B">
              <w:rPr>
                <w:rFonts w:ascii="Segoe UI Symbol" w:hAnsi="Segoe UI Symbol" w:cs="Segoe UI Symbol"/>
                <w:szCs w:val="22"/>
              </w:rPr>
              <w:t>☐</w:t>
            </w:r>
            <w:r w:rsidRPr="00734D3B">
              <w:rPr>
                <w:rFonts w:cs="Arial"/>
                <w:szCs w:val="22"/>
              </w:rPr>
              <w:t xml:space="preserve"> Observación </w:t>
            </w:r>
            <w:r w:rsidRPr="00734D3B">
              <w:rPr>
                <w:rFonts w:ascii="Segoe UI Symbol" w:hAnsi="Segoe UI Symbol" w:cs="Segoe UI Symbol"/>
                <w:szCs w:val="22"/>
              </w:rPr>
              <w:t>☐</w:t>
            </w:r>
            <w:r w:rsidRPr="00734D3B">
              <w:rPr>
                <w:rFonts w:cs="Arial"/>
                <w:szCs w:val="22"/>
              </w:rPr>
              <w:t xml:space="preserve"> Oportunidad de mejora</w:t>
            </w:r>
          </w:p>
        </w:tc>
      </w:tr>
      <w:tr w:rsidR="00734D3B" w:rsidRPr="00734D3B" w14:paraId="2E5DB4DA" w14:textId="77777777" w:rsidTr="0049024C">
        <w:tc>
          <w:tcPr>
            <w:tcW w:w="4315" w:type="dxa"/>
          </w:tcPr>
          <w:p w14:paraId="20F6A365" w14:textId="77777777" w:rsidR="00007824" w:rsidRPr="00734D3B" w:rsidRDefault="00007824" w:rsidP="0049024C">
            <w:pPr>
              <w:rPr>
                <w:rFonts w:cs="Arial"/>
                <w:szCs w:val="22"/>
              </w:rPr>
            </w:pPr>
            <w:r w:rsidRPr="00734D3B">
              <w:rPr>
                <w:rFonts w:cs="Arial"/>
                <w:szCs w:val="22"/>
              </w:rPr>
              <w:t>Root Cause / Causa raíz</w:t>
            </w:r>
          </w:p>
        </w:tc>
        <w:tc>
          <w:tcPr>
            <w:tcW w:w="4315" w:type="dxa"/>
          </w:tcPr>
          <w:p w14:paraId="30E72406" w14:textId="77777777" w:rsidR="00007824" w:rsidRPr="00734D3B" w:rsidRDefault="00007824" w:rsidP="0049024C">
            <w:pPr>
              <w:rPr>
                <w:rFonts w:cs="Arial"/>
                <w:szCs w:val="22"/>
              </w:rPr>
            </w:pPr>
          </w:p>
        </w:tc>
      </w:tr>
      <w:tr w:rsidR="00734D3B" w:rsidRPr="00734D3B" w14:paraId="2BC2F359" w14:textId="77777777" w:rsidTr="0049024C">
        <w:tc>
          <w:tcPr>
            <w:tcW w:w="4315" w:type="dxa"/>
          </w:tcPr>
          <w:p w14:paraId="5BEFCB49" w14:textId="77777777" w:rsidR="00007824" w:rsidRPr="00734D3B" w:rsidRDefault="00007824" w:rsidP="0049024C">
            <w:pPr>
              <w:rPr>
                <w:rFonts w:cs="Arial"/>
                <w:szCs w:val="22"/>
              </w:rPr>
            </w:pPr>
            <w:r w:rsidRPr="00734D3B">
              <w:rPr>
                <w:rFonts w:cs="Arial"/>
                <w:szCs w:val="22"/>
              </w:rPr>
              <w:t xml:space="preserve">Corrective </w:t>
            </w:r>
            <w:proofErr w:type="spellStart"/>
            <w:r w:rsidRPr="00734D3B">
              <w:rPr>
                <w:rFonts w:cs="Arial"/>
                <w:szCs w:val="22"/>
              </w:rPr>
              <w:t>Action</w:t>
            </w:r>
            <w:proofErr w:type="spellEnd"/>
            <w:r w:rsidRPr="00734D3B">
              <w:rPr>
                <w:rFonts w:cs="Arial"/>
                <w:szCs w:val="22"/>
              </w:rPr>
              <w:t xml:space="preserve"> / Acción correctiva</w:t>
            </w:r>
          </w:p>
        </w:tc>
        <w:tc>
          <w:tcPr>
            <w:tcW w:w="4315" w:type="dxa"/>
          </w:tcPr>
          <w:p w14:paraId="1956A349" w14:textId="77777777" w:rsidR="00007824" w:rsidRPr="00734D3B" w:rsidRDefault="00007824" w:rsidP="0049024C">
            <w:pPr>
              <w:rPr>
                <w:rFonts w:cs="Arial"/>
                <w:szCs w:val="22"/>
              </w:rPr>
            </w:pPr>
          </w:p>
        </w:tc>
      </w:tr>
      <w:tr w:rsidR="00734D3B" w:rsidRPr="00734D3B" w14:paraId="10218CA2" w14:textId="77777777" w:rsidTr="0049024C">
        <w:tc>
          <w:tcPr>
            <w:tcW w:w="4315" w:type="dxa"/>
          </w:tcPr>
          <w:p w14:paraId="70FE7046" w14:textId="77777777" w:rsidR="00007824" w:rsidRPr="00734D3B" w:rsidRDefault="00007824" w:rsidP="0049024C">
            <w:pPr>
              <w:rPr>
                <w:rFonts w:cs="Arial"/>
                <w:szCs w:val="22"/>
              </w:rPr>
            </w:pPr>
            <w:r w:rsidRPr="00734D3B">
              <w:rPr>
                <w:rFonts w:cs="Arial"/>
                <w:szCs w:val="22"/>
              </w:rPr>
              <w:t xml:space="preserve">Preventive </w:t>
            </w:r>
            <w:proofErr w:type="spellStart"/>
            <w:r w:rsidRPr="00734D3B">
              <w:rPr>
                <w:rFonts w:cs="Arial"/>
                <w:szCs w:val="22"/>
              </w:rPr>
              <w:t>Action</w:t>
            </w:r>
            <w:proofErr w:type="spellEnd"/>
            <w:r w:rsidRPr="00734D3B">
              <w:rPr>
                <w:rFonts w:cs="Arial"/>
                <w:szCs w:val="22"/>
              </w:rPr>
              <w:t xml:space="preserve"> / Acción preventiva</w:t>
            </w:r>
          </w:p>
        </w:tc>
        <w:tc>
          <w:tcPr>
            <w:tcW w:w="4315" w:type="dxa"/>
          </w:tcPr>
          <w:p w14:paraId="6C26308D" w14:textId="77777777" w:rsidR="00007824" w:rsidRPr="00734D3B" w:rsidRDefault="00007824" w:rsidP="0049024C">
            <w:pPr>
              <w:rPr>
                <w:rFonts w:cs="Arial"/>
                <w:szCs w:val="22"/>
              </w:rPr>
            </w:pPr>
          </w:p>
        </w:tc>
      </w:tr>
      <w:tr w:rsidR="00734D3B" w:rsidRPr="00734D3B" w14:paraId="747B97CA" w14:textId="77777777" w:rsidTr="0049024C">
        <w:tc>
          <w:tcPr>
            <w:tcW w:w="4315" w:type="dxa"/>
          </w:tcPr>
          <w:p w14:paraId="721CDC9E" w14:textId="77777777" w:rsidR="00007824" w:rsidRPr="00734D3B" w:rsidRDefault="00007824" w:rsidP="0049024C">
            <w:pPr>
              <w:rPr>
                <w:rFonts w:cs="Arial"/>
                <w:szCs w:val="22"/>
              </w:rPr>
            </w:pPr>
            <w:proofErr w:type="spellStart"/>
            <w:r w:rsidRPr="00734D3B">
              <w:rPr>
                <w:rFonts w:cs="Arial"/>
                <w:szCs w:val="22"/>
              </w:rPr>
              <w:t>Verification</w:t>
            </w:r>
            <w:proofErr w:type="spellEnd"/>
            <w:r w:rsidRPr="00734D3B">
              <w:rPr>
                <w:rFonts w:cs="Arial"/>
                <w:szCs w:val="22"/>
              </w:rPr>
              <w:t xml:space="preserve"> Method / Método de verificación</w:t>
            </w:r>
          </w:p>
        </w:tc>
        <w:tc>
          <w:tcPr>
            <w:tcW w:w="4315" w:type="dxa"/>
          </w:tcPr>
          <w:p w14:paraId="58489B53" w14:textId="77777777" w:rsidR="00007824" w:rsidRPr="00734D3B" w:rsidRDefault="00007824" w:rsidP="0049024C">
            <w:pPr>
              <w:rPr>
                <w:rFonts w:cs="Arial"/>
                <w:szCs w:val="22"/>
              </w:rPr>
            </w:pPr>
          </w:p>
        </w:tc>
      </w:tr>
      <w:tr w:rsidR="00007824" w:rsidRPr="00734D3B" w14:paraId="78B8650E" w14:textId="77777777" w:rsidTr="0049024C">
        <w:tc>
          <w:tcPr>
            <w:tcW w:w="4315" w:type="dxa"/>
          </w:tcPr>
          <w:p w14:paraId="447B1C04" w14:textId="77777777" w:rsidR="00007824" w:rsidRPr="00734D3B" w:rsidRDefault="00007824" w:rsidP="0049024C">
            <w:pPr>
              <w:rPr>
                <w:rFonts w:cs="Arial"/>
                <w:szCs w:val="22"/>
              </w:rPr>
            </w:pPr>
            <w:proofErr w:type="spellStart"/>
            <w:r w:rsidRPr="00734D3B">
              <w:rPr>
                <w:rFonts w:cs="Arial"/>
                <w:szCs w:val="22"/>
              </w:rPr>
              <w:t>Responsible</w:t>
            </w:r>
            <w:proofErr w:type="spellEnd"/>
            <w:r w:rsidRPr="00734D3B">
              <w:rPr>
                <w:rFonts w:cs="Arial"/>
                <w:szCs w:val="22"/>
              </w:rPr>
              <w:t xml:space="preserve"> Person / Responsable</w:t>
            </w:r>
          </w:p>
        </w:tc>
        <w:tc>
          <w:tcPr>
            <w:tcW w:w="4315" w:type="dxa"/>
          </w:tcPr>
          <w:p w14:paraId="41EE9434" w14:textId="77777777" w:rsidR="00007824" w:rsidRPr="00734D3B" w:rsidRDefault="00007824" w:rsidP="0049024C">
            <w:pPr>
              <w:rPr>
                <w:rFonts w:cs="Arial"/>
                <w:szCs w:val="22"/>
              </w:rPr>
            </w:pPr>
          </w:p>
        </w:tc>
      </w:tr>
    </w:tbl>
    <w:p w14:paraId="5509C5F1" w14:textId="77777777" w:rsidR="00007824" w:rsidRPr="00734D3B" w:rsidRDefault="00007824" w:rsidP="00007824">
      <w:pPr>
        <w:rPr>
          <w:rFonts w:cs="Arial"/>
          <w:szCs w:val="22"/>
        </w:rPr>
      </w:pPr>
    </w:p>
    <w:p w14:paraId="72FB9221" w14:textId="77777777" w:rsidR="00007824" w:rsidRPr="00734D3B" w:rsidRDefault="00007824" w:rsidP="00007824">
      <w:pPr>
        <w:rPr>
          <w:rFonts w:cs="Arial"/>
          <w:szCs w:val="22"/>
        </w:rPr>
      </w:pPr>
      <w:r w:rsidRPr="00734D3B">
        <w:rPr>
          <w:rFonts w:cs="Arial"/>
          <w:szCs w:val="22"/>
        </w:rPr>
        <w:t xml:space="preserve">F-CA-06 – </w:t>
      </w:r>
      <w:proofErr w:type="spellStart"/>
      <w:r w:rsidRPr="00734D3B">
        <w:rPr>
          <w:rFonts w:cs="Arial"/>
          <w:szCs w:val="22"/>
        </w:rPr>
        <w:t>Environmental</w:t>
      </w:r>
      <w:proofErr w:type="spellEnd"/>
      <w:r w:rsidRPr="00734D3B">
        <w:rPr>
          <w:rFonts w:cs="Arial"/>
          <w:szCs w:val="22"/>
        </w:rPr>
        <w:t xml:space="preserve"> Training Record / Registro de Capacitación Ambiental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5ED1BFE9" w14:textId="77777777" w:rsidTr="0049024C">
        <w:tc>
          <w:tcPr>
            <w:tcW w:w="4315" w:type="dxa"/>
          </w:tcPr>
          <w:p w14:paraId="3821E530"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07623D2E"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51B22E17" w14:textId="77777777" w:rsidTr="0049024C">
        <w:tc>
          <w:tcPr>
            <w:tcW w:w="4315" w:type="dxa"/>
          </w:tcPr>
          <w:p w14:paraId="2FBC424F" w14:textId="77777777" w:rsidR="00007824" w:rsidRPr="00734D3B" w:rsidRDefault="00007824" w:rsidP="0049024C">
            <w:pPr>
              <w:rPr>
                <w:rFonts w:cs="Arial"/>
                <w:szCs w:val="22"/>
              </w:rPr>
            </w:pPr>
            <w:r w:rsidRPr="00734D3B">
              <w:rPr>
                <w:rFonts w:cs="Arial"/>
                <w:szCs w:val="22"/>
              </w:rPr>
              <w:t>Training Date / Fecha de capacitación</w:t>
            </w:r>
          </w:p>
        </w:tc>
        <w:tc>
          <w:tcPr>
            <w:tcW w:w="4315" w:type="dxa"/>
          </w:tcPr>
          <w:p w14:paraId="6448A36B" w14:textId="77777777" w:rsidR="00007824" w:rsidRPr="00734D3B" w:rsidRDefault="00007824" w:rsidP="0049024C">
            <w:pPr>
              <w:rPr>
                <w:rFonts w:cs="Arial"/>
                <w:szCs w:val="22"/>
              </w:rPr>
            </w:pPr>
          </w:p>
        </w:tc>
      </w:tr>
      <w:tr w:rsidR="00734D3B" w:rsidRPr="00734D3B" w14:paraId="4CD5234F" w14:textId="77777777" w:rsidTr="0049024C">
        <w:tc>
          <w:tcPr>
            <w:tcW w:w="4315" w:type="dxa"/>
          </w:tcPr>
          <w:p w14:paraId="3B9F099D" w14:textId="77777777" w:rsidR="00007824" w:rsidRPr="00734D3B" w:rsidRDefault="00007824" w:rsidP="0049024C">
            <w:pPr>
              <w:rPr>
                <w:rFonts w:cs="Arial"/>
                <w:szCs w:val="22"/>
              </w:rPr>
            </w:pPr>
            <w:r w:rsidRPr="00734D3B">
              <w:rPr>
                <w:rFonts w:cs="Arial"/>
                <w:szCs w:val="22"/>
              </w:rPr>
              <w:t>Training Topic / Tema de capacitación</w:t>
            </w:r>
          </w:p>
        </w:tc>
        <w:tc>
          <w:tcPr>
            <w:tcW w:w="4315" w:type="dxa"/>
          </w:tcPr>
          <w:p w14:paraId="5F409D08" w14:textId="77777777" w:rsidR="00007824" w:rsidRPr="00734D3B" w:rsidRDefault="00007824" w:rsidP="0049024C">
            <w:pPr>
              <w:rPr>
                <w:rFonts w:cs="Arial"/>
                <w:szCs w:val="22"/>
              </w:rPr>
            </w:pPr>
          </w:p>
        </w:tc>
      </w:tr>
      <w:tr w:rsidR="00734D3B" w:rsidRPr="00734D3B" w14:paraId="04B59509" w14:textId="77777777" w:rsidTr="0049024C">
        <w:tc>
          <w:tcPr>
            <w:tcW w:w="4315" w:type="dxa"/>
          </w:tcPr>
          <w:p w14:paraId="27B85AA7" w14:textId="77777777" w:rsidR="00007824" w:rsidRPr="00734D3B" w:rsidRDefault="00007824" w:rsidP="0049024C">
            <w:pPr>
              <w:rPr>
                <w:rFonts w:cs="Arial"/>
                <w:szCs w:val="22"/>
              </w:rPr>
            </w:pPr>
            <w:r w:rsidRPr="00734D3B">
              <w:rPr>
                <w:rFonts w:cs="Arial"/>
                <w:szCs w:val="22"/>
              </w:rPr>
              <w:lastRenderedPageBreak/>
              <w:t xml:space="preserve">Training </w:t>
            </w:r>
            <w:proofErr w:type="spellStart"/>
            <w:r w:rsidRPr="00734D3B">
              <w:rPr>
                <w:rFonts w:cs="Arial"/>
                <w:szCs w:val="22"/>
              </w:rPr>
              <w:t>Objective</w:t>
            </w:r>
            <w:proofErr w:type="spellEnd"/>
            <w:r w:rsidRPr="00734D3B">
              <w:rPr>
                <w:rFonts w:cs="Arial"/>
                <w:szCs w:val="22"/>
              </w:rPr>
              <w:t xml:space="preserve"> / Objetivo de la capacitación</w:t>
            </w:r>
          </w:p>
        </w:tc>
        <w:tc>
          <w:tcPr>
            <w:tcW w:w="4315" w:type="dxa"/>
          </w:tcPr>
          <w:p w14:paraId="667A810C" w14:textId="77777777" w:rsidR="00007824" w:rsidRPr="00734D3B" w:rsidRDefault="00007824" w:rsidP="0049024C">
            <w:pPr>
              <w:rPr>
                <w:rFonts w:cs="Arial"/>
                <w:szCs w:val="22"/>
              </w:rPr>
            </w:pPr>
          </w:p>
        </w:tc>
      </w:tr>
      <w:tr w:rsidR="00734D3B" w:rsidRPr="00734D3B" w14:paraId="543433DB" w14:textId="77777777" w:rsidTr="0049024C">
        <w:tc>
          <w:tcPr>
            <w:tcW w:w="4315" w:type="dxa"/>
          </w:tcPr>
          <w:p w14:paraId="45232E6B" w14:textId="77777777" w:rsidR="00007824" w:rsidRPr="00734D3B" w:rsidRDefault="00007824" w:rsidP="0049024C">
            <w:pPr>
              <w:rPr>
                <w:rFonts w:cs="Arial"/>
                <w:szCs w:val="22"/>
              </w:rPr>
            </w:pPr>
            <w:proofErr w:type="spellStart"/>
            <w:r w:rsidRPr="00734D3B">
              <w:rPr>
                <w:rFonts w:cs="Arial"/>
                <w:szCs w:val="22"/>
              </w:rPr>
              <w:t>Trained</w:t>
            </w:r>
            <w:proofErr w:type="spellEnd"/>
            <w:r w:rsidRPr="00734D3B">
              <w:rPr>
                <w:rFonts w:cs="Arial"/>
                <w:szCs w:val="22"/>
              </w:rPr>
              <w:t xml:space="preserve"> </w:t>
            </w:r>
            <w:proofErr w:type="spellStart"/>
            <w:r w:rsidRPr="00734D3B">
              <w:rPr>
                <w:rFonts w:cs="Arial"/>
                <w:szCs w:val="22"/>
              </w:rPr>
              <w:t>Personnel</w:t>
            </w:r>
            <w:proofErr w:type="spellEnd"/>
            <w:r w:rsidRPr="00734D3B">
              <w:rPr>
                <w:rFonts w:cs="Arial"/>
                <w:szCs w:val="22"/>
              </w:rPr>
              <w:t xml:space="preserve"> / Personal capacitado</w:t>
            </w:r>
          </w:p>
        </w:tc>
        <w:tc>
          <w:tcPr>
            <w:tcW w:w="4315" w:type="dxa"/>
          </w:tcPr>
          <w:p w14:paraId="71B8A8E4" w14:textId="77777777" w:rsidR="00007824" w:rsidRPr="00734D3B" w:rsidRDefault="00007824" w:rsidP="0049024C">
            <w:pPr>
              <w:rPr>
                <w:rFonts w:cs="Arial"/>
                <w:szCs w:val="22"/>
              </w:rPr>
            </w:pPr>
          </w:p>
        </w:tc>
      </w:tr>
      <w:tr w:rsidR="00734D3B" w:rsidRPr="00734D3B" w14:paraId="337CC0EB" w14:textId="77777777" w:rsidTr="0049024C">
        <w:tc>
          <w:tcPr>
            <w:tcW w:w="4315" w:type="dxa"/>
          </w:tcPr>
          <w:p w14:paraId="71B62A4D" w14:textId="77777777" w:rsidR="00007824" w:rsidRPr="00734D3B" w:rsidRDefault="00007824" w:rsidP="0049024C">
            <w:pPr>
              <w:rPr>
                <w:rFonts w:cs="Arial"/>
                <w:szCs w:val="22"/>
              </w:rPr>
            </w:pPr>
            <w:r w:rsidRPr="00734D3B">
              <w:rPr>
                <w:rFonts w:cs="Arial"/>
                <w:szCs w:val="22"/>
              </w:rPr>
              <w:t xml:space="preserve">Training </w:t>
            </w:r>
            <w:proofErr w:type="spellStart"/>
            <w:r w:rsidRPr="00734D3B">
              <w:rPr>
                <w:rFonts w:cs="Arial"/>
                <w:szCs w:val="22"/>
              </w:rPr>
              <w:t>Effectiveness</w:t>
            </w:r>
            <w:proofErr w:type="spellEnd"/>
            <w:r w:rsidRPr="00734D3B">
              <w:rPr>
                <w:rFonts w:cs="Arial"/>
                <w:szCs w:val="22"/>
              </w:rPr>
              <w:t xml:space="preserve"> </w:t>
            </w:r>
            <w:proofErr w:type="spellStart"/>
            <w:r w:rsidRPr="00734D3B">
              <w:rPr>
                <w:rFonts w:cs="Arial"/>
                <w:szCs w:val="22"/>
              </w:rPr>
              <w:t>Evaluation</w:t>
            </w:r>
            <w:proofErr w:type="spellEnd"/>
            <w:r w:rsidRPr="00734D3B">
              <w:rPr>
                <w:rFonts w:cs="Arial"/>
                <w:szCs w:val="22"/>
              </w:rPr>
              <w:t xml:space="preserve"> / Evaluación de efectividad</w:t>
            </w:r>
          </w:p>
        </w:tc>
        <w:tc>
          <w:tcPr>
            <w:tcW w:w="4315" w:type="dxa"/>
          </w:tcPr>
          <w:p w14:paraId="7481D2B1" w14:textId="77777777" w:rsidR="00007824" w:rsidRPr="00734D3B" w:rsidRDefault="00007824" w:rsidP="0049024C">
            <w:pPr>
              <w:rPr>
                <w:rFonts w:cs="Arial"/>
                <w:szCs w:val="22"/>
              </w:rPr>
            </w:pPr>
          </w:p>
        </w:tc>
      </w:tr>
      <w:tr w:rsidR="00734D3B" w:rsidRPr="00734D3B" w14:paraId="011A55D7" w14:textId="77777777" w:rsidTr="0049024C">
        <w:tc>
          <w:tcPr>
            <w:tcW w:w="4315" w:type="dxa"/>
          </w:tcPr>
          <w:p w14:paraId="5401D182" w14:textId="77777777" w:rsidR="00007824" w:rsidRPr="00734D3B" w:rsidRDefault="00007824" w:rsidP="0049024C">
            <w:pPr>
              <w:rPr>
                <w:rFonts w:cs="Arial"/>
                <w:szCs w:val="22"/>
              </w:rPr>
            </w:pPr>
            <w:proofErr w:type="spellStart"/>
            <w:r w:rsidRPr="00734D3B">
              <w:rPr>
                <w:rFonts w:cs="Arial"/>
                <w:szCs w:val="22"/>
              </w:rPr>
              <w:t>Follow</w:t>
            </w:r>
            <w:proofErr w:type="spellEnd"/>
            <w:r w:rsidRPr="00734D3B">
              <w:rPr>
                <w:rFonts w:cs="Arial"/>
                <w:szCs w:val="22"/>
              </w:rPr>
              <w:noBreakHyphen/>
              <w:t xml:space="preserve">up </w:t>
            </w:r>
            <w:proofErr w:type="spellStart"/>
            <w:r w:rsidRPr="00734D3B">
              <w:rPr>
                <w:rFonts w:cs="Arial"/>
                <w:szCs w:val="22"/>
              </w:rPr>
              <w:t>Action</w:t>
            </w:r>
            <w:proofErr w:type="spellEnd"/>
            <w:r w:rsidRPr="00734D3B">
              <w:rPr>
                <w:rFonts w:cs="Arial"/>
                <w:szCs w:val="22"/>
              </w:rPr>
              <w:t xml:space="preserve"> </w:t>
            </w:r>
            <w:proofErr w:type="spellStart"/>
            <w:r w:rsidRPr="00734D3B">
              <w:rPr>
                <w:rFonts w:cs="Arial"/>
                <w:szCs w:val="22"/>
              </w:rPr>
              <w:t>Required</w:t>
            </w:r>
            <w:proofErr w:type="spellEnd"/>
            <w:r w:rsidRPr="00734D3B">
              <w:rPr>
                <w:rFonts w:cs="Arial"/>
                <w:szCs w:val="22"/>
              </w:rPr>
              <w:t xml:space="preserve"> / Acción de seguimiento</w:t>
            </w:r>
          </w:p>
        </w:tc>
        <w:tc>
          <w:tcPr>
            <w:tcW w:w="4315" w:type="dxa"/>
          </w:tcPr>
          <w:p w14:paraId="64CF55C5" w14:textId="77777777" w:rsidR="00007824" w:rsidRPr="00734D3B" w:rsidRDefault="00007824" w:rsidP="0049024C">
            <w:pPr>
              <w:rPr>
                <w:rFonts w:cs="Arial"/>
                <w:szCs w:val="22"/>
              </w:rPr>
            </w:pPr>
          </w:p>
        </w:tc>
      </w:tr>
      <w:tr w:rsidR="00007824" w:rsidRPr="00734D3B" w14:paraId="02FB6317" w14:textId="77777777" w:rsidTr="0049024C">
        <w:tc>
          <w:tcPr>
            <w:tcW w:w="4315" w:type="dxa"/>
          </w:tcPr>
          <w:p w14:paraId="6A5BC277" w14:textId="77777777" w:rsidR="00007824" w:rsidRPr="00734D3B" w:rsidRDefault="00007824" w:rsidP="0049024C">
            <w:pPr>
              <w:rPr>
                <w:rFonts w:cs="Arial"/>
                <w:szCs w:val="22"/>
              </w:rPr>
            </w:pPr>
            <w:r w:rsidRPr="00734D3B">
              <w:rPr>
                <w:rFonts w:cs="Arial"/>
                <w:szCs w:val="22"/>
              </w:rPr>
              <w:t xml:space="preserve">Trainer </w:t>
            </w:r>
            <w:proofErr w:type="spellStart"/>
            <w:r w:rsidRPr="00734D3B">
              <w:rPr>
                <w:rFonts w:cs="Arial"/>
                <w:szCs w:val="22"/>
              </w:rPr>
              <w:t>or</w:t>
            </w:r>
            <w:proofErr w:type="spellEnd"/>
            <w:r w:rsidRPr="00734D3B">
              <w:rPr>
                <w:rFonts w:cs="Arial"/>
                <w:szCs w:val="22"/>
              </w:rPr>
              <w:t xml:space="preserve"> </w:t>
            </w:r>
            <w:proofErr w:type="spellStart"/>
            <w:r w:rsidRPr="00734D3B">
              <w:rPr>
                <w:rFonts w:cs="Arial"/>
                <w:szCs w:val="22"/>
              </w:rPr>
              <w:t>Responsible</w:t>
            </w:r>
            <w:proofErr w:type="spellEnd"/>
            <w:r w:rsidRPr="00734D3B">
              <w:rPr>
                <w:rFonts w:cs="Arial"/>
                <w:szCs w:val="22"/>
              </w:rPr>
              <w:t xml:space="preserve"> / Responsable</w:t>
            </w:r>
          </w:p>
        </w:tc>
        <w:tc>
          <w:tcPr>
            <w:tcW w:w="4315" w:type="dxa"/>
          </w:tcPr>
          <w:p w14:paraId="5D403342" w14:textId="77777777" w:rsidR="00007824" w:rsidRPr="00734D3B" w:rsidRDefault="00007824" w:rsidP="0049024C">
            <w:pPr>
              <w:rPr>
                <w:rFonts w:cs="Arial"/>
                <w:szCs w:val="22"/>
              </w:rPr>
            </w:pPr>
          </w:p>
        </w:tc>
      </w:tr>
    </w:tbl>
    <w:p w14:paraId="0115235B" w14:textId="77777777" w:rsidR="00007824" w:rsidRPr="00734D3B" w:rsidRDefault="00007824" w:rsidP="00007824">
      <w:pPr>
        <w:rPr>
          <w:rFonts w:cs="Arial"/>
          <w:szCs w:val="22"/>
        </w:rPr>
      </w:pPr>
    </w:p>
    <w:p w14:paraId="22F9FDCE" w14:textId="77777777" w:rsidR="00007824" w:rsidRPr="00734D3B" w:rsidRDefault="00007824" w:rsidP="00007824">
      <w:pPr>
        <w:rPr>
          <w:rFonts w:cs="Arial"/>
          <w:szCs w:val="22"/>
        </w:rPr>
      </w:pPr>
      <w:r w:rsidRPr="00734D3B">
        <w:rPr>
          <w:rFonts w:cs="Arial"/>
          <w:szCs w:val="22"/>
        </w:rPr>
        <w:t xml:space="preserve">F-KPI-07 – </w:t>
      </w:r>
      <w:proofErr w:type="spellStart"/>
      <w:r w:rsidRPr="00734D3B">
        <w:rPr>
          <w:rFonts w:cs="Arial"/>
          <w:szCs w:val="22"/>
        </w:rPr>
        <w:t>Environmental</w:t>
      </w:r>
      <w:proofErr w:type="spellEnd"/>
      <w:r w:rsidRPr="00734D3B">
        <w:rPr>
          <w:rFonts w:cs="Arial"/>
          <w:szCs w:val="22"/>
        </w:rPr>
        <w:t xml:space="preserve"> KPI </w:t>
      </w:r>
      <w:proofErr w:type="spellStart"/>
      <w:r w:rsidRPr="00734D3B">
        <w:rPr>
          <w:rFonts w:cs="Arial"/>
          <w:szCs w:val="22"/>
        </w:rPr>
        <w:t>Monitoring</w:t>
      </w:r>
      <w:proofErr w:type="spellEnd"/>
      <w:r w:rsidRPr="00734D3B">
        <w:rPr>
          <w:rFonts w:cs="Arial"/>
          <w:szCs w:val="22"/>
        </w:rPr>
        <w:t xml:space="preserve"> / Seguimiento de KPI Ambientales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734D3B" w:rsidRPr="00734D3B" w14:paraId="74C68C7F" w14:textId="77777777" w:rsidTr="0049024C">
        <w:tc>
          <w:tcPr>
            <w:tcW w:w="4315" w:type="dxa"/>
          </w:tcPr>
          <w:p w14:paraId="6B8A8498" w14:textId="77777777" w:rsidR="00007824" w:rsidRPr="00734D3B" w:rsidRDefault="00007824" w:rsidP="0049024C">
            <w:pPr>
              <w:rPr>
                <w:rFonts w:cs="Arial"/>
                <w:b/>
                <w:bCs/>
                <w:szCs w:val="22"/>
              </w:rPr>
            </w:pPr>
            <w:r w:rsidRPr="00734D3B">
              <w:rPr>
                <w:rFonts w:cs="Arial"/>
                <w:b/>
                <w:bCs/>
                <w:szCs w:val="22"/>
              </w:rPr>
              <w:t>Field / Campo</w:t>
            </w:r>
          </w:p>
        </w:tc>
        <w:tc>
          <w:tcPr>
            <w:tcW w:w="4315" w:type="dxa"/>
          </w:tcPr>
          <w:p w14:paraId="3C0DB431"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36C40F11" w14:textId="77777777" w:rsidTr="0049024C">
        <w:tc>
          <w:tcPr>
            <w:tcW w:w="4315" w:type="dxa"/>
          </w:tcPr>
          <w:p w14:paraId="0008D608" w14:textId="77777777" w:rsidR="00007824" w:rsidRPr="00734D3B" w:rsidRDefault="00007824" w:rsidP="0049024C">
            <w:pPr>
              <w:rPr>
                <w:rFonts w:cs="Arial"/>
                <w:szCs w:val="22"/>
              </w:rPr>
            </w:pPr>
            <w:proofErr w:type="spellStart"/>
            <w:r w:rsidRPr="00734D3B">
              <w:rPr>
                <w:rFonts w:cs="Arial"/>
                <w:szCs w:val="22"/>
              </w:rPr>
              <w:t>Environmental</w:t>
            </w:r>
            <w:proofErr w:type="spellEnd"/>
            <w:r w:rsidRPr="00734D3B">
              <w:rPr>
                <w:rFonts w:cs="Arial"/>
                <w:szCs w:val="22"/>
              </w:rPr>
              <w:t xml:space="preserve"> KPI / Indicador ambiental</w:t>
            </w:r>
          </w:p>
        </w:tc>
        <w:tc>
          <w:tcPr>
            <w:tcW w:w="4315" w:type="dxa"/>
          </w:tcPr>
          <w:p w14:paraId="6E07A7FA" w14:textId="77777777" w:rsidR="00007824" w:rsidRPr="00734D3B" w:rsidRDefault="00007824" w:rsidP="0049024C">
            <w:pPr>
              <w:rPr>
                <w:rFonts w:cs="Arial"/>
                <w:szCs w:val="22"/>
              </w:rPr>
            </w:pPr>
          </w:p>
        </w:tc>
      </w:tr>
      <w:tr w:rsidR="00734D3B" w:rsidRPr="00734D3B" w14:paraId="75B96E4C" w14:textId="77777777" w:rsidTr="0049024C">
        <w:tc>
          <w:tcPr>
            <w:tcW w:w="4315" w:type="dxa"/>
          </w:tcPr>
          <w:p w14:paraId="1A82E05C" w14:textId="77777777" w:rsidR="00007824" w:rsidRPr="00734D3B" w:rsidRDefault="00007824" w:rsidP="0049024C">
            <w:pPr>
              <w:rPr>
                <w:rFonts w:cs="Arial"/>
                <w:szCs w:val="22"/>
              </w:rPr>
            </w:pPr>
            <w:proofErr w:type="spellStart"/>
            <w:r w:rsidRPr="00734D3B">
              <w:rPr>
                <w:rFonts w:cs="Arial"/>
                <w:szCs w:val="22"/>
              </w:rPr>
              <w:t>Evaluation</w:t>
            </w:r>
            <w:proofErr w:type="spellEnd"/>
            <w:r w:rsidRPr="00734D3B">
              <w:rPr>
                <w:rFonts w:cs="Arial"/>
                <w:szCs w:val="22"/>
              </w:rPr>
              <w:t xml:space="preserve"> </w:t>
            </w:r>
            <w:proofErr w:type="spellStart"/>
            <w:r w:rsidRPr="00734D3B">
              <w:rPr>
                <w:rFonts w:cs="Arial"/>
                <w:szCs w:val="22"/>
              </w:rPr>
              <w:t>Period</w:t>
            </w:r>
            <w:proofErr w:type="spellEnd"/>
            <w:r w:rsidRPr="00734D3B">
              <w:rPr>
                <w:rFonts w:cs="Arial"/>
                <w:szCs w:val="22"/>
              </w:rPr>
              <w:t xml:space="preserve"> / Periodo de evaluación</w:t>
            </w:r>
          </w:p>
        </w:tc>
        <w:tc>
          <w:tcPr>
            <w:tcW w:w="4315" w:type="dxa"/>
          </w:tcPr>
          <w:p w14:paraId="29E5F374" w14:textId="77777777" w:rsidR="00007824" w:rsidRPr="00734D3B" w:rsidRDefault="00007824" w:rsidP="0049024C">
            <w:pPr>
              <w:rPr>
                <w:rFonts w:cs="Arial"/>
                <w:szCs w:val="22"/>
              </w:rPr>
            </w:pPr>
          </w:p>
        </w:tc>
      </w:tr>
      <w:tr w:rsidR="00734D3B" w:rsidRPr="00734D3B" w14:paraId="3BC12A48" w14:textId="77777777" w:rsidTr="0049024C">
        <w:tc>
          <w:tcPr>
            <w:tcW w:w="4315" w:type="dxa"/>
          </w:tcPr>
          <w:p w14:paraId="65C94C8C" w14:textId="77777777" w:rsidR="00007824" w:rsidRPr="00734D3B" w:rsidRDefault="00007824" w:rsidP="0049024C">
            <w:pPr>
              <w:rPr>
                <w:rFonts w:cs="Arial"/>
                <w:szCs w:val="22"/>
              </w:rPr>
            </w:pPr>
            <w:r w:rsidRPr="00734D3B">
              <w:rPr>
                <w:rFonts w:cs="Arial"/>
                <w:szCs w:val="22"/>
              </w:rPr>
              <w:t xml:space="preserve">Material </w:t>
            </w:r>
            <w:proofErr w:type="spellStart"/>
            <w:r w:rsidRPr="00734D3B">
              <w:rPr>
                <w:rFonts w:cs="Arial"/>
                <w:szCs w:val="22"/>
              </w:rPr>
              <w:t>Type</w:t>
            </w:r>
            <w:proofErr w:type="spellEnd"/>
            <w:r w:rsidRPr="00734D3B">
              <w:rPr>
                <w:rFonts w:cs="Arial"/>
                <w:szCs w:val="22"/>
              </w:rPr>
              <w:t xml:space="preserve"> / Tipo de material </w:t>
            </w:r>
          </w:p>
        </w:tc>
        <w:tc>
          <w:tcPr>
            <w:tcW w:w="4315" w:type="dxa"/>
          </w:tcPr>
          <w:p w14:paraId="768A8946" w14:textId="77777777" w:rsidR="00007824" w:rsidRPr="00734D3B" w:rsidRDefault="00007824" w:rsidP="0049024C">
            <w:pPr>
              <w:rPr>
                <w:rFonts w:cs="Arial"/>
                <w:szCs w:val="22"/>
              </w:rPr>
            </w:pPr>
          </w:p>
        </w:tc>
      </w:tr>
      <w:tr w:rsidR="00734D3B" w:rsidRPr="00734D3B" w14:paraId="2D331ACC" w14:textId="77777777" w:rsidTr="0049024C">
        <w:tc>
          <w:tcPr>
            <w:tcW w:w="4315" w:type="dxa"/>
          </w:tcPr>
          <w:p w14:paraId="7C7FDCB3" w14:textId="77777777" w:rsidR="00007824" w:rsidRPr="00734D3B" w:rsidRDefault="00007824" w:rsidP="0049024C">
            <w:pPr>
              <w:rPr>
                <w:rFonts w:cs="Arial"/>
                <w:szCs w:val="22"/>
              </w:rPr>
            </w:pPr>
            <w:r w:rsidRPr="00734D3B">
              <w:rPr>
                <w:rFonts w:cs="Arial"/>
                <w:szCs w:val="22"/>
              </w:rPr>
              <w:t xml:space="preserve">Target </w:t>
            </w:r>
            <w:proofErr w:type="spellStart"/>
            <w:r w:rsidRPr="00734D3B">
              <w:rPr>
                <w:rFonts w:cs="Arial"/>
                <w:szCs w:val="22"/>
              </w:rPr>
              <w:t>Value</w:t>
            </w:r>
            <w:proofErr w:type="spellEnd"/>
            <w:r w:rsidRPr="00734D3B">
              <w:rPr>
                <w:rFonts w:cs="Arial"/>
                <w:szCs w:val="22"/>
              </w:rPr>
              <w:t xml:space="preserve"> / Meta</w:t>
            </w:r>
          </w:p>
        </w:tc>
        <w:tc>
          <w:tcPr>
            <w:tcW w:w="4315" w:type="dxa"/>
          </w:tcPr>
          <w:p w14:paraId="5042C958" w14:textId="77777777" w:rsidR="00007824" w:rsidRPr="00734D3B" w:rsidRDefault="00007824" w:rsidP="0049024C">
            <w:pPr>
              <w:rPr>
                <w:rFonts w:cs="Arial"/>
                <w:szCs w:val="22"/>
              </w:rPr>
            </w:pPr>
          </w:p>
        </w:tc>
      </w:tr>
      <w:tr w:rsidR="00734D3B" w:rsidRPr="00734D3B" w14:paraId="140D5E17" w14:textId="77777777" w:rsidTr="0049024C">
        <w:tc>
          <w:tcPr>
            <w:tcW w:w="4315" w:type="dxa"/>
          </w:tcPr>
          <w:p w14:paraId="1C97D82E" w14:textId="77777777" w:rsidR="00007824" w:rsidRPr="00734D3B" w:rsidRDefault="00007824" w:rsidP="0049024C">
            <w:pPr>
              <w:rPr>
                <w:rFonts w:cs="Arial"/>
                <w:szCs w:val="22"/>
              </w:rPr>
            </w:pPr>
            <w:proofErr w:type="spellStart"/>
            <w:r w:rsidRPr="00734D3B">
              <w:rPr>
                <w:rFonts w:cs="Arial"/>
                <w:szCs w:val="22"/>
              </w:rPr>
              <w:t>Measured</w:t>
            </w:r>
            <w:proofErr w:type="spellEnd"/>
            <w:r w:rsidRPr="00734D3B">
              <w:rPr>
                <w:rFonts w:cs="Arial"/>
                <w:szCs w:val="22"/>
              </w:rPr>
              <w:t xml:space="preserve"> </w:t>
            </w:r>
            <w:proofErr w:type="spellStart"/>
            <w:r w:rsidRPr="00734D3B">
              <w:rPr>
                <w:rFonts w:cs="Arial"/>
                <w:szCs w:val="22"/>
              </w:rPr>
              <w:t>Value</w:t>
            </w:r>
            <w:proofErr w:type="spellEnd"/>
            <w:r w:rsidRPr="00734D3B">
              <w:rPr>
                <w:rFonts w:cs="Arial"/>
                <w:szCs w:val="22"/>
              </w:rPr>
              <w:t xml:space="preserve"> / Valor medido</w:t>
            </w:r>
          </w:p>
        </w:tc>
        <w:tc>
          <w:tcPr>
            <w:tcW w:w="4315" w:type="dxa"/>
          </w:tcPr>
          <w:p w14:paraId="084D2EE9" w14:textId="77777777" w:rsidR="00007824" w:rsidRPr="00734D3B" w:rsidRDefault="00007824" w:rsidP="0049024C">
            <w:pPr>
              <w:rPr>
                <w:rFonts w:cs="Arial"/>
                <w:szCs w:val="22"/>
              </w:rPr>
            </w:pPr>
          </w:p>
        </w:tc>
      </w:tr>
      <w:tr w:rsidR="00734D3B" w:rsidRPr="00734D3B" w14:paraId="245AC32D" w14:textId="77777777" w:rsidTr="0049024C">
        <w:tc>
          <w:tcPr>
            <w:tcW w:w="4315" w:type="dxa"/>
          </w:tcPr>
          <w:p w14:paraId="5FDF49BB" w14:textId="77777777" w:rsidR="00007824" w:rsidRPr="00734D3B" w:rsidRDefault="00007824" w:rsidP="0049024C">
            <w:pPr>
              <w:rPr>
                <w:rFonts w:cs="Arial"/>
                <w:szCs w:val="22"/>
              </w:rPr>
            </w:pPr>
            <w:r w:rsidRPr="00734D3B">
              <w:rPr>
                <w:rFonts w:cs="Arial"/>
                <w:szCs w:val="22"/>
              </w:rPr>
              <w:t>Performance Level (High / Medium / Low) / Nivel de desempeño</w:t>
            </w:r>
          </w:p>
        </w:tc>
        <w:tc>
          <w:tcPr>
            <w:tcW w:w="4315" w:type="dxa"/>
          </w:tcPr>
          <w:p w14:paraId="141C7FAD" w14:textId="77777777" w:rsidR="00007824" w:rsidRPr="00734D3B" w:rsidRDefault="00007824" w:rsidP="0049024C">
            <w:pPr>
              <w:rPr>
                <w:rFonts w:cs="Arial"/>
                <w:szCs w:val="22"/>
              </w:rPr>
            </w:pPr>
          </w:p>
        </w:tc>
      </w:tr>
      <w:tr w:rsidR="00734D3B" w:rsidRPr="00734D3B" w14:paraId="21A27BB9" w14:textId="77777777" w:rsidTr="0049024C">
        <w:tc>
          <w:tcPr>
            <w:tcW w:w="4315" w:type="dxa"/>
          </w:tcPr>
          <w:p w14:paraId="48FE5915" w14:textId="77777777" w:rsidR="00007824" w:rsidRPr="00734D3B" w:rsidRDefault="00007824" w:rsidP="0049024C">
            <w:pPr>
              <w:rPr>
                <w:rFonts w:cs="Arial"/>
                <w:szCs w:val="22"/>
                <w:lang w:val="en-US"/>
              </w:rPr>
            </w:pPr>
            <w:r w:rsidRPr="00734D3B">
              <w:rPr>
                <w:rFonts w:cs="Arial"/>
                <w:szCs w:val="22"/>
                <w:lang w:val="en-US"/>
              </w:rPr>
              <w:t>Did this recycled material generate economic recovery?</w:t>
            </w:r>
          </w:p>
          <w:p w14:paraId="60AC5C42" w14:textId="77777777" w:rsidR="00007824" w:rsidRPr="00734D3B" w:rsidRDefault="00007824" w:rsidP="0049024C">
            <w:pPr>
              <w:rPr>
                <w:rFonts w:cs="Arial"/>
                <w:szCs w:val="22"/>
              </w:rPr>
            </w:pPr>
            <w:r w:rsidRPr="00734D3B">
              <w:rPr>
                <w:rFonts w:cs="Arial"/>
                <w:szCs w:val="22"/>
              </w:rPr>
              <w:lastRenderedPageBreak/>
              <w:t>¿Este material reciclado generó recuperación económica?</w:t>
            </w:r>
          </w:p>
        </w:tc>
        <w:tc>
          <w:tcPr>
            <w:tcW w:w="4315" w:type="dxa"/>
          </w:tcPr>
          <w:p w14:paraId="4F5C43D1" w14:textId="77777777" w:rsidR="00007824" w:rsidRPr="00734D3B" w:rsidRDefault="00007824" w:rsidP="0049024C">
            <w:pPr>
              <w:rPr>
                <w:rFonts w:cs="Arial"/>
                <w:szCs w:val="22"/>
              </w:rPr>
            </w:pPr>
          </w:p>
        </w:tc>
      </w:tr>
      <w:tr w:rsidR="00734D3B" w:rsidRPr="0026787D" w14:paraId="36097672" w14:textId="77777777" w:rsidTr="0049024C">
        <w:tc>
          <w:tcPr>
            <w:tcW w:w="4315" w:type="dxa"/>
          </w:tcPr>
          <w:p w14:paraId="71713707" w14:textId="77777777" w:rsidR="00007824" w:rsidRPr="00734D3B" w:rsidRDefault="00007824" w:rsidP="0049024C">
            <w:pPr>
              <w:rPr>
                <w:rFonts w:cs="Arial"/>
                <w:szCs w:val="22"/>
                <w:lang w:val="en-US"/>
              </w:rPr>
            </w:pPr>
            <w:r w:rsidRPr="00734D3B">
              <w:rPr>
                <w:rFonts w:cs="Arial"/>
                <w:szCs w:val="22"/>
                <w:lang w:val="en-US"/>
              </w:rPr>
              <w:t xml:space="preserve">Amount received/ Monto </w:t>
            </w:r>
            <w:proofErr w:type="spellStart"/>
            <w:r w:rsidRPr="00734D3B">
              <w:rPr>
                <w:rFonts w:cs="Arial"/>
                <w:szCs w:val="22"/>
                <w:lang w:val="en-US"/>
              </w:rPr>
              <w:t>recibido</w:t>
            </w:r>
            <w:proofErr w:type="spellEnd"/>
            <w:r w:rsidRPr="00734D3B">
              <w:rPr>
                <w:rFonts w:cs="Arial"/>
                <w:szCs w:val="22"/>
                <w:lang w:val="en-US"/>
              </w:rPr>
              <w:t xml:space="preserve"> USD</w:t>
            </w:r>
          </w:p>
        </w:tc>
        <w:tc>
          <w:tcPr>
            <w:tcW w:w="4315" w:type="dxa"/>
          </w:tcPr>
          <w:p w14:paraId="1F590B0B" w14:textId="77777777" w:rsidR="00007824" w:rsidRPr="00734D3B" w:rsidRDefault="00007824" w:rsidP="0049024C">
            <w:pPr>
              <w:rPr>
                <w:rFonts w:cs="Arial"/>
                <w:szCs w:val="22"/>
                <w:lang w:val="en-US"/>
              </w:rPr>
            </w:pPr>
          </w:p>
        </w:tc>
      </w:tr>
      <w:tr w:rsidR="00734D3B" w:rsidRPr="00734D3B" w14:paraId="7072CF11" w14:textId="77777777" w:rsidTr="0049024C">
        <w:tc>
          <w:tcPr>
            <w:tcW w:w="4315" w:type="dxa"/>
          </w:tcPr>
          <w:p w14:paraId="2411B7E7" w14:textId="77777777" w:rsidR="00007824" w:rsidRPr="00734D3B" w:rsidRDefault="00007824" w:rsidP="0049024C">
            <w:pPr>
              <w:rPr>
                <w:rFonts w:cs="Arial"/>
                <w:szCs w:val="22"/>
              </w:rPr>
            </w:pPr>
            <w:proofErr w:type="spellStart"/>
            <w:r w:rsidRPr="00734D3B">
              <w:rPr>
                <w:rFonts w:cs="Arial"/>
                <w:szCs w:val="22"/>
              </w:rPr>
              <w:t>Indirect</w:t>
            </w:r>
            <w:proofErr w:type="spellEnd"/>
            <w:r w:rsidRPr="00734D3B">
              <w:rPr>
                <w:rFonts w:cs="Arial"/>
                <w:szCs w:val="22"/>
              </w:rPr>
              <w:t xml:space="preserve"> </w:t>
            </w:r>
            <w:proofErr w:type="spellStart"/>
            <w:r w:rsidRPr="00734D3B">
              <w:rPr>
                <w:rFonts w:cs="Arial"/>
                <w:szCs w:val="22"/>
              </w:rPr>
              <w:t>Economic</w:t>
            </w:r>
            <w:proofErr w:type="spellEnd"/>
            <w:r w:rsidRPr="00734D3B">
              <w:rPr>
                <w:rFonts w:cs="Arial"/>
                <w:szCs w:val="22"/>
              </w:rPr>
              <w:t xml:space="preserve"> Benefit/ Beneficio económico indirecto (USD)</w:t>
            </w:r>
          </w:p>
        </w:tc>
        <w:tc>
          <w:tcPr>
            <w:tcW w:w="4315" w:type="dxa"/>
          </w:tcPr>
          <w:p w14:paraId="56C8CD24" w14:textId="77777777" w:rsidR="00007824" w:rsidRPr="00734D3B" w:rsidRDefault="00007824" w:rsidP="0049024C">
            <w:pPr>
              <w:rPr>
                <w:rFonts w:cs="Arial"/>
                <w:szCs w:val="22"/>
              </w:rPr>
            </w:pPr>
          </w:p>
        </w:tc>
      </w:tr>
      <w:tr w:rsidR="00007824" w:rsidRPr="00734D3B" w14:paraId="3DEB19CA" w14:textId="77777777" w:rsidTr="0049024C">
        <w:tc>
          <w:tcPr>
            <w:tcW w:w="4315" w:type="dxa"/>
          </w:tcPr>
          <w:p w14:paraId="7F7EBC14" w14:textId="77777777" w:rsidR="00007824" w:rsidRPr="00734D3B" w:rsidRDefault="00007824" w:rsidP="0049024C">
            <w:pPr>
              <w:rPr>
                <w:rFonts w:cs="Arial"/>
                <w:szCs w:val="22"/>
              </w:rPr>
            </w:pPr>
            <w:proofErr w:type="spellStart"/>
            <w:r w:rsidRPr="00734D3B">
              <w:rPr>
                <w:rFonts w:cs="Arial"/>
                <w:szCs w:val="22"/>
              </w:rPr>
              <w:t>Observations</w:t>
            </w:r>
            <w:proofErr w:type="spellEnd"/>
            <w:r w:rsidRPr="00734D3B">
              <w:rPr>
                <w:rFonts w:cs="Arial"/>
                <w:szCs w:val="22"/>
              </w:rPr>
              <w:t xml:space="preserve"> / Observaciones</w:t>
            </w:r>
          </w:p>
        </w:tc>
        <w:tc>
          <w:tcPr>
            <w:tcW w:w="4315" w:type="dxa"/>
          </w:tcPr>
          <w:p w14:paraId="3C0243AD" w14:textId="77777777" w:rsidR="00007824" w:rsidRPr="00734D3B" w:rsidRDefault="00007824" w:rsidP="0049024C">
            <w:pPr>
              <w:rPr>
                <w:rFonts w:cs="Arial"/>
                <w:szCs w:val="22"/>
              </w:rPr>
            </w:pPr>
          </w:p>
        </w:tc>
      </w:tr>
    </w:tbl>
    <w:p w14:paraId="7F494155" w14:textId="77777777" w:rsidR="00007824" w:rsidRPr="00734D3B" w:rsidRDefault="00007824" w:rsidP="00007824">
      <w:pPr>
        <w:rPr>
          <w:rFonts w:cs="Arial"/>
          <w:szCs w:val="22"/>
        </w:rPr>
      </w:pPr>
    </w:p>
    <w:p w14:paraId="385C49BF" w14:textId="77777777" w:rsidR="00007824" w:rsidRPr="00734D3B" w:rsidRDefault="00007824" w:rsidP="00007824">
      <w:pPr>
        <w:rPr>
          <w:rFonts w:cs="Arial"/>
          <w:szCs w:val="22"/>
        </w:rPr>
      </w:pPr>
      <w:r w:rsidRPr="00734D3B">
        <w:rPr>
          <w:rFonts w:cs="Arial"/>
          <w:szCs w:val="22"/>
        </w:rPr>
        <w:t xml:space="preserve">F-CE-08 – </w:t>
      </w: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Closure</w:t>
      </w:r>
      <w:proofErr w:type="spellEnd"/>
      <w:r w:rsidRPr="00734D3B">
        <w:rPr>
          <w:rFonts w:cs="Arial"/>
          <w:szCs w:val="22"/>
        </w:rPr>
        <w:t xml:space="preserve"> </w:t>
      </w:r>
      <w:proofErr w:type="spellStart"/>
      <w:r w:rsidRPr="00734D3B">
        <w:rPr>
          <w:rFonts w:cs="Arial"/>
          <w:szCs w:val="22"/>
        </w:rPr>
        <w:t>Report</w:t>
      </w:r>
      <w:proofErr w:type="spellEnd"/>
      <w:r w:rsidRPr="00734D3B">
        <w:rPr>
          <w:rFonts w:cs="Arial"/>
          <w:szCs w:val="22"/>
        </w:rPr>
        <w:t xml:space="preserve"> / Informe de Cierre Ambiental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734D3B" w:rsidRPr="00734D3B" w14:paraId="70F483B2" w14:textId="77777777" w:rsidTr="0049024C">
        <w:tc>
          <w:tcPr>
            <w:tcW w:w="4320" w:type="dxa"/>
          </w:tcPr>
          <w:p w14:paraId="47860592" w14:textId="77777777" w:rsidR="00007824" w:rsidRPr="00734D3B" w:rsidRDefault="00007824" w:rsidP="0049024C">
            <w:pPr>
              <w:rPr>
                <w:rFonts w:cs="Arial"/>
                <w:b/>
                <w:bCs/>
                <w:szCs w:val="22"/>
              </w:rPr>
            </w:pPr>
            <w:r w:rsidRPr="00734D3B">
              <w:rPr>
                <w:rFonts w:cs="Arial"/>
                <w:b/>
                <w:bCs/>
                <w:szCs w:val="22"/>
              </w:rPr>
              <w:t>Field / Campo</w:t>
            </w:r>
          </w:p>
        </w:tc>
        <w:tc>
          <w:tcPr>
            <w:tcW w:w="4320" w:type="dxa"/>
          </w:tcPr>
          <w:p w14:paraId="7B907C11" w14:textId="77777777" w:rsidR="00007824" w:rsidRPr="00734D3B" w:rsidRDefault="00007824" w:rsidP="0049024C">
            <w:pPr>
              <w:rPr>
                <w:rFonts w:cs="Arial"/>
                <w:b/>
                <w:bCs/>
                <w:szCs w:val="22"/>
              </w:rPr>
            </w:pPr>
            <w:r w:rsidRPr="00734D3B">
              <w:rPr>
                <w:rFonts w:cs="Arial"/>
                <w:b/>
                <w:bCs/>
                <w:szCs w:val="22"/>
              </w:rPr>
              <w:t>Response / Respuesta</w:t>
            </w:r>
          </w:p>
        </w:tc>
      </w:tr>
      <w:tr w:rsidR="00734D3B" w:rsidRPr="00734D3B" w14:paraId="25F5CF5F" w14:textId="77777777" w:rsidTr="0049024C">
        <w:tc>
          <w:tcPr>
            <w:tcW w:w="4320" w:type="dxa"/>
          </w:tcPr>
          <w:p w14:paraId="6F6D36AD" w14:textId="77777777" w:rsidR="00007824" w:rsidRPr="00734D3B" w:rsidRDefault="00007824" w:rsidP="0049024C">
            <w:pPr>
              <w:rPr>
                <w:rFonts w:cs="Arial"/>
                <w:szCs w:val="22"/>
              </w:rPr>
            </w:pPr>
            <w:proofErr w:type="spellStart"/>
            <w:r w:rsidRPr="00734D3B">
              <w:rPr>
                <w:rFonts w:cs="Arial"/>
                <w:szCs w:val="22"/>
              </w:rPr>
              <w:t>Environmental</w:t>
            </w:r>
            <w:proofErr w:type="spellEnd"/>
            <w:r w:rsidRPr="00734D3B">
              <w:rPr>
                <w:rFonts w:cs="Arial"/>
                <w:szCs w:val="22"/>
              </w:rPr>
              <w:t xml:space="preserve"> </w:t>
            </w:r>
            <w:proofErr w:type="spellStart"/>
            <w:r w:rsidRPr="00734D3B">
              <w:rPr>
                <w:rFonts w:cs="Arial"/>
                <w:szCs w:val="22"/>
              </w:rPr>
              <w:t>Aspect</w:t>
            </w:r>
            <w:proofErr w:type="spellEnd"/>
            <w:r w:rsidRPr="00734D3B">
              <w:rPr>
                <w:rFonts w:cs="Arial"/>
                <w:szCs w:val="22"/>
              </w:rPr>
              <w:t xml:space="preserve"> / Aspecto ambiental</w:t>
            </w:r>
          </w:p>
        </w:tc>
        <w:tc>
          <w:tcPr>
            <w:tcW w:w="4320" w:type="dxa"/>
          </w:tcPr>
          <w:p w14:paraId="4BD78428" w14:textId="77777777" w:rsidR="00007824" w:rsidRPr="00734D3B" w:rsidRDefault="00007824" w:rsidP="0049024C">
            <w:pPr>
              <w:rPr>
                <w:rFonts w:cs="Arial"/>
                <w:szCs w:val="22"/>
              </w:rPr>
            </w:pPr>
          </w:p>
        </w:tc>
      </w:tr>
      <w:tr w:rsidR="00734D3B" w:rsidRPr="00734D3B" w14:paraId="05DDF992" w14:textId="77777777" w:rsidTr="0049024C">
        <w:tc>
          <w:tcPr>
            <w:tcW w:w="4320" w:type="dxa"/>
          </w:tcPr>
          <w:p w14:paraId="62212502" w14:textId="77777777" w:rsidR="00007824" w:rsidRPr="00734D3B" w:rsidRDefault="00007824" w:rsidP="0049024C">
            <w:pPr>
              <w:rPr>
                <w:rFonts w:cs="Arial"/>
                <w:szCs w:val="22"/>
              </w:rPr>
            </w:pPr>
            <w:r w:rsidRPr="00734D3B">
              <w:rPr>
                <w:rFonts w:cs="Arial"/>
                <w:szCs w:val="22"/>
              </w:rPr>
              <w:t xml:space="preserve">Final </w:t>
            </w:r>
            <w:proofErr w:type="spellStart"/>
            <w:r w:rsidRPr="00734D3B">
              <w:rPr>
                <w:rFonts w:cs="Arial"/>
                <w:szCs w:val="22"/>
              </w:rPr>
              <w:t>Result</w:t>
            </w:r>
            <w:proofErr w:type="spellEnd"/>
            <w:r w:rsidRPr="00734D3B">
              <w:rPr>
                <w:rFonts w:cs="Arial"/>
                <w:szCs w:val="22"/>
              </w:rPr>
              <w:t xml:space="preserve"> / Resultado final</w:t>
            </w:r>
          </w:p>
        </w:tc>
        <w:tc>
          <w:tcPr>
            <w:tcW w:w="4320" w:type="dxa"/>
          </w:tcPr>
          <w:p w14:paraId="2C95B217" w14:textId="77777777" w:rsidR="00007824" w:rsidRPr="00734D3B" w:rsidRDefault="00007824" w:rsidP="0049024C">
            <w:pPr>
              <w:rPr>
                <w:rFonts w:cs="Arial"/>
                <w:szCs w:val="22"/>
              </w:rPr>
            </w:pPr>
          </w:p>
        </w:tc>
      </w:tr>
      <w:tr w:rsidR="00734D3B" w:rsidRPr="00734D3B" w14:paraId="337A33B4" w14:textId="77777777" w:rsidTr="0049024C">
        <w:tc>
          <w:tcPr>
            <w:tcW w:w="4320" w:type="dxa"/>
          </w:tcPr>
          <w:p w14:paraId="2FBC0804" w14:textId="77777777" w:rsidR="00007824" w:rsidRPr="00734D3B" w:rsidRDefault="00007824" w:rsidP="0049024C">
            <w:pPr>
              <w:rPr>
                <w:rFonts w:cs="Arial"/>
                <w:szCs w:val="22"/>
              </w:rPr>
            </w:pPr>
            <w:proofErr w:type="spellStart"/>
            <w:r w:rsidRPr="00734D3B">
              <w:rPr>
                <w:rFonts w:cs="Arial"/>
                <w:szCs w:val="22"/>
              </w:rPr>
              <w:t>Compliance</w:t>
            </w:r>
            <w:proofErr w:type="spellEnd"/>
            <w:r w:rsidRPr="00734D3B">
              <w:rPr>
                <w:rFonts w:cs="Arial"/>
                <w:szCs w:val="22"/>
              </w:rPr>
              <w:t xml:space="preserve"> </w:t>
            </w:r>
            <w:proofErr w:type="gramStart"/>
            <w:r w:rsidRPr="00734D3B">
              <w:rPr>
                <w:rFonts w:cs="Arial"/>
                <w:szCs w:val="22"/>
              </w:rPr>
              <w:t>Status</w:t>
            </w:r>
            <w:proofErr w:type="gramEnd"/>
            <w:r w:rsidRPr="00734D3B">
              <w:rPr>
                <w:rFonts w:cs="Arial"/>
                <w:szCs w:val="22"/>
              </w:rPr>
              <w:t xml:space="preserve"> / Estado de cumplimiento</w:t>
            </w:r>
          </w:p>
        </w:tc>
        <w:tc>
          <w:tcPr>
            <w:tcW w:w="4320" w:type="dxa"/>
          </w:tcPr>
          <w:p w14:paraId="5B8C6136" w14:textId="77777777" w:rsidR="00007824" w:rsidRPr="00734D3B" w:rsidRDefault="00007824" w:rsidP="0049024C">
            <w:pPr>
              <w:rPr>
                <w:rFonts w:cs="Arial"/>
                <w:szCs w:val="22"/>
              </w:rPr>
            </w:pPr>
          </w:p>
        </w:tc>
      </w:tr>
      <w:tr w:rsidR="00734D3B" w:rsidRPr="00734D3B" w14:paraId="79287A27" w14:textId="77777777" w:rsidTr="0049024C">
        <w:tc>
          <w:tcPr>
            <w:tcW w:w="4320" w:type="dxa"/>
          </w:tcPr>
          <w:p w14:paraId="721E471F" w14:textId="77777777" w:rsidR="00007824" w:rsidRPr="00734D3B" w:rsidRDefault="00007824" w:rsidP="0049024C">
            <w:pPr>
              <w:rPr>
                <w:rFonts w:cs="Arial"/>
                <w:szCs w:val="22"/>
              </w:rPr>
            </w:pPr>
            <w:proofErr w:type="spellStart"/>
            <w:r w:rsidRPr="00734D3B">
              <w:rPr>
                <w:rFonts w:cs="Arial"/>
                <w:szCs w:val="22"/>
              </w:rPr>
              <w:t>Lessons</w:t>
            </w:r>
            <w:proofErr w:type="spellEnd"/>
            <w:r w:rsidRPr="00734D3B">
              <w:rPr>
                <w:rFonts w:cs="Arial"/>
                <w:szCs w:val="22"/>
              </w:rPr>
              <w:t xml:space="preserve"> Learned / Lecciones aprendidas</w:t>
            </w:r>
          </w:p>
        </w:tc>
        <w:tc>
          <w:tcPr>
            <w:tcW w:w="4320" w:type="dxa"/>
          </w:tcPr>
          <w:p w14:paraId="0E9B5C16" w14:textId="77777777" w:rsidR="00007824" w:rsidRPr="00734D3B" w:rsidRDefault="00007824" w:rsidP="0049024C">
            <w:pPr>
              <w:rPr>
                <w:rFonts w:cs="Arial"/>
                <w:szCs w:val="22"/>
              </w:rPr>
            </w:pPr>
          </w:p>
        </w:tc>
      </w:tr>
      <w:tr w:rsidR="00007824" w:rsidRPr="00734D3B" w14:paraId="02483C6E" w14:textId="77777777" w:rsidTr="0049024C">
        <w:tc>
          <w:tcPr>
            <w:tcW w:w="4320" w:type="dxa"/>
          </w:tcPr>
          <w:p w14:paraId="20E312EC" w14:textId="77777777" w:rsidR="00007824" w:rsidRPr="00734D3B" w:rsidRDefault="00007824" w:rsidP="0049024C">
            <w:pPr>
              <w:rPr>
                <w:rFonts w:cs="Arial"/>
                <w:szCs w:val="22"/>
              </w:rPr>
            </w:pPr>
            <w:proofErr w:type="spellStart"/>
            <w:r w:rsidRPr="00734D3B">
              <w:rPr>
                <w:rFonts w:cs="Arial"/>
                <w:szCs w:val="22"/>
              </w:rPr>
              <w:t>Improvement</w:t>
            </w:r>
            <w:proofErr w:type="spellEnd"/>
            <w:r w:rsidRPr="00734D3B">
              <w:rPr>
                <w:rFonts w:cs="Arial"/>
                <w:szCs w:val="22"/>
              </w:rPr>
              <w:t xml:space="preserve"> </w:t>
            </w:r>
            <w:proofErr w:type="spellStart"/>
            <w:r w:rsidRPr="00734D3B">
              <w:rPr>
                <w:rFonts w:cs="Arial"/>
                <w:szCs w:val="22"/>
              </w:rPr>
              <w:t>Recommendations</w:t>
            </w:r>
            <w:proofErr w:type="spellEnd"/>
            <w:r w:rsidRPr="00734D3B">
              <w:rPr>
                <w:rFonts w:cs="Arial"/>
                <w:szCs w:val="22"/>
              </w:rPr>
              <w:t xml:space="preserve"> / Recomendaciones</w:t>
            </w:r>
          </w:p>
        </w:tc>
        <w:tc>
          <w:tcPr>
            <w:tcW w:w="4320" w:type="dxa"/>
          </w:tcPr>
          <w:p w14:paraId="425998D0" w14:textId="77777777" w:rsidR="00007824" w:rsidRPr="00734D3B" w:rsidRDefault="00007824" w:rsidP="0049024C">
            <w:pPr>
              <w:rPr>
                <w:rFonts w:cs="Arial"/>
                <w:szCs w:val="22"/>
              </w:rPr>
            </w:pPr>
          </w:p>
        </w:tc>
      </w:tr>
    </w:tbl>
    <w:p w14:paraId="28430BC6" w14:textId="77777777" w:rsidR="00007824" w:rsidRPr="00734D3B" w:rsidRDefault="00007824" w:rsidP="00007824">
      <w:pPr>
        <w:rPr>
          <w:rFonts w:cs="Arial"/>
          <w:szCs w:val="22"/>
        </w:rPr>
      </w:pPr>
    </w:p>
    <w:p w14:paraId="0E9B088C" w14:textId="77777777" w:rsidR="00007824" w:rsidRPr="00734D3B" w:rsidRDefault="00007824" w:rsidP="00685431">
      <w:pPr>
        <w:rPr>
          <w:rFonts w:cs="Arial"/>
          <w:szCs w:val="22"/>
        </w:rPr>
      </w:pPr>
    </w:p>
    <w:sectPr w:rsidR="00007824" w:rsidRPr="00734D3B" w:rsidSect="006E6503">
      <w:pgSz w:w="12242" w:h="15842"/>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F82F" w14:textId="77777777" w:rsidR="0024324A" w:rsidRDefault="0024324A">
      <w:pPr>
        <w:spacing w:line="240" w:lineRule="auto"/>
      </w:pPr>
      <w:r>
        <w:separator/>
      </w:r>
    </w:p>
  </w:endnote>
  <w:endnote w:type="continuationSeparator" w:id="0">
    <w:p w14:paraId="74CA2F65" w14:textId="77777777" w:rsidR="0024324A" w:rsidRDefault="00243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618C" w14:textId="77777777" w:rsidR="00264EEB" w:rsidRDefault="00264EEB" w:rsidP="006308A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211E96" w14:textId="77777777" w:rsidR="00264EEB" w:rsidRDefault="00264E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BE9C" w14:textId="77777777" w:rsidR="00264EEB" w:rsidRDefault="00264EEB" w:rsidP="006308A9">
    <w:pPr>
      <w:pStyle w:val="Footer"/>
      <w:ind w:right="360"/>
      <w:jc w:val="center"/>
    </w:pPr>
  </w:p>
  <w:p w14:paraId="11754EFA" w14:textId="77777777" w:rsidR="00264EEB" w:rsidRDefault="00264E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F52A" w14:textId="77777777" w:rsidR="00264EEB" w:rsidRDefault="00264E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A9074C" w14:textId="77777777" w:rsidR="00264EEB" w:rsidRDefault="00264EE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EA84" w14:textId="77777777" w:rsidR="00264EEB" w:rsidRDefault="00264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3BF4" w14:textId="77777777" w:rsidR="0024324A" w:rsidRDefault="0024324A">
      <w:pPr>
        <w:spacing w:line="240" w:lineRule="auto"/>
      </w:pPr>
      <w:r>
        <w:separator/>
      </w:r>
    </w:p>
  </w:footnote>
  <w:footnote w:type="continuationSeparator" w:id="0">
    <w:p w14:paraId="3B4A6514" w14:textId="77777777" w:rsidR="0024324A" w:rsidRDefault="002432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3396"/>
      <w:docPartObj>
        <w:docPartGallery w:val="Page Numbers (Top of Page)"/>
        <w:docPartUnique/>
      </w:docPartObj>
    </w:sdtPr>
    <w:sdtEndPr>
      <w:rPr>
        <w:rStyle w:val="PageNumber"/>
      </w:rPr>
    </w:sdtEndPr>
    <w:sdtContent>
      <w:p w14:paraId="717E7159" w14:textId="4804A713" w:rsidR="006308A9" w:rsidRDefault="006308A9" w:rsidP="006308A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3749">
          <w:rPr>
            <w:rStyle w:val="PageNumber"/>
            <w:noProof/>
          </w:rPr>
          <w:t>3</w:t>
        </w:r>
        <w:r>
          <w:rPr>
            <w:rStyle w:val="PageNumber"/>
          </w:rPr>
          <w:fldChar w:fldCharType="end"/>
        </w:r>
      </w:p>
    </w:sdtContent>
  </w:sdt>
  <w:p w14:paraId="3427AF57" w14:textId="77777777" w:rsidR="006308A9" w:rsidRDefault="006308A9" w:rsidP="006308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1643480"/>
      <w:docPartObj>
        <w:docPartGallery w:val="Page Numbers (Top of Page)"/>
        <w:docPartUnique/>
      </w:docPartObj>
    </w:sdtPr>
    <w:sdtEndPr>
      <w:rPr>
        <w:rStyle w:val="PageNumber"/>
      </w:rPr>
    </w:sdtEndPr>
    <w:sdtContent>
      <w:p w14:paraId="75E60E49" w14:textId="331FB12B" w:rsidR="006308A9" w:rsidRDefault="006308A9" w:rsidP="00C854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208E929" w14:textId="39C8F390" w:rsidR="00264EEB" w:rsidRDefault="00264EEB" w:rsidP="006308A9">
    <w:pPr>
      <w:pStyle w:val="Header"/>
      <w:ind w:right="360"/>
      <w:jc w:val="right"/>
    </w:pPr>
  </w:p>
  <w:p w14:paraId="0AE5C754" w14:textId="77777777" w:rsidR="00264EEB" w:rsidRDefault="00264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3318" w14:textId="77777777" w:rsidR="00264EEB" w:rsidRDefault="00264EEB">
    <w:pPr>
      <w:pStyle w:val="Header"/>
      <w:jc w:val="right"/>
    </w:pPr>
    <w:r>
      <w:fldChar w:fldCharType="begin"/>
    </w:r>
    <w:r>
      <w:instrText>PAGE   \* MERGEFORMAT</w:instrText>
    </w:r>
    <w:r>
      <w:fldChar w:fldCharType="separate"/>
    </w:r>
    <w:r>
      <w:rPr>
        <w:lang w:eastAsia="es-MX"/>
      </w:rPr>
      <w:t>21</w:t>
    </w:r>
    <w:r>
      <w:fldChar w:fldCharType="end"/>
    </w:r>
  </w:p>
  <w:p w14:paraId="45AB0CBD" w14:textId="77777777" w:rsidR="00264EEB" w:rsidRDefault="00264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DB666D2"/>
    <w:lvl w:ilvl="0">
      <w:start w:val="1"/>
      <w:numFmt w:val="decimal"/>
      <w:pStyle w:val="ListNumber"/>
      <w:lvlText w:val="%1."/>
      <w:lvlJc w:val="left"/>
      <w:pPr>
        <w:tabs>
          <w:tab w:val="num" w:pos="360"/>
        </w:tabs>
        <w:ind w:left="360" w:hanging="360"/>
      </w:pPr>
    </w:lvl>
  </w:abstractNum>
  <w:abstractNum w:abstractNumId="1" w15:restartNumberingAfterBreak="0">
    <w:nsid w:val="005F7E05"/>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5464E"/>
    <w:multiLevelType w:val="multilevel"/>
    <w:tmpl w:val="2422A53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10420"/>
    <w:multiLevelType w:val="multilevel"/>
    <w:tmpl w:val="7418437E"/>
    <w:lvl w:ilvl="0">
      <w:start w:val="1"/>
      <w:numFmt w:val="decimal"/>
      <w:lvlText w:val="%1."/>
      <w:lvlJc w:val="left"/>
      <w:pPr>
        <w:tabs>
          <w:tab w:val="num" w:pos="630"/>
        </w:tabs>
        <w:ind w:left="63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52013"/>
    <w:multiLevelType w:val="hybridMultilevel"/>
    <w:tmpl w:val="6152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3032A"/>
    <w:multiLevelType w:val="hybridMultilevel"/>
    <w:tmpl w:val="B352C56A"/>
    <w:lvl w:ilvl="0" w:tplc="1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C572EF"/>
    <w:multiLevelType w:val="hybridMultilevel"/>
    <w:tmpl w:val="16784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78D4A23"/>
    <w:multiLevelType w:val="multilevel"/>
    <w:tmpl w:val="B546EBA4"/>
    <w:lvl w:ilvl="0">
      <w:start w:val="1"/>
      <w:numFmt w:val="decimal"/>
      <w:lvlText w:val="%1."/>
      <w:lvlJc w:val="left"/>
      <w:pPr>
        <w:ind w:left="644" w:hanging="360"/>
      </w:pPr>
      <w:rPr>
        <w:rFonts w:hint="default"/>
      </w:rPr>
    </w:lvl>
    <w:lvl w:ilvl="1">
      <w:start w:val="3"/>
      <w:numFmt w:val="decimal"/>
      <w:isLgl/>
      <w:lvlText w:val="%1.%2"/>
      <w:lvlJc w:val="left"/>
      <w:pPr>
        <w:ind w:left="80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18" w:hanging="72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554" w:hanging="108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88" w:hanging="1800"/>
      </w:pPr>
      <w:rPr>
        <w:rFonts w:hint="default"/>
      </w:rPr>
    </w:lvl>
  </w:abstractNum>
  <w:abstractNum w:abstractNumId="8"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0A6734E0"/>
    <w:multiLevelType w:val="hybridMultilevel"/>
    <w:tmpl w:val="89A608BA"/>
    <w:lvl w:ilvl="0" w:tplc="22AEB8E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443E1"/>
    <w:multiLevelType w:val="hybridMultilevel"/>
    <w:tmpl w:val="89A05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E24159"/>
    <w:multiLevelType w:val="hybridMultilevel"/>
    <w:tmpl w:val="3CCEFAC2"/>
    <w:lvl w:ilvl="0" w:tplc="007CE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17D03"/>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F2198"/>
    <w:multiLevelType w:val="hybridMultilevel"/>
    <w:tmpl w:val="3C54CE8C"/>
    <w:lvl w:ilvl="0" w:tplc="BD248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93346B"/>
    <w:multiLevelType w:val="hybridMultilevel"/>
    <w:tmpl w:val="5560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E47E20"/>
    <w:multiLevelType w:val="multilevel"/>
    <w:tmpl w:val="A38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345BC"/>
    <w:multiLevelType w:val="multilevel"/>
    <w:tmpl w:val="220A484C"/>
    <w:lvl w:ilvl="0">
      <w:start w:val="3"/>
      <w:numFmt w:val="decimal"/>
      <w:lvlText w:val="%1"/>
      <w:lvlJc w:val="left"/>
      <w:pPr>
        <w:ind w:left="480" w:hanging="480"/>
      </w:pPr>
      <w:rPr>
        <w:rFonts w:hint="default"/>
      </w:rPr>
    </w:lvl>
    <w:lvl w:ilvl="1">
      <w:start w:val="4"/>
      <w:numFmt w:val="decimal"/>
      <w:lvlText w:val="%1.%2"/>
      <w:lvlJc w:val="left"/>
      <w:pPr>
        <w:ind w:left="705" w:hanging="48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7" w15:restartNumberingAfterBreak="0">
    <w:nsid w:val="1DCC51FF"/>
    <w:multiLevelType w:val="hybridMultilevel"/>
    <w:tmpl w:val="C36C99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1E4B526A"/>
    <w:multiLevelType w:val="hybridMultilevel"/>
    <w:tmpl w:val="E8DE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B06B5D"/>
    <w:multiLevelType w:val="hybridMultilevel"/>
    <w:tmpl w:val="2198264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15:restartNumberingAfterBreak="0">
    <w:nsid w:val="209D6392"/>
    <w:multiLevelType w:val="multilevel"/>
    <w:tmpl w:val="87AC4CB6"/>
    <w:lvl w:ilvl="0">
      <w:start w:val="4"/>
      <w:numFmt w:val="decimal"/>
      <w:lvlText w:val="%1"/>
      <w:lvlJc w:val="left"/>
      <w:pPr>
        <w:ind w:left="645" w:hanging="645"/>
      </w:pPr>
      <w:rPr>
        <w:rFonts w:hint="default"/>
      </w:rPr>
    </w:lvl>
    <w:lvl w:ilvl="1">
      <w:start w:val="3"/>
      <w:numFmt w:val="decimal"/>
      <w:lvlText w:val="%1.%2"/>
      <w:lvlJc w:val="left"/>
      <w:pPr>
        <w:ind w:left="720" w:hanging="720"/>
      </w:pPr>
      <w:rPr>
        <w:rFonts w:hint="default"/>
        <w:b/>
        <w:bCs/>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27F10DC"/>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D50E27"/>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BA1188"/>
    <w:multiLevelType w:val="multilevel"/>
    <w:tmpl w:val="931E69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77F7A23"/>
    <w:multiLevelType w:val="hybridMultilevel"/>
    <w:tmpl w:val="AA9CCF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2B133B8A"/>
    <w:multiLevelType w:val="multilevel"/>
    <w:tmpl w:val="D81C4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4C2844"/>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767074"/>
    <w:multiLevelType w:val="multilevel"/>
    <w:tmpl w:val="DD44139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15:restartNumberingAfterBreak="0">
    <w:nsid w:val="30E20921"/>
    <w:multiLevelType w:val="multilevel"/>
    <w:tmpl w:val="02B65D22"/>
    <w:lvl w:ilvl="0">
      <w:start w:val="1"/>
      <w:numFmt w:val="decimal"/>
      <w:lvlText w:val="%1."/>
      <w:lvlJc w:val="left"/>
      <w:pPr>
        <w:ind w:left="1429" w:hanging="360"/>
      </w:p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15:restartNumberingAfterBreak="0">
    <w:nsid w:val="375C0C2A"/>
    <w:multiLevelType w:val="multilevel"/>
    <w:tmpl w:val="1A20BA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95F21BA"/>
    <w:multiLevelType w:val="multilevel"/>
    <w:tmpl w:val="192AC4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A2F4C4A"/>
    <w:multiLevelType w:val="multilevel"/>
    <w:tmpl w:val="0B0AE6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DF7777D"/>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FA6AB4"/>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E6255F"/>
    <w:multiLevelType w:val="hybridMultilevel"/>
    <w:tmpl w:val="BAD4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4346C1"/>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581EAD"/>
    <w:multiLevelType w:val="hybridMultilevel"/>
    <w:tmpl w:val="392EF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4CF7257"/>
    <w:multiLevelType w:val="multilevel"/>
    <w:tmpl w:val="633E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90268D"/>
    <w:multiLevelType w:val="hybridMultilevel"/>
    <w:tmpl w:val="592202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47D3321E"/>
    <w:multiLevelType w:val="hybridMultilevel"/>
    <w:tmpl w:val="E86623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CA5142D"/>
    <w:multiLevelType w:val="multilevel"/>
    <w:tmpl w:val="93468A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E846149"/>
    <w:multiLevelType w:val="hybridMultilevel"/>
    <w:tmpl w:val="EB222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ECE6B66"/>
    <w:multiLevelType w:val="multilevel"/>
    <w:tmpl w:val="B546EBA4"/>
    <w:lvl w:ilvl="0">
      <w:start w:val="1"/>
      <w:numFmt w:val="decimal"/>
      <w:lvlText w:val="%1."/>
      <w:lvlJc w:val="left"/>
      <w:pPr>
        <w:ind w:left="644" w:hanging="360"/>
      </w:pPr>
      <w:rPr>
        <w:rFonts w:hint="default"/>
      </w:rPr>
    </w:lvl>
    <w:lvl w:ilvl="1">
      <w:start w:val="3"/>
      <w:numFmt w:val="decimal"/>
      <w:isLgl/>
      <w:lvlText w:val="%1.%2"/>
      <w:lvlJc w:val="left"/>
      <w:pPr>
        <w:ind w:left="80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18" w:hanging="72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554" w:hanging="108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88" w:hanging="1800"/>
      </w:pPr>
      <w:rPr>
        <w:rFonts w:hint="default"/>
      </w:rPr>
    </w:lvl>
  </w:abstractNum>
  <w:abstractNum w:abstractNumId="43"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154487C"/>
    <w:multiLevelType w:val="hybridMultilevel"/>
    <w:tmpl w:val="1186C5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536C270A"/>
    <w:multiLevelType w:val="hybridMultilevel"/>
    <w:tmpl w:val="166A5C0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6E5455C"/>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3A7DE5"/>
    <w:multiLevelType w:val="multilevel"/>
    <w:tmpl w:val="B9B850D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5A0A0215"/>
    <w:multiLevelType w:val="hybridMultilevel"/>
    <w:tmpl w:val="2B7A33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C1737E"/>
    <w:multiLevelType w:val="multilevel"/>
    <w:tmpl w:val="814228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5BA77081"/>
    <w:multiLevelType w:val="multilevel"/>
    <w:tmpl w:val="DC2AB2F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936" w:hanging="576"/>
      </w:pPr>
      <w:rPr>
        <w:rFonts w:hint="default"/>
        <w:b/>
      </w:rPr>
    </w:lvl>
    <w:lvl w:ilvl="2">
      <w:start w:val="1"/>
      <w:numFmt w:val="decimal"/>
      <w:pStyle w:val="Heading3"/>
      <w:lvlText w:val="%1.%2.%3"/>
      <w:lvlJc w:val="left"/>
      <w:pPr>
        <w:ind w:left="436" w:hanging="436"/>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C6C646C"/>
    <w:multiLevelType w:val="hybridMultilevel"/>
    <w:tmpl w:val="7C123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9211D5"/>
    <w:multiLevelType w:val="hybridMultilevel"/>
    <w:tmpl w:val="9BB88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C9E5ACD"/>
    <w:multiLevelType w:val="hybridMultilevel"/>
    <w:tmpl w:val="C234F6A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EE66453"/>
    <w:multiLevelType w:val="multilevel"/>
    <w:tmpl w:val="640E08C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5FA4558A"/>
    <w:multiLevelType w:val="multilevel"/>
    <w:tmpl w:val="95207D1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1FC4196"/>
    <w:multiLevelType w:val="hybridMultilevel"/>
    <w:tmpl w:val="D5A266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0A6BE2"/>
    <w:multiLevelType w:val="multilevel"/>
    <w:tmpl w:val="3BD8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8B5CA5"/>
    <w:multiLevelType w:val="hybridMultilevel"/>
    <w:tmpl w:val="BE0EB12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0" w15:restartNumberingAfterBreak="0">
    <w:nsid w:val="66313BD3"/>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7C7372"/>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E8153F"/>
    <w:multiLevelType w:val="hybridMultilevel"/>
    <w:tmpl w:val="9E3A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6878B6"/>
    <w:multiLevelType w:val="hybridMultilevel"/>
    <w:tmpl w:val="C12EB4DA"/>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64" w15:restartNumberingAfterBreak="0">
    <w:nsid w:val="6F2477E2"/>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5F0D15"/>
    <w:multiLevelType w:val="hybridMultilevel"/>
    <w:tmpl w:val="FEF6E79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6" w15:restartNumberingAfterBreak="0">
    <w:nsid w:val="719B23E5"/>
    <w:multiLevelType w:val="multilevel"/>
    <w:tmpl w:val="7A522B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1C27CBE"/>
    <w:multiLevelType w:val="hybridMultilevel"/>
    <w:tmpl w:val="D3226A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8" w15:restartNumberingAfterBreak="0">
    <w:nsid w:val="723B07A2"/>
    <w:multiLevelType w:val="multilevel"/>
    <w:tmpl w:val="C8BA029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58F4D12"/>
    <w:multiLevelType w:val="multilevel"/>
    <w:tmpl w:val="FDB8079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7704FD0"/>
    <w:multiLevelType w:val="hybridMultilevel"/>
    <w:tmpl w:val="4C6E98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705B3B"/>
    <w:multiLevelType w:val="hybridMultilevel"/>
    <w:tmpl w:val="5A0A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012158"/>
    <w:multiLevelType w:val="multilevel"/>
    <w:tmpl w:val="CF2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830872">
    <w:abstractNumId w:val="8"/>
  </w:num>
  <w:num w:numId="2" w16cid:durableId="1759516890">
    <w:abstractNumId w:val="56"/>
  </w:num>
  <w:num w:numId="3" w16cid:durableId="1192113979">
    <w:abstractNumId w:val="43"/>
  </w:num>
  <w:num w:numId="4" w16cid:durableId="421336649">
    <w:abstractNumId w:val="27"/>
  </w:num>
  <w:num w:numId="5" w16cid:durableId="1648512608">
    <w:abstractNumId w:val="3"/>
  </w:num>
  <w:num w:numId="6" w16cid:durableId="632298613">
    <w:abstractNumId w:val="13"/>
  </w:num>
  <w:num w:numId="7" w16cid:durableId="7946758">
    <w:abstractNumId w:val="9"/>
  </w:num>
  <w:num w:numId="8" w16cid:durableId="857423762">
    <w:abstractNumId w:val="11"/>
  </w:num>
  <w:num w:numId="9" w16cid:durableId="532765754">
    <w:abstractNumId w:val="37"/>
  </w:num>
  <w:num w:numId="10" w16cid:durableId="647176214">
    <w:abstractNumId w:val="58"/>
  </w:num>
  <w:num w:numId="11" w16cid:durableId="6521009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7667460">
    <w:abstractNumId w:val="68"/>
  </w:num>
  <w:num w:numId="13" w16cid:durableId="1519924600">
    <w:abstractNumId w:val="2"/>
  </w:num>
  <w:num w:numId="14" w16cid:durableId="1751080704">
    <w:abstractNumId w:val="15"/>
  </w:num>
  <w:num w:numId="15" w16cid:durableId="1420370865">
    <w:abstractNumId w:val="60"/>
  </w:num>
  <w:num w:numId="16" w16cid:durableId="7414992">
    <w:abstractNumId w:val="64"/>
  </w:num>
  <w:num w:numId="17" w16cid:durableId="1682194419">
    <w:abstractNumId w:val="26"/>
  </w:num>
  <w:num w:numId="18" w16cid:durableId="1009991138">
    <w:abstractNumId w:val="1"/>
  </w:num>
  <w:num w:numId="19" w16cid:durableId="1003238096">
    <w:abstractNumId w:val="32"/>
  </w:num>
  <w:num w:numId="20" w16cid:durableId="1886866985">
    <w:abstractNumId w:val="12"/>
  </w:num>
  <w:num w:numId="21" w16cid:durableId="217280502">
    <w:abstractNumId w:val="33"/>
  </w:num>
  <w:num w:numId="22" w16cid:durableId="1508790481">
    <w:abstractNumId w:val="72"/>
  </w:num>
  <w:num w:numId="23" w16cid:durableId="217522363">
    <w:abstractNumId w:val="21"/>
  </w:num>
  <w:num w:numId="24" w16cid:durableId="1364017854">
    <w:abstractNumId w:val="22"/>
  </w:num>
  <w:num w:numId="25" w16cid:durableId="1305231079">
    <w:abstractNumId w:val="35"/>
  </w:num>
  <w:num w:numId="26" w16cid:durableId="1900289404">
    <w:abstractNumId w:val="46"/>
  </w:num>
  <w:num w:numId="27" w16cid:durableId="712848713">
    <w:abstractNumId w:val="61"/>
  </w:num>
  <w:num w:numId="28" w16cid:durableId="1338458237">
    <w:abstractNumId w:val="28"/>
  </w:num>
  <w:num w:numId="29" w16cid:durableId="1061635650">
    <w:abstractNumId w:val="10"/>
  </w:num>
  <w:num w:numId="30" w16cid:durableId="1382055575">
    <w:abstractNumId w:val="34"/>
  </w:num>
  <w:num w:numId="31" w16cid:durableId="1555585037">
    <w:abstractNumId w:val="5"/>
  </w:num>
  <w:num w:numId="32" w16cid:durableId="138378948">
    <w:abstractNumId w:val="50"/>
    <w:lvlOverride w:ilvl="0">
      <w:startOverride w:val="1"/>
    </w:lvlOverride>
  </w:num>
  <w:num w:numId="33" w16cid:durableId="1361737912">
    <w:abstractNumId w:val="7"/>
  </w:num>
  <w:num w:numId="34" w16cid:durableId="1089348486">
    <w:abstractNumId w:val="25"/>
  </w:num>
  <w:num w:numId="35" w16cid:durableId="426969874">
    <w:abstractNumId w:val="69"/>
  </w:num>
  <w:num w:numId="36" w16cid:durableId="978993701">
    <w:abstractNumId w:val="66"/>
  </w:num>
  <w:num w:numId="37" w16cid:durableId="1736854356">
    <w:abstractNumId w:val="30"/>
  </w:num>
  <w:num w:numId="38" w16cid:durableId="125508217">
    <w:abstractNumId w:val="23"/>
  </w:num>
  <w:num w:numId="39" w16cid:durableId="410085447">
    <w:abstractNumId w:val="40"/>
  </w:num>
  <w:num w:numId="40" w16cid:durableId="848326384">
    <w:abstractNumId w:val="31"/>
  </w:num>
  <w:num w:numId="41" w16cid:durableId="324554406">
    <w:abstractNumId w:val="4"/>
  </w:num>
  <w:num w:numId="42" w16cid:durableId="557400838">
    <w:abstractNumId w:val="71"/>
  </w:num>
  <w:num w:numId="43" w16cid:durableId="1729840846">
    <w:abstractNumId w:val="18"/>
  </w:num>
  <w:num w:numId="44" w16cid:durableId="1850440562">
    <w:abstractNumId w:val="16"/>
  </w:num>
  <w:num w:numId="45" w16cid:durableId="1711950613">
    <w:abstractNumId w:val="19"/>
  </w:num>
  <w:num w:numId="46" w16cid:durableId="1811821113">
    <w:abstractNumId w:val="59"/>
  </w:num>
  <w:num w:numId="47" w16cid:durableId="828837016">
    <w:abstractNumId w:val="52"/>
  </w:num>
  <w:num w:numId="48" w16cid:durableId="286817893">
    <w:abstractNumId w:val="41"/>
  </w:num>
  <w:num w:numId="49" w16cid:durableId="1133207753">
    <w:abstractNumId w:val="36"/>
  </w:num>
  <w:num w:numId="50" w16cid:durableId="404885704">
    <w:abstractNumId w:val="67"/>
  </w:num>
  <w:num w:numId="51" w16cid:durableId="1669552343">
    <w:abstractNumId w:val="42"/>
  </w:num>
  <w:num w:numId="52" w16cid:durableId="1211381225">
    <w:abstractNumId w:val="54"/>
  </w:num>
  <w:num w:numId="53" w16cid:durableId="1713529657">
    <w:abstractNumId w:val="55"/>
  </w:num>
  <w:num w:numId="54" w16cid:durableId="1822697962">
    <w:abstractNumId w:val="29"/>
  </w:num>
  <w:num w:numId="55" w16cid:durableId="120468201">
    <w:abstractNumId w:val="49"/>
  </w:num>
  <w:num w:numId="56" w16cid:durableId="1942180464">
    <w:abstractNumId w:val="0"/>
  </w:num>
  <w:num w:numId="57" w16cid:durableId="1356426673">
    <w:abstractNumId w:val="0"/>
    <w:lvlOverride w:ilvl="0">
      <w:startOverride w:val="1"/>
    </w:lvlOverride>
  </w:num>
  <w:num w:numId="58" w16cid:durableId="784471336">
    <w:abstractNumId w:val="39"/>
  </w:num>
  <w:num w:numId="59" w16cid:durableId="619848574">
    <w:abstractNumId w:val="45"/>
  </w:num>
  <w:num w:numId="60" w16cid:durableId="1811558087">
    <w:abstractNumId w:val="47"/>
  </w:num>
  <w:num w:numId="61" w16cid:durableId="2070495917">
    <w:abstractNumId w:val="20"/>
  </w:num>
  <w:num w:numId="62" w16cid:durableId="933363944">
    <w:abstractNumId w:val="70"/>
  </w:num>
  <w:num w:numId="63" w16cid:durableId="1153182524">
    <w:abstractNumId w:val="57"/>
  </w:num>
  <w:num w:numId="64" w16cid:durableId="1297489440">
    <w:abstractNumId w:val="48"/>
  </w:num>
  <w:num w:numId="65" w16cid:durableId="869805181">
    <w:abstractNumId w:val="63"/>
  </w:num>
  <w:num w:numId="66" w16cid:durableId="656878741">
    <w:abstractNumId w:val="17"/>
  </w:num>
  <w:num w:numId="67" w16cid:durableId="1263344186">
    <w:abstractNumId w:val="38"/>
  </w:num>
  <w:num w:numId="68" w16cid:durableId="961806459">
    <w:abstractNumId w:val="24"/>
  </w:num>
  <w:num w:numId="69" w16cid:durableId="801847915">
    <w:abstractNumId w:val="44"/>
  </w:num>
  <w:num w:numId="70" w16cid:durableId="438523332">
    <w:abstractNumId w:val="6"/>
  </w:num>
  <w:num w:numId="71" w16cid:durableId="820076088">
    <w:abstractNumId w:val="53"/>
  </w:num>
  <w:num w:numId="72" w16cid:durableId="673070053">
    <w:abstractNumId w:val="65"/>
  </w:num>
  <w:num w:numId="73" w16cid:durableId="95256106">
    <w:abstractNumId w:val="51"/>
  </w:num>
  <w:num w:numId="74" w16cid:durableId="1112674630">
    <w:abstractNumId w:val="62"/>
  </w:num>
  <w:num w:numId="75" w16cid:durableId="2045859595">
    <w:abstractNumId w:val="1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4F7"/>
    <w:rsid w:val="000005B7"/>
    <w:rsid w:val="000005F7"/>
    <w:rsid w:val="00000A1B"/>
    <w:rsid w:val="0000156D"/>
    <w:rsid w:val="00001907"/>
    <w:rsid w:val="00001F18"/>
    <w:rsid w:val="00002409"/>
    <w:rsid w:val="00002ADA"/>
    <w:rsid w:val="00002E2A"/>
    <w:rsid w:val="00003433"/>
    <w:rsid w:val="00003527"/>
    <w:rsid w:val="00003951"/>
    <w:rsid w:val="000046D1"/>
    <w:rsid w:val="00005520"/>
    <w:rsid w:val="00006AFF"/>
    <w:rsid w:val="00007554"/>
    <w:rsid w:val="00007824"/>
    <w:rsid w:val="000104F4"/>
    <w:rsid w:val="0001051F"/>
    <w:rsid w:val="00010605"/>
    <w:rsid w:val="0001079B"/>
    <w:rsid w:val="000110CE"/>
    <w:rsid w:val="00013182"/>
    <w:rsid w:val="000132AB"/>
    <w:rsid w:val="00013772"/>
    <w:rsid w:val="00013787"/>
    <w:rsid w:val="00014ACE"/>
    <w:rsid w:val="00014EE1"/>
    <w:rsid w:val="00015172"/>
    <w:rsid w:val="000155A4"/>
    <w:rsid w:val="0001560B"/>
    <w:rsid w:val="00015779"/>
    <w:rsid w:val="00015AAF"/>
    <w:rsid w:val="00015B97"/>
    <w:rsid w:val="00015C0D"/>
    <w:rsid w:val="00015C0E"/>
    <w:rsid w:val="00015D46"/>
    <w:rsid w:val="00015F48"/>
    <w:rsid w:val="0001609A"/>
    <w:rsid w:val="00016281"/>
    <w:rsid w:val="00016571"/>
    <w:rsid w:val="00016E18"/>
    <w:rsid w:val="000172B4"/>
    <w:rsid w:val="00020AD8"/>
    <w:rsid w:val="00020C90"/>
    <w:rsid w:val="00021916"/>
    <w:rsid w:val="000226DB"/>
    <w:rsid w:val="000229F9"/>
    <w:rsid w:val="00023E44"/>
    <w:rsid w:val="000241C5"/>
    <w:rsid w:val="000245BE"/>
    <w:rsid w:val="00024B09"/>
    <w:rsid w:val="00024F8F"/>
    <w:rsid w:val="00025655"/>
    <w:rsid w:val="000258D8"/>
    <w:rsid w:val="00026047"/>
    <w:rsid w:val="000264E0"/>
    <w:rsid w:val="00027410"/>
    <w:rsid w:val="000274FB"/>
    <w:rsid w:val="00027670"/>
    <w:rsid w:val="000276D8"/>
    <w:rsid w:val="00027862"/>
    <w:rsid w:val="00027950"/>
    <w:rsid w:val="00027951"/>
    <w:rsid w:val="00027D20"/>
    <w:rsid w:val="00027F6B"/>
    <w:rsid w:val="0003096F"/>
    <w:rsid w:val="000318F6"/>
    <w:rsid w:val="000321B3"/>
    <w:rsid w:val="000323E3"/>
    <w:rsid w:val="00034655"/>
    <w:rsid w:val="00034911"/>
    <w:rsid w:val="00035794"/>
    <w:rsid w:val="00035882"/>
    <w:rsid w:val="0003638B"/>
    <w:rsid w:val="00036D93"/>
    <w:rsid w:val="00037B7E"/>
    <w:rsid w:val="0004031C"/>
    <w:rsid w:val="00040767"/>
    <w:rsid w:val="0004099B"/>
    <w:rsid w:val="000414CD"/>
    <w:rsid w:val="0004154B"/>
    <w:rsid w:val="00041E01"/>
    <w:rsid w:val="000424BD"/>
    <w:rsid w:val="00042B82"/>
    <w:rsid w:val="00042E31"/>
    <w:rsid w:val="00044841"/>
    <w:rsid w:val="00044C7D"/>
    <w:rsid w:val="0004563A"/>
    <w:rsid w:val="00045868"/>
    <w:rsid w:val="00045B4A"/>
    <w:rsid w:val="00046268"/>
    <w:rsid w:val="00046336"/>
    <w:rsid w:val="00046597"/>
    <w:rsid w:val="00046C06"/>
    <w:rsid w:val="00047670"/>
    <w:rsid w:val="00047927"/>
    <w:rsid w:val="000479A8"/>
    <w:rsid w:val="00047FCA"/>
    <w:rsid w:val="00050B6E"/>
    <w:rsid w:val="00050B7F"/>
    <w:rsid w:val="00051B0D"/>
    <w:rsid w:val="00051B77"/>
    <w:rsid w:val="00051D70"/>
    <w:rsid w:val="00052B6B"/>
    <w:rsid w:val="000548CD"/>
    <w:rsid w:val="00054C24"/>
    <w:rsid w:val="00054C38"/>
    <w:rsid w:val="00055290"/>
    <w:rsid w:val="00055A67"/>
    <w:rsid w:val="00055B6A"/>
    <w:rsid w:val="00055C78"/>
    <w:rsid w:val="0005621F"/>
    <w:rsid w:val="00056F74"/>
    <w:rsid w:val="00057607"/>
    <w:rsid w:val="000577C6"/>
    <w:rsid w:val="000577EE"/>
    <w:rsid w:val="00060120"/>
    <w:rsid w:val="000602D3"/>
    <w:rsid w:val="00060308"/>
    <w:rsid w:val="00061ACC"/>
    <w:rsid w:val="00061F6B"/>
    <w:rsid w:val="00062FB4"/>
    <w:rsid w:val="0006379B"/>
    <w:rsid w:val="00063D72"/>
    <w:rsid w:val="000644D8"/>
    <w:rsid w:val="00064AE3"/>
    <w:rsid w:val="000667C0"/>
    <w:rsid w:val="00066D6B"/>
    <w:rsid w:val="00070234"/>
    <w:rsid w:val="00070518"/>
    <w:rsid w:val="00070850"/>
    <w:rsid w:val="00070C10"/>
    <w:rsid w:val="00070CA6"/>
    <w:rsid w:val="00071450"/>
    <w:rsid w:val="000715A8"/>
    <w:rsid w:val="00071D82"/>
    <w:rsid w:val="0007269A"/>
    <w:rsid w:val="00072950"/>
    <w:rsid w:val="00072B51"/>
    <w:rsid w:val="00072CB9"/>
    <w:rsid w:val="00072E5E"/>
    <w:rsid w:val="000733EC"/>
    <w:rsid w:val="00074F19"/>
    <w:rsid w:val="00075659"/>
    <w:rsid w:val="000760A3"/>
    <w:rsid w:val="00076554"/>
    <w:rsid w:val="0007676A"/>
    <w:rsid w:val="0007700E"/>
    <w:rsid w:val="00080293"/>
    <w:rsid w:val="000821D9"/>
    <w:rsid w:val="000825E4"/>
    <w:rsid w:val="00082656"/>
    <w:rsid w:val="0008504E"/>
    <w:rsid w:val="000859FA"/>
    <w:rsid w:val="00087431"/>
    <w:rsid w:val="0009008D"/>
    <w:rsid w:val="00090D56"/>
    <w:rsid w:val="00091DA9"/>
    <w:rsid w:val="00092354"/>
    <w:rsid w:val="00092D48"/>
    <w:rsid w:val="00092FDC"/>
    <w:rsid w:val="00093000"/>
    <w:rsid w:val="000930F0"/>
    <w:rsid w:val="0009364F"/>
    <w:rsid w:val="00093954"/>
    <w:rsid w:val="0009417A"/>
    <w:rsid w:val="00094AD7"/>
    <w:rsid w:val="0009505A"/>
    <w:rsid w:val="00095445"/>
    <w:rsid w:val="0009599B"/>
    <w:rsid w:val="00095A19"/>
    <w:rsid w:val="000967E6"/>
    <w:rsid w:val="00096AED"/>
    <w:rsid w:val="00096CA0"/>
    <w:rsid w:val="00096F93"/>
    <w:rsid w:val="000972CE"/>
    <w:rsid w:val="00097D8D"/>
    <w:rsid w:val="00097D9B"/>
    <w:rsid w:val="00097E35"/>
    <w:rsid w:val="000A0557"/>
    <w:rsid w:val="000A0ACA"/>
    <w:rsid w:val="000A0CCC"/>
    <w:rsid w:val="000A1218"/>
    <w:rsid w:val="000A14F9"/>
    <w:rsid w:val="000A1935"/>
    <w:rsid w:val="000A1BFD"/>
    <w:rsid w:val="000A212A"/>
    <w:rsid w:val="000A23E7"/>
    <w:rsid w:val="000A2B76"/>
    <w:rsid w:val="000A2DD2"/>
    <w:rsid w:val="000A3E75"/>
    <w:rsid w:val="000A4CF7"/>
    <w:rsid w:val="000A5311"/>
    <w:rsid w:val="000A5396"/>
    <w:rsid w:val="000A543D"/>
    <w:rsid w:val="000A547F"/>
    <w:rsid w:val="000A54D4"/>
    <w:rsid w:val="000A68ED"/>
    <w:rsid w:val="000A7847"/>
    <w:rsid w:val="000B00AE"/>
    <w:rsid w:val="000B043B"/>
    <w:rsid w:val="000B059C"/>
    <w:rsid w:val="000B06C3"/>
    <w:rsid w:val="000B08CF"/>
    <w:rsid w:val="000B0946"/>
    <w:rsid w:val="000B1B21"/>
    <w:rsid w:val="000B21EC"/>
    <w:rsid w:val="000B2337"/>
    <w:rsid w:val="000B2611"/>
    <w:rsid w:val="000B2AF3"/>
    <w:rsid w:val="000B2DE5"/>
    <w:rsid w:val="000B3208"/>
    <w:rsid w:val="000B3453"/>
    <w:rsid w:val="000B34C2"/>
    <w:rsid w:val="000B38F1"/>
    <w:rsid w:val="000B4CB0"/>
    <w:rsid w:val="000B4F6F"/>
    <w:rsid w:val="000B5301"/>
    <w:rsid w:val="000B5A60"/>
    <w:rsid w:val="000B5F0D"/>
    <w:rsid w:val="000B6F97"/>
    <w:rsid w:val="000C059C"/>
    <w:rsid w:val="000C078B"/>
    <w:rsid w:val="000C0BA0"/>
    <w:rsid w:val="000C1173"/>
    <w:rsid w:val="000C228E"/>
    <w:rsid w:val="000C2C6E"/>
    <w:rsid w:val="000C2DE5"/>
    <w:rsid w:val="000C2E0C"/>
    <w:rsid w:val="000C335E"/>
    <w:rsid w:val="000C35BB"/>
    <w:rsid w:val="000C3675"/>
    <w:rsid w:val="000C387C"/>
    <w:rsid w:val="000C38B6"/>
    <w:rsid w:val="000C3D7D"/>
    <w:rsid w:val="000C3E3B"/>
    <w:rsid w:val="000C404C"/>
    <w:rsid w:val="000C4184"/>
    <w:rsid w:val="000C4351"/>
    <w:rsid w:val="000C472A"/>
    <w:rsid w:val="000C4C0A"/>
    <w:rsid w:val="000C4C7F"/>
    <w:rsid w:val="000C668A"/>
    <w:rsid w:val="000C7CFF"/>
    <w:rsid w:val="000D07DC"/>
    <w:rsid w:val="000D0944"/>
    <w:rsid w:val="000D0948"/>
    <w:rsid w:val="000D09D8"/>
    <w:rsid w:val="000D0D35"/>
    <w:rsid w:val="000D1689"/>
    <w:rsid w:val="000D27E6"/>
    <w:rsid w:val="000D2FF9"/>
    <w:rsid w:val="000D3096"/>
    <w:rsid w:val="000D3433"/>
    <w:rsid w:val="000D360A"/>
    <w:rsid w:val="000D48A0"/>
    <w:rsid w:val="000D4C5E"/>
    <w:rsid w:val="000D4F54"/>
    <w:rsid w:val="000D7818"/>
    <w:rsid w:val="000D7828"/>
    <w:rsid w:val="000E1187"/>
    <w:rsid w:val="000E1F79"/>
    <w:rsid w:val="000E2247"/>
    <w:rsid w:val="000E29A3"/>
    <w:rsid w:val="000E2F56"/>
    <w:rsid w:val="000E310B"/>
    <w:rsid w:val="000E3272"/>
    <w:rsid w:val="000E42CC"/>
    <w:rsid w:val="000E4963"/>
    <w:rsid w:val="000E554C"/>
    <w:rsid w:val="000E62FF"/>
    <w:rsid w:val="000E698E"/>
    <w:rsid w:val="000E6A9B"/>
    <w:rsid w:val="000E703D"/>
    <w:rsid w:val="000E76D9"/>
    <w:rsid w:val="000F1BDD"/>
    <w:rsid w:val="000F1E89"/>
    <w:rsid w:val="000F2A9E"/>
    <w:rsid w:val="000F2D1D"/>
    <w:rsid w:val="000F3130"/>
    <w:rsid w:val="000F3D11"/>
    <w:rsid w:val="000F3E18"/>
    <w:rsid w:val="000F414F"/>
    <w:rsid w:val="000F4329"/>
    <w:rsid w:val="000F4646"/>
    <w:rsid w:val="000F4B5B"/>
    <w:rsid w:val="000F4CB1"/>
    <w:rsid w:val="000F4CED"/>
    <w:rsid w:val="000F4D19"/>
    <w:rsid w:val="000F5561"/>
    <w:rsid w:val="000F5C88"/>
    <w:rsid w:val="000F6065"/>
    <w:rsid w:val="000F6DC6"/>
    <w:rsid w:val="000F704D"/>
    <w:rsid w:val="000F7E03"/>
    <w:rsid w:val="00102039"/>
    <w:rsid w:val="00104951"/>
    <w:rsid w:val="00105B5C"/>
    <w:rsid w:val="00105F40"/>
    <w:rsid w:val="00106180"/>
    <w:rsid w:val="00106E9A"/>
    <w:rsid w:val="00107B45"/>
    <w:rsid w:val="0011084E"/>
    <w:rsid w:val="00110F4D"/>
    <w:rsid w:val="00110F7C"/>
    <w:rsid w:val="001113A5"/>
    <w:rsid w:val="00111473"/>
    <w:rsid w:val="00111486"/>
    <w:rsid w:val="00111832"/>
    <w:rsid w:val="00111C56"/>
    <w:rsid w:val="00111F6E"/>
    <w:rsid w:val="00112F40"/>
    <w:rsid w:val="001133A8"/>
    <w:rsid w:val="00113866"/>
    <w:rsid w:val="00114D5C"/>
    <w:rsid w:val="001151D1"/>
    <w:rsid w:val="00115231"/>
    <w:rsid w:val="0011573C"/>
    <w:rsid w:val="00115771"/>
    <w:rsid w:val="0011655B"/>
    <w:rsid w:val="00116C90"/>
    <w:rsid w:val="00117D82"/>
    <w:rsid w:val="00117ED4"/>
    <w:rsid w:val="001201E3"/>
    <w:rsid w:val="0012164C"/>
    <w:rsid w:val="00121B97"/>
    <w:rsid w:val="00122368"/>
    <w:rsid w:val="0012295B"/>
    <w:rsid w:val="001238FE"/>
    <w:rsid w:val="00124327"/>
    <w:rsid w:val="00124C63"/>
    <w:rsid w:val="00124C91"/>
    <w:rsid w:val="001250F1"/>
    <w:rsid w:val="0012590F"/>
    <w:rsid w:val="00125A53"/>
    <w:rsid w:val="00125F63"/>
    <w:rsid w:val="0012726F"/>
    <w:rsid w:val="00127701"/>
    <w:rsid w:val="0013117C"/>
    <w:rsid w:val="00131631"/>
    <w:rsid w:val="00131DFA"/>
    <w:rsid w:val="001325C3"/>
    <w:rsid w:val="00132930"/>
    <w:rsid w:val="00132CCE"/>
    <w:rsid w:val="00132FCD"/>
    <w:rsid w:val="00133F35"/>
    <w:rsid w:val="0013444F"/>
    <w:rsid w:val="00134C9D"/>
    <w:rsid w:val="00134F3F"/>
    <w:rsid w:val="00135BB1"/>
    <w:rsid w:val="00135F3F"/>
    <w:rsid w:val="001360C1"/>
    <w:rsid w:val="00140D54"/>
    <w:rsid w:val="00141B50"/>
    <w:rsid w:val="00141F7A"/>
    <w:rsid w:val="001429E0"/>
    <w:rsid w:val="00144043"/>
    <w:rsid w:val="00144B6E"/>
    <w:rsid w:val="00145C76"/>
    <w:rsid w:val="00146135"/>
    <w:rsid w:val="00146A31"/>
    <w:rsid w:val="00150ABD"/>
    <w:rsid w:val="001513B1"/>
    <w:rsid w:val="0015141F"/>
    <w:rsid w:val="001514D7"/>
    <w:rsid w:val="001518B9"/>
    <w:rsid w:val="001539B6"/>
    <w:rsid w:val="00153E34"/>
    <w:rsid w:val="00154447"/>
    <w:rsid w:val="00154487"/>
    <w:rsid w:val="001547A5"/>
    <w:rsid w:val="001548AA"/>
    <w:rsid w:val="00154E43"/>
    <w:rsid w:val="001551F3"/>
    <w:rsid w:val="001552B6"/>
    <w:rsid w:val="00155F08"/>
    <w:rsid w:val="0015628C"/>
    <w:rsid w:val="00156479"/>
    <w:rsid w:val="00156641"/>
    <w:rsid w:val="0015670E"/>
    <w:rsid w:val="0015684B"/>
    <w:rsid w:val="00156BE7"/>
    <w:rsid w:val="00156E22"/>
    <w:rsid w:val="0015702B"/>
    <w:rsid w:val="00157384"/>
    <w:rsid w:val="00157EB4"/>
    <w:rsid w:val="00157FDB"/>
    <w:rsid w:val="001604C6"/>
    <w:rsid w:val="001605DB"/>
    <w:rsid w:val="0016178F"/>
    <w:rsid w:val="0016186D"/>
    <w:rsid w:val="0016245E"/>
    <w:rsid w:val="00162C51"/>
    <w:rsid w:val="00162DEC"/>
    <w:rsid w:val="00163C2A"/>
    <w:rsid w:val="001645B8"/>
    <w:rsid w:val="00164E45"/>
    <w:rsid w:val="00165290"/>
    <w:rsid w:val="0016581A"/>
    <w:rsid w:val="00165945"/>
    <w:rsid w:val="00165D62"/>
    <w:rsid w:val="00165E05"/>
    <w:rsid w:val="0016616E"/>
    <w:rsid w:val="001677A4"/>
    <w:rsid w:val="00167DDA"/>
    <w:rsid w:val="001706CD"/>
    <w:rsid w:val="0017075B"/>
    <w:rsid w:val="00170909"/>
    <w:rsid w:val="00170B0B"/>
    <w:rsid w:val="00170D5A"/>
    <w:rsid w:val="00171048"/>
    <w:rsid w:val="0017126E"/>
    <w:rsid w:val="00171860"/>
    <w:rsid w:val="00173963"/>
    <w:rsid w:val="00173BB9"/>
    <w:rsid w:val="0017420F"/>
    <w:rsid w:val="001745F7"/>
    <w:rsid w:val="00174DAE"/>
    <w:rsid w:val="00175134"/>
    <w:rsid w:val="00175425"/>
    <w:rsid w:val="00175C11"/>
    <w:rsid w:val="00175CAF"/>
    <w:rsid w:val="00175DBB"/>
    <w:rsid w:val="001763DA"/>
    <w:rsid w:val="00176416"/>
    <w:rsid w:val="00176D70"/>
    <w:rsid w:val="0018013A"/>
    <w:rsid w:val="00180370"/>
    <w:rsid w:val="00181143"/>
    <w:rsid w:val="0018177E"/>
    <w:rsid w:val="00182E06"/>
    <w:rsid w:val="00185AFD"/>
    <w:rsid w:val="00185DB0"/>
    <w:rsid w:val="00186454"/>
    <w:rsid w:val="001867B4"/>
    <w:rsid w:val="001871DA"/>
    <w:rsid w:val="001872BB"/>
    <w:rsid w:val="00187548"/>
    <w:rsid w:val="00191484"/>
    <w:rsid w:val="001916D6"/>
    <w:rsid w:val="0019174D"/>
    <w:rsid w:val="00191F6E"/>
    <w:rsid w:val="00192955"/>
    <w:rsid w:val="00192B25"/>
    <w:rsid w:val="0019312E"/>
    <w:rsid w:val="0019355D"/>
    <w:rsid w:val="00194FA1"/>
    <w:rsid w:val="001954B7"/>
    <w:rsid w:val="001958F6"/>
    <w:rsid w:val="00195A84"/>
    <w:rsid w:val="00195BB4"/>
    <w:rsid w:val="00195EA0"/>
    <w:rsid w:val="0019647F"/>
    <w:rsid w:val="001A0027"/>
    <w:rsid w:val="001A09A3"/>
    <w:rsid w:val="001A0F54"/>
    <w:rsid w:val="001A11E5"/>
    <w:rsid w:val="001A14C3"/>
    <w:rsid w:val="001A1DC7"/>
    <w:rsid w:val="001A2551"/>
    <w:rsid w:val="001A4648"/>
    <w:rsid w:val="001A4FBA"/>
    <w:rsid w:val="001A5093"/>
    <w:rsid w:val="001A5A4E"/>
    <w:rsid w:val="001A614D"/>
    <w:rsid w:val="001A6B0F"/>
    <w:rsid w:val="001A7A17"/>
    <w:rsid w:val="001A7DD5"/>
    <w:rsid w:val="001B0529"/>
    <w:rsid w:val="001B0789"/>
    <w:rsid w:val="001B0BF8"/>
    <w:rsid w:val="001B1203"/>
    <w:rsid w:val="001B17AC"/>
    <w:rsid w:val="001B1E1C"/>
    <w:rsid w:val="001B1F5B"/>
    <w:rsid w:val="001B257C"/>
    <w:rsid w:val="001B2C55"/>
    <w:rsid w:val="001B3514"/>
    <w:rsid w:val="001B3685"/>
    <w:rsid w:val="001B4F21"/>
    <w:rsid w:val="001B5442"/>
    <w:rsid w:val="001B58DB"/>
    <w:rsid w:val="001B5C63"/>
    <w:rsid w:val="001B65B7"/>
    <w:rsid w:val="001C0E78"/>
    <w:rsid w:val="001C147B"/>
    <w:rsid w:val="001C1ED8"/>
    <w:rsid w:val="001C3BB6"/>
    <w:rsid w:val="001C3D08"/>
    <w:rsid w:val="001C3D96"/>
    <w:rsid w:val="001C4814"/>
    <w:rsid w:val="001C4BC2"/>
    <w:rsid w:val="001C5626"/>
    <w:rsid w:val="001C6039"/>
    <w:rsid w:val="001C6141"/>
    <w:rsid w:val="001C709A"/>
    <w:rsid w:val="001C71C6"/>
    <w:rsid w:val="001C78FF"/>
    <w:rsid w:val="001C7AE3"/>
    <w:rsid w:val="001D03BE"/>
    <w:rsid w:val="001D07BA"/>
    <w:rsid w:val="001D1F98"/>
    <w:rsid w:val="001D27F4"/>
    <w:rsid w:val="001D371D"/>
    <w:rsid w:val="001D4659"/>
    <w:rsid w:val="001D4DD9"/>
    <w:rsid w:val="001D4F8F"/>
    <w:rsid w:val="001D54E5"/>
    <w:rsid w:val="001D5918"/>
    <w:rsid w:val="001D5D53"/>
    <w:rsid w:val="001D6197"/>
    <w:rsid w:val="001D62F5"/>
    <w:rsid w:val="001D65F1"/>
    <w:rsid w:val="001D68D8"/>
    <w:rsid w:val="001D692F"/>
    <w:rsid w:val="001D6DF6"/>
    <w:rsid w:val="001D7306"/>
    <w:rsid w:val="001D766D"/>
    <w:rsid w:val="001D7987"/>
    <w:rsid w:val="001E0C2E"/>
    <w:rsid w:val="001E10A9"/>
    <w:rsid w:val="001E1343"/>
    <w:rsid w:val="001E17E4"/>
    <w:rsid w:val="001E2C95"/>
    <w:rsid w:val="001E2E3C"/>
    <w:rsid w:val="001E3374"/>
    <w:rsid w:val="001E338B"/>
    <w:rsid w:val="001E39F9"/>
    <w:rsid w:val="001E3FFC"/>
    <w:rsid w:val="001E46B6"/>
    <w:rsid w:val="001E4915"/>
    <w:rsid w:val="001E4CD2"/>
    <w:rsid w:val="001E4EDF"/>
    <w:rsid w:val="001E510A"/>
    <w:rsid w:val="001E5A47"/>
    <w:rsid w:val="001E5AD7"/>
    <w:rsid w:val="001E6353"/>
    <w:rsid w:val="001E7F9E"/>
    <w:rsid w:val="001F0F9E"/>
    <w:rsid w:val="001F1278"/>
    <w:rsid w:val="001F12D4"/>
    <w:rsid w:val="001F1A83"/>
    <w:rsid w:val="001F3624"/>
    <w:rsid w:val="001F3BDD"/>
    <w:rsid w:val="001F3D22"/>
    <w:rsid w:val="001F3F3B"/>
    <w:rsid w:val="001F3FB7"/>
    <w:rsid w:val="001F4927"/>
    <w:rsid w:val="001F586F"/>
    <w:rsid w:val="001F5C5A"/>
    <w:rsid w:val="001F5F47"/>
    <w:rsid w:val="001F650C"/>
    <w:rsid w:val="001F6B0D"/>
    <w:rsid w:val="001F6C0B"/>
    <w:rsid w:val="001F7155"/>
    <w:rsid w:val="001F73B1"/>
    <w:rsid w:val="001F7C3B"/>
    <w:rsid w:val="0020059C"/>
    <w:rsid w:val="00200C19"/>
    <w:rsid w:val="00201173"/>
    <w:rsid w:val="00201A3F"/>
    <w:rsid w:val="00201A8A"/>
    <w:rsid w:val="002021AF"/>
    <w:rsid w:val="002024B7"/>
    <w:rsid w:val="0020388B"/>
    <w:rsid w:val="00203AFD"/>
    <w:rsid w:val="00203C8D"/>
    <w:rsid w:val="00204541"/>
    <w:rsid w:val="00204FAB"/>
    <w:rsid w:val="002050E8"/>
    <w:rsid w:val="00205585"/>
    <w:rsid w:val="00206696"/>
    <w:rsid w:val="00207065"/>
    <w:rsid w:val="0020723C"/>
    <w:rsid w:val="00207AD9"/>
    <w:rsid w:val="00210104"/>
    <w:rsid w:val="002108BC"/>
    <w:rsid w:val="00210ABC"/>
    <w:rsid w:val="002112F7"/>
    <w:rsid w:val="002115B9"/>
    <w:rsid w:val="00211B64"/>
    <w:rsid w:val="00211D6D"/>
    <w:rsid w:val="00211EC5"/>
    <w:rsid w:val="00212429"/>
    <w:rsid w:val="002124DB"/>
    <w:rsid w:val="00212B15"/>
    <w:rsid w:val="00213338"/>
    <w:rsid w:val="0021334D"/>
    <w:rsid w:val="00213B31"/>
    <w:rsid w:val="00215265"/>
    <w:rsid w:val="002164E0"/>
    <w:rsid w:val="00216C48"/>
    <w:rsid w:val="00216E79"/>
    <w:rsid w:val="00216EB0"/>
    <w:rsid w:val="00217919"/>
    <w:rsid w:val="00220FAE"/>
    <w:rsid w:val="0022134A"/>
    <w:rsid w:val="002214BD"/>
    <w:rsid w:val="002224D0"/>
    <w:rsid w:val="002229D8"/>
    <w:rsid w:val="00223A8A"/>
    <w:rsid w:val="00223DE3"/>
    <w:rsid w:val="00224056"/>
    <w:rsid w:val="00224091"/>
    <w:rsid w:val="00224C03"/>
    <w:rsid w:val="00225680"/>
    <w:rsid w:val="00225A95"/>
    <w:rsid w:val="00227409"/>
    <w:rsid w:val="00227610"/>
    <w:rsid w:val="00227841"/>
    <w:rsid w:val="0023082A"/>
    <w:rsid w:val="0023162F"/>
    <w:rsid w:val="00232EA3"/>
    <w:rsid w:val="0023300C"/>
    <w:rsid w:val="002331DF"/>
    <w:rsid w:val="0023387B"/>
    <w:rsid w:val="00234512"/>
    <w:rsid w:val="00234BD7"/>
    <w:rsid w:val="00234DBD"/>
    <w:rsid w:val="002351D4"/>
    <w:rsid w:val="002354E2"/>
    <w:rsid w:val="002358BA"/>
    <w:rsid w:val="002358D9"/>
    <w:rsid w:val="00235E9E"/>
    <w:rsid w:val="00237755"/>
    <w:rsid w:val="002401A0"/>
    <w:rsid w:val="0024095D"/>
    <w:rsid w:val="00240EA1"/>
    <w:rsid w:val="0024133D"/>
    <w:rsid w:val="002414B7"/>
    <w:rsid w:val="0024162C"/>
    <w:rsid w:val="00241CC0"/>
    <w:rsid w:val="00241D56"/>
    <w:rsid w:val="00241E42"/>
    <w:rsid w:val="00241FC4"/>
    <w:rsid w:val="00243060"/>
    <w:rsid w:val="0024324A"/>
    <w:rsid w:val="00243B4E"/>
    <w:rsid w:val="00244EA0"/>
    <w:rsid w:val="00244FC4"/>
    <w:rsid w:val="00246239"/>
    <w:rsid w:val="0024688F"/>
    <w:rsid w:val="00247AD9"/>
    <w:rsid w:val="00247F42"/>
    <w:rsid w:val="002514A8"/>
    <w:rsid w:val="00251731"/>
    <w:rsid w:val="00251C3D"/>
    <w:rsid w:val="0025208C"/>
    <w:rsid w:val="0025388F"/>
    <w:rsid w:val="00253B59"/>
    <w:rsid w:val="002541A9"/>
    <w:rsid w:val="00254B08"/>
    <w:rsid w:val="00254C7D"/>
    <w:rsid w:val="00255653"/>
    <w:rsid w:val="002559F6"/>
    <w:rsid w:val="00255FFF"/>
    <w:rsid w:val="0025692B"/>
    <w:rsid w:val="00257122"/>
    <w:rsid w:val="00257357"/>
    <w:rsid w:val="002573C9"/>
    <w:rsid w:val="00257675"/>
    <w:rsid w:val="00257EB7"/>
    <w:rsid w:val="0026024D"/>
    <w:rsid w:val="00260618"/>
    <w:rsid w:val="002608CB"/>
    <w:rsid w:val="00260ABF"/>
    <w:rsid w:val="00261E66"/>
    <w:rsid w:val="00262766"/>
    <w:rsid w:val="00262A58"/>
    <w:rsid w:val="00262DB3"/>
    <w:rsid w:val="00262F6F"/>
    <w:rsid w:val="00263075"/>
    <w:rsid w:val="00263224"/>
    <w:rsid w:val="0026348C"/>
    <w:rsid w:val="0026437E"/>
    <w:rsid w:val="00264EEB"/>
    <w:rsid w:val="00264F63"/>
    <w:rsid w:val="0026567B"/>
    <w:rsid w:val="002671FD"/>
    <w:rsid w:val="002675CA"/>
    <w:rsid w:val="0026773F"/>
    <w:rsid w:val="0026787D"/>
    <w:rsid w:val="00270A36"/>
    <w:rsid w:val="002711AB"/>
    <w:rsid w:val="00271535"/>
    <w:rsid w:val="00272958"/>
    <w:rsid w:val="00272CD0"/>
    <w:rsid w:val="00274517"/>
    <w:rsid w:val="00275404"/>
    <w:rsid w:val="0027559B"/>
    <w:rsid w:val="00275B5A"/>
    <w:rsid w:val="002770BE"/>
    <w:rsid w:val="0027710C"/>
    <w:rsid w:val="0027775F"/>
    <w:rsid w:val="00277BBF"/>
    <w:rsid w:val="00280959"/>
    <w:rsid w:val="00280A69"/>
    <w:rsid w:val="00281040"/>
    <w:rsid w:val="002817F7"/>
    <w:rsid w:val="00282258"/>
    <w:rsid w:val="00283852"/>
    <w:rsid w:val="00283B4F"/>
    <w:rsid w:val="00283CDB"/>
    <w:rsid w:val="00283E4F"/>
    <w:rsid w:val="0028435D"/>
    <w:rsid w:val="00284872"/>
    <w:rsid w:val="00285290"/>
    <w:rsid w:val="002858FC"/>
    <w:rsid w:val="00285B3C"/>
    <w:rsid w:val="00285C03"/>
    <w:rsid w:val="00285D42"/>
    <w:rsid w:val="00286323"/>
    <w:rsid w:val="002868C1"/>
    <w:rsid w:val="00286A82"/>
    <w:rsid w:val="00287435"/>
    <w:rsid w:val="00287C03"/>
    <w:rsid w:val="00287E85"/>
    <w:rsid w:val="002907A6"/>
    <w:rsid w:val="00290D6B"/>
    <w:rsid w:val="002916CE"/>
    <w:rsid w:val="002919F6"/>
    <w:rsid w:val="002920FE"/>
    <w:rsid w:val="00292D40"/>
    <w:rsid w:val="0029367A"/>
    <w:rsid w:val="00293CCB"/>
    <w:rsid w:val="0029413A"/>
    <w:rsid w:val="00294235"/>
    <w:rsid w:val="00295B05"/>
    <w:rsid w:val="00295DC6"/>
    <w:rsid w:val="002965B7"/>
    <w:rsid w:val="002A00A1"/>
    <w:rsid w:val="002A1697"/>
    <w:rsid w:val="002A2097"/>
    <w:rsid w:val="002A3475"/>
    <w:rsid w:val="002A3749"/>
    <w:rsid w:val="002A3B31"/>
    <w:rsid w:val="002A3ECC"/>
    <w:rsid w:val="002A4448"/>
    <w:rsid w:val="002A46D3"/>
    <w:rsid w:val="002A4D5F"/>
    <w:rsid w:val="002A53B8"/>
    <w:rsid w:val="002A5410"/>
    <w:rsid w:val="002A624A"/>
    <w:rsid w:val="002A6B72"/>
    <w:rsid w:val="002A7319"/>
    <w:rsid w:val="002A76D1"/>
    <w:rsid w:val="002A7A9E"/>
    <w:rsid w:val="002B1008"/>
    <w:rsid w:val="002B14CF"/>
    <w:rsid w:val="002B1B7B"/>
    <w:rsid w:val="002B277D"/>
    <w:rsid w:val="002B2B85"/>
    <w:rsid w:val="002B3E7D"/>
    <w:rsid w:val="002B3F0D"/>
    <w:rsid w:val="002B419E"/>
    <w:rsid w:val="002B4543"/>
    <w:rsid w:val="002B5277"/>
    <w:rsid w:val="002B5AB1"/>
    <w:rsid w:val="002B6A67"/>
    <w:rsid w:val="002B75A1"/>
    <w:rsid w:val="002C0372"/>
    <w:rsid w:val="002C0622"/>
    <w:rsid w:val="002C07BD"/>
    <w:rsid w:val="002C0957"/>
    <w:rsid w:val="002C0B13"/>
    <w:rsid w:val="002C1E56"/>
    <w:rsid w:val="002C20FD"/>
    <w:rsid w:val="002C213D"/>
    <w:rsid w:val="002C3133"/>
    <w:rsid w:val="002C31CC"/>
    <w:rsid w:val="002C34EB"/>
    <w:rsid w:val="002C488F"/>
    <w:rsid w:val="002C4BB1"/>
    <w:rsid w:val="002C50E0"/>
    <w:rsid w:val="002C6A3A"/>
    <w:rsid w:val="002C7999"/>
    <w:rsid w:val="002D0076"/>
    <w:rsid w:val="002D02D0"/>
    <w:rsid w:val="002D046D"/>
    <w:rsid w:val="002D0DA4"/>
    <w:rsid w:val="002D1419"/>
    <w:rsid w:val="002D15B8"/>
    <w:rsid w:val="002D1600"/>
    <w:rsid w:val="002D1E81"/>
    <w:rsid w:val="002D243C"/>
    <w:rsid w:val="002D2D72"/>
    <w:rsid w:val="002D3740"/>
    <w:rsid w:val="002D377A"/>
    <w:rsid w:val="002D3BFB"/>
    <w:rsid w:val="002D3DA9"/>
    <w:rsid w:val="002D4352"/>
    <w:rsid w:val="002D4466"/>
    <w:rsid w:val="002D4AAC"/>
    <w:rsid w:val="002D4B4E"/>
    <w:rsid w:val="002D4D41"/>
    <w:rsid w:val="002D5D3C"/>
    <w:rsid w:val="002D6D87"/>
    <w:rsid w:val="002D6DEB"/>
    <w:rsid w:val="002D71D6"/>
    <w:rsid w:val="002D72ED"/>
    <w:rsid w:val="002D7415"/>
    <w:rsid w:val="002D745B"/>
    <w:rsid w:val="002E0139"/>
    <w:rsid w:val="002E0282"/>
    <w:rsid w:val="002E0967"/>
    <w:rsid w:val="002E0FAE"/>
    <w:rsid w:val="002E133B"/>
    <w:rsid w:val="002E151C"/>
    <w:rsid w:val="002E2F99"/>
    <w:rsid w:val="002E337C"/>
    <w:rsid w:val="002E3A14"/>
    <w:rsid w:val="002E416C"/>
    <w:rsid w:val="002E4D19"/>
    <w:rsid w:val="002E509A"/>
    <w:rsid w:val="002E529C"/>
    <w:rsid w:val="002E538C"/>
    <w:rsid w:val="002E5BBE"/>
    <w:rsid w:val="002E60CE"/>
    <w:rsid w:val="002E6B4A"/>
    <w:rsid w:val="002E6C05"/>
    <w:rsid w:val="002E7ACB"/>
    <w:rsid w:val="002E7E07"/>
    <w:rsid w:val="002F0300"/>
    <w:rsid w:val="002F1FC8"/>
    <w:rsid w:val="002F2005"/>
    <w:rsid w:val="002F273E"/>
    <w:rsid w:val="002F2805"/>
    <w:rsid w:val="002F2C08"/>
    <w:rsid w:val="002F379A"/>
    <w:rsid w:val="002F3F8C"/>
    <w:rsid w:val="002F42F9"/>
    <w:rsid w:val="002F45D6"/>
    <w:rsid w:val="002F480D"/>
    <w:rsid w:val="002F4A29"/>
    <w:rsid w:val="002F5CB6"/>
    <w:rsid w:val="002F6BAE"/>
    <w:rsid w:val="002F6BBC"/>
    <w:rsid w:val="002F6D69"/>
    <w:rsid w:val="002F7C3C"/>
    <w:rsid w:val="003001AB"/>
    <w:rsid w:val="0030102E"/>
    <w:rsid w:val="00301134"/>
    <w:rsid w:val="0030233A"/>
    <w:rsid w:val="00302737"/>
    <w:rsid w:val="00302A32"/>
    <w:rsid w:val="003039AB"/>
    <w:rsid w:val="00303A51"/>
    <w:rsid w:val="00303E7B"/>
    <w:rsid w:val="00304182"/>
    <w:rsid w:val="00304190"/>
    <w:rsid w:val="0030466C"/>
    <w:rsid w:val="00304E89"/>
    <w:rsid w:val="0030603A"/>
    <w:rsid w:val="0030615A"/>
    <w:rsid w:val="0030651F"/>
    <w:rsid w:val="00307321"/>
    <w:rsid w:val="0030748E"/>
    <w:rsid w:val="00310751"/>
    <w:rsid w:val="00310F3A"/>
    <w:rsid w:val="00311230"/>
    <w:rsid w:val="0031177A"/>
    <w:rsid w:val="00311BCD"/>
    <w:rsid w:val="00311DC3"/>
    <w:rsid w:val="00311DE9"/>
    <w:rsid w:val="003131F2"/>
    <w:rsid w:val="0031376C"/>
    <w:rsid w:val="00313B72"/>
    <w:rsid w:val="00314522"/>
    <w:rsid w:val="003146EB"/>
    <w:rsid w:val="003147FA"/>
    <w:rsid w:val="00314FB9"/>
    <w:rsid w:val="00315BDD"/>
    <w:rsid w:val="00315CA9"/>
    <w:rsid w:val="0031604A"/>
    <w:rsid w:val="003163B7"/>
    <w:rsid w:val="0031688D"/>
    <w:rsid w:val="003175CF"/>
    <w:rsid w:val="00317FE3"/>
    <w:rsid w:val="00321ABC"/>
    <w:rsid w:val="0032269F"/>
    <w:rsid w:val="0032318C"/>
    <w:rsid w:val="00323C5D"/>
    <w:rsid w:val="0032428F"/>
    <w:rsid w:val="00324F33"/>
    <w:rsid w:val="0032543D"/>
    <w:rsid w:val="00326947"/>
    <w:rsid w:val="00326A00"/>
    <w:rsid w:val="00326E29"/>
    <w:rsid w:val="0032781F"/>
    <w:rsid w:val="0033053E"/>
    <w:rsid w:val="00330E4F"/>
    <w:rsid w:val="00331C26"/>
    <w:rsid w:val="00331F02"/>
    <w:rsid w:val="003325D1"/>
    <w:rsid w:val="00332872"/>
    <w:rsid w:val="003333E7"/>
    <w:rsid w:val="003343CA"/>
    <w:rsid w:val="00334A0D"/>
    <w:rsid w:val="00334A59"/>
    <w:rsid w:val="00334F7D"/>
    <w:rsid w:val="00335371"/>
    <w:rsid w:val="00336358"/>
    <w:rsid w:val="00336E43"/>
    <w:rsid w:val="00337D4B"/>
    <w:rsid w:val="00337DBB"/>
    <w:rsid w:val="003403A1"/>
    <w:rsid w:val="0034068A"/>
    <w:rsid w:val="0034107A"/>
    <w:rsid w:val="00342CF4"/>
    <w:rsid w:val="00342FA0"/>
    <w:rsid w:val="0034330B"/>
    <w:rsid w:val="00345ADB"/>
    <w:rsid w:val="00346874"/>
    <w:rsid w:val="003507A6"/>
    <w:rsid w:val="00350BBD"/>
    <w:rsid w:val="00350D87"/>
    <w:rsid w:val="00351ECF"/>
    <w:rsid w:val="0035219C"/>
    <w:rsid w:val="003525B0"/>
    <w:rsid w:val="0035263F"/>
    <w:rsid w:val="00352977"/>
    <w:rsid w:val="00352BC9"/>
    <w:rsid w:val="00352CC1"/>
    <w:rsid w:val="0035330A"/>
    <w:rsid w:val="0035359D"/>
    <w:rsid w:val="003535A4"/>
    <w:rsid w:val="003543CE"/>
    <w:rsid w:val="00354449"/>
    <w:rsid w:val="003544AF"/>
    <w:rsid w:val="00355002"/>
    <w:rsid w:val="003558AA"/>
    <w:rsid w:val="003559FA"/>
    <w:rsid w:val="00355C9C"/>
    <w:rsid w:val="0035631C"/>
    <w:rsid w:val="0035653A"/>
    <w:rsid w:val="0035721D"/>
    <w:rsid w:val="003606D5"/>
    <w:rsid w:val="00360E52"/>
    <w:rsid w:val="00360EF0"/>
    <w:rsid w:val="00361C8A"/>
    <w:rsid w:val="00361FBF"/>
    <w:rsid w:val="003621ED"/>
    <w:rsid w:val="0036298A"/>
    <w:rsid w:val="00362E24"/>
    <w:rsid w:val="0036338D"/>
    <w:rsid w:val="00363557"/>
    <w:rsid w:val="003641EC"/>
    <w:rsid w:val="00364233"/>
    <w:rsid w:val="00364235"/>
    <w:rsid w:val="003653E3"/>
    <w:rsid w:val="00366D35"/>
    <w:rsid w:val="00366F19"/>
    <w:rsid w:val="0036751C"/>
    <w:rsid w:val="00367811"/>
    <w:rsid w:val="003705AD"/>
    <w:rsid w:val="003706BE"/>
    <w:rsid w:val="00370D63"/>
    <w:rsid w:val="003716BB"/>
    <w:rsid w:val="00374159"/>
    <w:rsid w:val="00374993"/>
    <w:rsid w:val="00374B06"/>
    <w:rsid w:val="00374D60"/>
    <w:rsid w:val="00375088"/>
    <w:rsid w:val="003759D9"/>
    <w:rsid w:val="00376D70"/>
    <w:rsid w:val="0037744D"/>
    <w:rsid w:val="003808F6"/>
    <w:rsid w:val="00380B01"/>
    <w:rsid w:val="003814AA"/>
    <w:rsid w:val="0038186E"/>
    <w:rsid w:val="00381871"/>
    <w:rsid w:val="00381F33"/>
    <w:rsid w:val="00382BBB"/>
    <w:rsid w:val="00382D11"/>
    <w:rsid w:val="00382E20"/>
    <w:rsid w:val="0038360C"/>
    <w:rsid w:val="00383E1D"/>
    <w:rsid w:val="00384353"/>
    <w:rsid w:val="003849F2"/>
    <w:rsid w:val="00384C6C"/>
    <w:rsid w:val="00385032"/>
    <w:rsid w:val="00385D02"/>
    <w:rsid w:val="0038728F"/>
    <w:rsid w:val="0038743C"/>
    <w:rsid w:val="00387AF1"/>
    <w:rsid w:val="00387D90"/>
    <w:rsid w:val="0039062B"/>
    <w:rsid w:val="0039103B"/>
    <w:rsid w:val="003916E6"/>
    <w:rsid w:val="00391A33"/>
    <w:rsid w:val="00391EC9"/>
    <w:rsid w:val="00392A25"/>
    <w:rsid w:val="00392D91"/>
    <w:rsid w:val="00393834"/>
    <w:rsid w:val="00394234"/>
    <w:rsid w:val="0039454A"/>
    <w:rsid w:val="00394620"/>
    <w:rsid w:val="00395E43"/>
    <w:rsid w:val="00395FCF"/>
    <w:rsid w:val="003962A7"/>
    <w:rsid w:val="00396F77"/>
    <w:rsid w:val="00397129"/>
    <w:rsid w:val="003978CA"/>
    <w:rsid w:val="003A0076"/>
    <w:rsid w:val="003A014A"/>
    <w:rsid w:val="003A1175"/>
    <w:rsid w:val="003A1360"/>
    <w:rsid w:val="003A2FDA"/>
    <w:rsid w:val="003A337A"/>
    <w:rsid w:val="003A3F41"/>
    <w:rsid w:val="003A40D9"/>
    <w:rsid w:val="003A428A"/>
    <w:rsid w:val="003A42C0"/>
    <w:rsid w:val="003A4EF4"/>
    <w:rsid w:val="003A508D"/>
    <w:rsid w:val="003A509C"/>
    <w:rsid w:val="003A5C66"/>
    <w:rsid w:val="003A5C7F"/>
    <w:rsid w:val="003A5EFD"/>
    <w:rsid w:val="003A6499"/>
    <w:rsid w:val="003A73FE"/>
    <w:rsid w:val="003A7610"/>
    <w:rsid w:val="003A77B3"/>
    <w:rsid w:val="003B02DB"/>
    <w:rsid w:val="003B0A9F"/>
    <w:rsid w:val="003B1312"/>
    <w:rsid w:val="003B207D"/>
    <w:rsid w:val="003B23B3"/>
    <w:rsid w:val="003B2847"/>
    <w:rsid w:val="003B30ED"/>
    <w:rsid w:val="003B3479"/>
    <w:rsid w:val="003B35BB"/>
    <w:rsid w:val="003B3DF5"/>
    <w:rsid w:val="003B3F6E"/>
    <w:rsid w:val="003B476E"/>
    <w:rsid w:val="003B4807"/>
    <w:rsid w:val="003B49B0"/>
    <w:rsid w:val="003B53D9"/>
    <w:rsid w:val="003B5742"/>
    <w:rsid w:val="003B5832"/>
    <w:rsid w:val="003B5BD8"/>
    <w:rsid w:val="003B7030"/>
    <w:rsid w:val="003B7934"/>
    <w:rsid w:val="003B7B09"/>
    <w:rsid w:val="003B7B41"/>
    <w:rsid w:val="003B7F2F"/>
    <w:rsid w:val="003C015C"/>
    <w:rsid w:val="003C0518"/>
    <w:rsid w:val="003C0F85"/>
    <w:rsid w:val="003C1026"/>
    <w:rsid w:val="003C1EC9"/>
    <w:rsid w:val="003C29D4"/>
    <w:rsid w:val="003C2BA0"/>
    <w:rsid w:val="003C2BE7"/>
    <w:rsid w:val="003C4052"/>
    <w:rsid w:val="003C43C4"/>
    <w:rsid w:val="003C45B5"/>
    <w:rsid w:val="003C4680"/>
    <w:rsid w:val="003C57A9"/>
    <w:rsid w:val="003C58DC"/>
    <w:rsid w:val="003C5C82"/>
    <w:rsid w:val="003C60C7"/>
    <w:rsid w:val="003C610D"/>
    <w:rsid w:val="003C6CB2"/>
    <w:rsid w:val="003C71D9"/>
    <w:rsid w:val="003C777B"/>
    <w:rsid w:val="003C7784"/>
    <w:rsid w:val="003D00AB"/>
    <w:rsid w:val="003D0444"/>
    <w:rsid w:val="003D06D6"/>
    <w:rsid w:val="003D1858"/>
    <w:rsid w:val="003D18F4"/>
    <w:rsid w:val="003D2263"/>
    <w:rsid w:val="003D248B"/>
    <w:rsid w:val="003D2C9F"/>
    <w:rsid w:val="003D3BE9"/>
    <w:rsid w:val="003D3EA7"/>
    <w:rsid w:val="003D3EB8"/>
    <w:rsid w:val="003D4023"/>
    <w:rsid w:val="003D456E"/>
    <w:rsid w:val="003D4725"/>
    <w:rsid w:val="003D4836"/>
    <w:rsid w:val="003D4EBE"/>
    <w:rsid w:val="003D5ACF"/>
    <w:rsid w:val="003D6176"/>
    <w:rsid w:val="003D771B"/>
    <w:rsid w:val="003E06E9"/>
    <w:rsid w:val="003E0EF7"/>
    <w:rsid w:val="003E1711"/>
    <w:rsid w:val="003E1FFD"/>
    <w:rsid w:val="003E2635"/>
    <w:rsid w:val="003E26BE"/>
    <w:rsid w:val="003E2D41"/>
    <w:rsid w:val="003E2EC9"/>
    <w:rsid w:val="003E327D"/>
    <w:rsid w:val="003E32EA"/>
    <w:rsid w:val="003E3FE1"/>
    <w:rsid w:val="003E57E4"/>
    <w:rsid w:val="003E61B8"/>
    <w:rsid w:val="003E61E3"/>
    <w:rsid w:val="003E763F"/>
    <w:rsid w:val="003E772C"/>
    <w:rsid w:val="003E7902"/>
    <w:rsid w:val="003E7B8C"/>
    <w:rsid w:val="003E7E41"/>
    <w:rsid w:val="003F0063"/>
    <w:rsid w:val="003F0CF6"/>
    <w:rsid w:val="003F1050"/>
    <w:rsid w:val="003F38E2"/>
    <w:rsid w:val="003F465B"/>
    <w:rsid w:val="003F4945"/>
    <w:rsid w:val="003F5517"/>
    <w:rsid w:val="003F5838"/>
    <w:rsid w:val="003F5935"/>
    <w:rsid w:val="003F67D9"/>
    <w:rsid w:val="00400167"/>
    <w:rsid w:val="00402618"/>
    <w:rsid w:val="00402F57"/>
    <w:rsid w:val="004034CF"/>
    <w:rsid w:val="004035A2"/>
    <w:rsid w:val="00404176"/>
    <w:rsid w:val="0040472D"/>
    <w:rsid w:val="00404797"/>
    <w:rsid w:val="00404D74"/>
    <w:rsid w:val="004063C2"/>
    <w:rsid w:val="004063E2"/>
    <w:rsid w:val="00406793"/>
    <w:rsid w:val="00407678"/>
    <w:rsid w:val="004102A3"/>
    <w:rsid w:val="004112A0"/>
    <w:rsid w:val="0041145F"/>
    <w:rsid w:val="00412EB6"/>
    <w:rsid w:val="00413CB6"/>
    <w:rsid w:val="00413E54"/>
    <w:rsid w:val="004142F2"/>
    <w:rsid w:val="0041452B"/>
    <w:rsid w:val="0041458B"/>
    <w:rsid w:val="00414801"/>
    <w:rsid w:val="00414A89"/>
    <w:rsid w:val="00414CB8"/>
    <w:rsid w:val="0041508A"/>
    <w:rsid w:val="004150EA"/>
    <w:rsid w:val="00415C40"/>
    <w:rsid w:val="004170ED"/>
    <w:rsid w:val="0041710F"/>
    <w:rsid w:val="00417CAF"/>
    <w:rsid w:val="00417EA9"/>
    <w:rsid w:val="004200EA"/>
    <w:rsid w:val="00420ED0"/>
    <w:rsid w:val="00421066"/>
    <w:rsid w:val="0042113F"/>
    <w:rsid w:val="0042201A"/>
    <w:rsid w:val="004229ED"/>
    <w:rsid w:val="00422E4B"/>
    <w:rsid w:val="00423457"/>
    <w:rsid w:val="00423618"/>
    <w:rsid w:val="00423DA8"/>
    <w:rsid w:val="00424772"/>
    <w:rsid w:val="00424CF9"/>
    <w:rsid w:val="00425267"/>
    <w:rsid w:val="0042535E"/>
    <w:rsid w:val="00425418"/>
    <w:rsid w:val="0042567C"/>
    <w:rsid w:val="00425BBD"/>
    <w:rsid w:val="004268ED"/>
    <w:rsid w:val="00426CBA"/>
    <w:rsid w:val="00426CD9"/>
    <w:rsid w:val="004301B0"/>
    <w:rsid w:val="00430433"/>
    <w:rsid w:val="0043087D"/>
    <w:rsid w:val="00430AFE"/>
    <w:rsid w:val="00430B27"/>
    <w:rsid w:val="00430B28"/>
    <w:rsid w:val="00430DF2"/>
    <w:rsid w:val="00431AD8"/>
    <w:rsid w:val="00431C7B"/>
    <w:rsid w:val="00431CB0"/>
    <w:rsid w:val="00432368"/>
    <w:rsid w:val="0043261A"/>
    <w:rsid w:val="004337E3"/>
    <w:rsid w:val="00433E2C"/>
    <w:rsid w:val="004341B5"/>
    <w:rsid w:val="004347C4"/>
    <w:rsid w:val="00434A78"/>
    <w:rsid w:val="00434B27"/>
    <w:rsid w:val="00434BA5"/>
    <w:rsid w:val="00434F2C"/>
    <w:rsid w:val="00434FD9"/>
    <w:rsid w:val="004356DB"/>
    <w:rsid w:val="00435A0C"/>
    <w:rsid w:val="00435AD6"/>
    <w:rsid w:val="00435D34"/>
    <w:rsid w:val="0043653A"/>
    <w:rsid w:val="00436AA2"/>
    <w:rsid w:val="00437D06"/>
    <w:rsid w:val="00440004"/>
    <w:rsid w:val="0044035F"/>
    <w:rsid w:val="004404E2"/>
    <w:rsid w:val="00441554"/>
    <w:rsid w:val="00441B5B"/>
    <w:rsid w:val="00441BA5"/>
    <w:rsid w:val="00442148"/>
    <w:rsid w:val="00442C15"/>
    <w:rsid w:val="00443346"/>
    <w:rsid w:val="0044486A"/>
    <w:rsid w:val="00444E00"/>
    <w:rsid w:val="00445015"/>
    <w:rsid w:val="004462BD"/>
    <w:rsid w:val="004479DC"/>
    <w:rsid w:val="004504A5"/>
    <w:rsid w:val="00451862"/>
    <w:rsid w:val="00452FF5"/>
    <w:rsid w:val="00453065"/>
    <w:rsid w:val="004531BB"/>
    <w:rsid w:val="00453841"/>
    <w:rsid w:val="00453843"/>
    <w:rsid w:val="00453D14"/>
    <w:rsid w:val="00454061"/>
    <w:rsid w:val="00456ACD"/>
    <w:rsid w:val="00456AD2"/>
    <w:rsid w:val="00456BCF"/>
    <w:rsid w:val="00456C0A"/>
    <w:rsid w:val="0046026B"/>
    <w:rsid w:val="004619AF"/>
    <w:rsid w:val="00461C5A"/>
    <w:rsid w:val="00461F65"/>
    <w:rsid w:val="004622E1"/>
    <w:rsid w:val="00462921"/>
    <w:rsid w:val="00462D5A"/>
    <w:rsid w:val="00463479"/>
    <w:rsid w:val="00463751"/>
    <w:rsid w:val="00463F24"/>
    <w:rsid w:val="004647B4"/>
    <w:rsid w:val="00464844"/>
    <w:rsid w:val="0046524A"/>
    <w:rsid w:val="00466199"/>
    <w:rsid w:val="00466836"/>
    <w:rsid w:val="00467E23"/>
    <w:rsid w:val="00470090"/>
    <w:rsid w:val="004705FD"/>
    <w:rsid w:val="0047089B"/>
    <w:rsid w:val="00470ED9"/>
    <w:rsid w:val="00471122"/>
    <w:rsid w:val="004719AA"/>
    <w:rsid w:val="00472184"/>
    <w:rsid w:val="004727A0"/>
    <w:rsid w:val="00473822"/>
    <w:rsid w:val="00474C99"/>
    <w:rsid w:val="004751E8"/>
    <w:rsid w:val="00475F88"/>
    <w:rsid w:val="004768E3"/>
    <w:rsid w:val="00477142"/>
    <w:rsid w:val="00477247"/>
    <w:rsid w:val="00477A94"/>
    <w:rsid w:val="0048081C"/>
    <w:rsid w:val="00480BCA"/>
    <w:rsid w:val="00481062"/>
    <w:rsid w:val="004818D5"/>
    <w:rsid w:val="00481D42"/>
    <w:rsid w:val="004849F4"/>
    <w:rsid w:val="00485DAA"/>
    <w:rsid w:val="004869AC"/>
    <w:rsid w:val="004871B3"/>
    <w:rsid w:val="00490688"/>
    <w:rsid w:val="00491DCC"/>
    <w:rsid w:val="00492DB4"/>
    <w:rsid w:val="0049353D"/>
    <w:rsid w:val="00493820"/>
    <w:rsid w:val="00495A6F"/>
    <w:rsid w:val="004963B2"/>
    <w:rsid w:val="00496C84"/>
    <w:rsid w:val="004971C8"/>
    <w:rsid w:val="00497791"/>
    <w:rsid w:val="00497973"/>
    <w:rsid w:val="00497ADC"/>
    <w:rsid w:val="00497C07"/>
    <w:rsid w:val="004A03F1"/>
    <w:rsid w:val="004A122C"/>
    <w:rsid w:val="004A15F6"/>
    <w:rsid w:val="004A39C8"/>
    <w:rsid w:val="004A41F9"/>
    <w:rsid w:val="004A4AE9"/>
    <w:rsid w:val="004A4C3F"/>
    <w:rsid w:val="004A4EFE"/>
    <w:rsid w:val="004A5A08"/>
    <w:rsid w:val="004A6002"/>
    <w:rsid w:val="004A604A"/>
    <w:rsid w:val="004A6091"/>
    <w:rsid w:val="004A6224"/>
    <w:rsid w:val="004A6749"/>
    <w:rsid w:val="004A6C0A"/>
    <w:rsid w:val="004A7339"/>
    <w:rsid w:val="004A78D4"/>
    <w:rsid w:val="004B0EB5"/>
    <w:rsid w:val="004B25AA"/>
    <w:rsid w:val="004B3286"/>
    <w:rsid w:val="004B3EFB"/>
    <w:rsid w:val="004B533E"/>
    <w:rsid w:val="004B5569"/>
    <w:rsid w:val="004B5CEF"/>
    <w:rsid w:val="004B5EB0"/>
    <w:rsid w:val="004B5F4F"/>
    <w:rsid w:val="004B6B93"/>
    <w:rsid w:val="004B6DFC"/>
    <w:rsid w:val="004B72E4"/>
    <w:rsid w:val="004B7D52"/>
    <w:rsid w:val="004C1BBC"/>
    <w:rsid w:val="004C1C56"/>
    <w:rsid w:val="004C3226"/>
    <w:rsid w:val="004C33C2"/>
    <w:rsid w:val="004C39CC"/>
    <w:rsid w:val="004C3F93"/>
    <w:rsid w:val="004C4116"/>
    <w:rsid w:val="004C50FB"/>
    <w:rsid w:val="004C5761"/>
    <w:rsid w:val="004C5A42"/>
    <w:rsid w:val="004C5FEE"/>
    <w:rsid w:val="004C6792"/>
    <w:rsid w:val="004D03B4"/>
    <w:rsid w:val="004D06B8"/>
    <w:rsid w:val="004D119F"/>
    <w:rsid w:val="004D1FAC"/>
    <w:rsid w:val="004D29AB"/>
    <w:rsid w:val="004D3289"/>
    <w:rsid w:val="004D32B0"/>
    <w:rsid w:val="004D3495"/>
    <w:rsid w:val="004D374A"/>
    <w:rsid w:val="004D4118"/>
    <w:rsid w:val="004D459F"/>
    <w:rsid w:val="004D4711"/>
    <w:rsid w:val="004D6676"/>
    <w:rsid w:val="004D69D0"/>
    <w:rsid w:val="004D6D79"/>
    <w:rsid w:val="004D7F0A"/>
    <w:rsid w:val="004E0C44"/>
    <w:rsid w:val="004E113C"/>
    <w:rsid w:val="004E190B"/>
    <w:rsid w:val="004E2437"/>
    <w:rsid w:val="004E2E8D"/>
    <w:rsid w:val="004E3307"/>
    <w:rsid w:val="004E3FA5"/>
    <w:rsid w:val="004E40B9"/>
    <w:rsid w:val="004E4152"/>
    <w:rsid w:val="004E4845"/>
    <w:rsid w:val="004E66B1"/>
    <w:rsid w:val="004E66CE"/>
    <w:rsid w:val="004E66F7"/>
    <w:rsid w:val="004E69FB"/>
    <w:rsid w:val="004E6B1B"/>
    <w:rsid w:val="004E6FAD"/>
    <w:rsid w:val="004E7F95"/>
    <w:rsid w:val="004F0514"/>
    <w:rsid w:val="004F0E7F"/>
    <w:rsid w:val="004F162C"/>
    <w:rsid w:val="004F26B6"/>
    <w:rsid w:val="004F287E"/>
    <w:rsid w:val="004F2E2F"/>
    <w:rsid w:val="004F3570"/>
    <w:rsid w:val="004F3609"/>
    <w:rsid w:val="004F4D36"/>
    <w:rsid w:val="004F4FB8"/>
    <w:rsid w:val="004F578D"/>
    <w:rsid w:val="004F6AD0"/>
    <w:rsid w:val="0050014F"/>
    <w:rsid w:val="00500F6E"/>
    <w:rsid w:val="00501D03"/>
    <w:rsid w:val="00501F14"/>
    <w:rsid w:val="00501F33"/>
    <w:rsid w:val="00502D61"/>
    <w:rsid w:val="00504522"/>
    <w:rsid w:val="0050498C"/>
    <w:rsid w:val="00505770"/>
    <w:rsid w:val="005058BB"/>
    <w:rsid w:val="00505A7C"/>
    <w:rsid w:val="00505EF5"/>
    <w:rsid w:val="0050649A"/>
    <w:rsid w:val="00506BEB"/>
    <w:rsid w:val="00506C6E"/>
    <w:rsid w:val="00506F33"/>
    <w:rsid w:val="00507058"/>
    <w:rsid w:val="0050748A"/>
    <w:rsid w:val="0050757E"/>
    <w:rsid w:val="00507C16"/>
    <w:rsid w:val="00507C56"/>
    <w:rsid w:val="00510AA7"/>
    <w:rsid w:val="00511169"/>
    <w:rsid w:val="0051139C"/>
    <w:rsid w:val="00511ECC"/>
    <w:rsid w:val="00512909"/>
    <w:rsid w:val="00512A54"/>
    <w:rsid w:val="00512E24"/>
    <w:rsid w:val="00513DBE"/>
    <w:rsid w:val="005146B9"/>
    <w:rsid w:val="00515322"/>
    <w:rsid w:val="00515AB0"/>
    <w:rsid w:val="0051730D"/>
    <w:rsid w:val="00520222"/>
    <w:rsid w:val="00520F2D"/>
    <w:rsid w:val="00521D81"/>
    <w:rsid w:val="005221B1"/>
    <w:rsid w:val="005232CD"/>
    <w:rsid w:val="00523680"/>
    <w:rsid w:val="005253B4"/>
    <w:rsid w:val="00525ADA"/>
    <w:rsid w:val="00527050"/>
    <w:rsid w:val="00527929"/>
    <w:rsid w:val="00530C14"/>
    <w:rsid w:val="0053208A"/>
    <w:rsid w:val="005324C9"/>
    <w:rsid w:val="005329BF"/>
    <w:rsid w:val="005330D1"/>
    <w:rsid w:val="0053419D"/>
    <w:rsid w:val="00534779"/>
    <w:rsid w:val="00534920"/>
    <w:rsid w:val="00534EDE"/>
    <w:rsid w:val="005352A8"/>
    <w:rsid w:val="00535669"/>
    <w:rsid w:val="00535C3D"/>
    <w:rsid w:val="00535E7D"/>
    <w:rsid w:val="00535EE2"/>
    <w:rsid w:val="005362D6"/>
    <w:rsid w:val="005363D8"/>
    <w:rsid w:val="00537C16"/>
    <w:rsid w:val="005405A9"/>
    <w:rsid w:val="00540A5A"/>
    <w:rsid w:val="00541BB5"/>
    <w:rsid w:val="00541EA7"/>
    <w:rsid w:val="005423C8"/>
    <w:rsid w:val="005423D0"/>
    <w:rsid w:val="005425F3"/>
    <w:rsid w:val="00542E0B"/>
    <w:rsid w:val="005430DB"/>
    <w:rsid w:val="00543360"/>
    <w:rsid w:val="00543964"/>
    <w:rsid w:val="005447A4"/>
    <w:rsid w:val="00544AE3"/>
    <w:rsid w:val="00545618"/>
    <w:rsid w:val="00546023"/>
    <w:rsid w:val="005472E3"/>
    <w:rsid w:val="00550661"/>
    <w:rsid w:val="005507D5"/>
    <w:rsid w:val="0055090B"/>
    <w:rsid w:val="0055280C"/>
    <w:rsid w:val="00553B45"/>
    <w:rsid w:val="005545BC"/>
    <w:rsid w:val="00554DAE"/>
    <w:rsid w:val="0055546D"/>
    <w:rsid w:val="00556FB2"/>
    <w:rsid w:val="00557391"/>
    <w:rsid w:val="00557FE2"/>
    <w:rsid w:val="005606CC"/>
    <w:rsid w:val="00561FD0"/>
    <w:rsid w:val="0056234E"/>
    <w:rsid w:val="00563717"/>
    <w:rsid w:val="005638B4"/>
    <w:rsid w:val="00563A6E"/>
    <w:rsid w:val="00563A70"/>
    <w:rsid w:val="00563F41"/>
    <w:rsid w:val="00564218"/>
    <w:rsid w:val="005642A2"/>
    <w:rsid w:val="005646BC"/>
    <w:rsid w:val="005647F6"/>
    <w:rsid w:val="0056497B"/>
    <w:rsid w:val="00564D11"/>
    <w:rsid w:val="00565794"/>
    <w:rsid w:val="00565AB1"/>
    <w:rsid w:val="00565C5A"/>
    <w:rsid w:val="00565EB2"/>
    <w:rsid w:val="005662F6"/>
    <w:rsid w:val="00566B9D"/>
    <w:rsid w:val="00566D5A"/>
    <w:rsid w:val="0056725B"/>
    <w:rsid w:val="005679D4"/>
    <w:rsid w:val="00570190"/>
    <w:rsid w:val="00571166"/>
    <w:rsid w:val="005716F8"/>
    <w:rsid w:val="00571D2C"/>
    <w:rsid w:val="00572348"/>
    <w:rsid w:val="00572A57"/>
    <w:rsid w:val="00573FE7"/>
    <w:rsid w:val="005747E7"/>
    <w:rsid w:val="00574C66"/>
    <w:rsid w:val="00574E7B"/>
    <w:rsid w:val="005758F8"/>
    <w:rsid w:val="00575B4F"/>
    <w:rsid w:val="00575B9E"/>
    <w:rsid w:val="0057754B"/>
    <w:rsid w:val="00580403"/>
    <w:rsid w:val="005807EC"/>
    <w:rsid w:val="00580943"/>
    <w:rsid w:val="00580D32"/>
    <w:rsid w:val="00580ECB"/>
    <w:rsid w:val="005812DE"/>
    <w:rsid w:val="005820D2"/>
    <w:rsid w:val="0058263D"/>
    <w:rsid w:val="00582EAD"/>
    <w:rsid w:val="00583FB5"/>
    <w:rsid w:val="005842B8"/>
    <w:rsid w:val="00584550"/>
    <w:rsid w:val="00584A70"/>
    <w:rsid w:val="00585F95"/>
    <w:rsid w:val="00586209"/>
    <w:rsid w:val="00586A59"/>
    <w:rsid w:val="0058758B"/>
    <w:rsid w:val="005876C9"/>
    <w:rsid w:val="0059008D"/>
    <w:rsid w:val="00590510"/>
    <w:rsid w:val="00590AD6"/>
    <w:rsid w:val="00591256"/>
    <w:rsid w:val="00592067"/>
    <w:rsid w:val="005928A1"/>
    <w:rsid w:val="00594578"/>
    <w:rsid w:val="00595D4D"/>
    <w:rsid w:val="005964E0"/>
    <w:rsid w:val="0059670F"/>
    <w:rsid w:val="00596A1F"/>
    <w:rsid w:val="00596B2B"/>
    <w:rsid w:val="00596FAC"/>
    <w:rsid w:val="00597010"/>
    <w:rsid w:val="00597EFD"/>
    <w:rsid w:val="005A016D"/>
    <w:rsid w:val="005A0449"/>
    <w:rsid w:val="005A113A"/>
    <w:rsid w:val="005A1175"/>
    <w:rsid w:val="005A17DF"/>
    <w:rsid w:val="005A38FB"/>
    <w:rsid w:val="005A3EEA"/>
    <w:rsid w:val="005A4151"/>
    <w:rsid w:val="005A470F"/>
    <w:rsid w:val="005A5084"/>
    <w:rsid w:val="005A508C"/>
    <w:rsid w:val="005A5DD6"/>
    <w:rsid w:val="005A6756"/>
    <w:rsid w:val="005A6DE7"/>
    <w:rsid w:val="005A7B41"/>
    <w:rsid w:val="005A7C7D"/>
    <w:rsid w:val="005B0946"/>
    <w:rsid w:val="005B1042"/>
    <w:rsid w:val="005B125A"/>
    <w:rsid w:val="005B257C"/>
    <w:rsid w:val="005B2EBC"/>
    <w:rsid w:val="005B3AAB"/>
    <w:rsid w:val="005B3D98"/>
    <w:rsid w:val="005B4DFF"/>
    <w:rsid w:val="005B5406"/>
    <w:rsid w:val="005B58F1"/>
    <w:rsid w:val="005B7815"/>
    <w:rsid w:val="005B78A6"/>
    <w:rsid w:val="005C0790"/>
    <w:rsid w:val="005C32A0"/>
    <w:rsid w:val="005C33CB"/>
    <w:rsid w:val="005C4228"/>
    <w:rsid w:val="005C570C"/>
    <w:rsid w:val="005C5EAE"/>
    <w:rsid w:val="005C6C53"/>
    <w:rsid w:val="005D00EF"/>
    <w:rsid w:val="005D012D"/>
    <w:rsid w:val="005D0908"/>
    <w:rsid w:val="005D0976"/>
    <w:rsid w:val="005D0CD8"/>
    <w:rsid w:val="005D1AA2"/>
    <w:rsid w:val="005D267C"/>
    <w:rsid w:val="005D27CF"/>
    <w:rsid w:val="005D2A3A"/>
    <w:rsid w:val="005D4DE4"/>
    <w:rsid w:val="005D4EB0"/>
    <w:rsid w:val="005D5CB7"/>
    <w:rsid w:val="005D6184"/>
    <w:rsid w:val="005D75A3"/>
    <w:rsid w:val="005D76FB"/>
    <w:rsid w:val="005D7A6C"/>
    <w:rsid w:val="005E0504"/>
    <w:rsid w:val="005E0A66"/>
    <w:rsid w:val="005E0E99"/>
    <w:rsid w:val="005E1B50"/>
    <w:rsid w:val="005E1D5B"/>
    <w:rsid w:val="005E1FE2"/>
    <w:rsid w:val="005E27F2"/>
    <w:rsid w:val="005E363B"/>
    <w:rsid w:val="005E371B"/>
    <w:rsid w:val="005E4E52"/>
    <w:rsid w:val="005E5278"/>
    <w:rsid w:val="005E53B8"/>
    <w:rsid w:val="005E549C"/>
    <w:rsid w:val="005F01A2"/>
    <w:rsid w:val="005F0304"/>
    <w:rsid w:val="005F0569"/>
    <w:rsid w:val="005F1F2A"/>
    <w:rsid w:val="005F24BC"/>
    <w:rsid w:val="005F2A81"/>
    <w:rsid w:val="005F2B34"/>
    <w:rsid w:val="005F346B"/>
    <w:rsid w:val="005F37EA"/>
    <w:rsid w:val="005F390D"/>
    <w:rsid w:val="005F3E56"/>
    <w:rsid w:val="005F4311"/>
    <w:rsid w:val="005F44D5"/>
    <w:rsid w:val="005F610C"/>
    <w:rsid w:val="005F67EA"/>
    <w:rsid w:val="005F6EB1"/>
    <w:rsid w:val="005F768C"/>
    <w:rsid w:val="005F79B3"/>
    <w:rsid w:val="0060077B"/>
    <w:rsid w:val="00600E06"/>
    <w:rsid w:val="00601772"/>
    <w:rsid w:val="0060180C"/>
    <w:rsid w:val="00601E16"/>
    <w:rsid w:val="00602B0D"/>
    <w:rsid w:val="006033D3"/>
    <w:rsid w:val="00603442"/>
    <w:rsid w:val="00603551"/>
    <w:rsid w:val="00603A07"/>
    <w:rsid w:val="00604C64"/>
    <w:rsid w:val="006054BD"/>
    <w:rsid w:val="00605D89"/>
    <w:rsid w:val="00606F6B"/>
    <w:rsid w:val="00606FC6"/>
    <w:rsid w:val="0060711F"/>
    <w:rsid w:val="00610331"/>
    <w:rsid w:val="00610588"/>
    <w:rsid w:val="00610599"/>
    <w:rsid w:val="00610A98"/>
    <w:rsid w:val="00610EBA"/>
    <w:rsid w:val="00610FCF"/>
    <w:rsid w:val="00611920"/>
    <w:rsid w:val="00611E1B"/>
    <w:rsid w:val="0061215F"/>
    <w:rsid w:val="00613547"/>
    <w:rsid w:val="006139DA"/>
    <w:rsid w:val="006142EA"/>
    <w:rsid w:val="0061488C"/>
    <w:rsid w:val="00614983"/>
    <w:rsid w:val="00614E29"/>
    <w:rsid w:val="0061606E"/>
    <w:rsid w:val="00616A2A"/>
    <w:rsid w:val="00616DAE"/>
    <w:rsid w:val="0061779B"/>
    <w:rsid w:val="00617926"/>
    <w:rsid w:val="00617974"/>
    <w:rsid w:val="0062068C"/>
    <w:rsid w:val="00620CD7"/>
    <w:rsid w:val="0062116F"/>
    <w:rsid w:val="006228D3"/>
    <w:rsid w:val="006232D2"/>
    <w:rsid w:val="0062353C"/>
    <w:rsid w:val="006238CA"/>
    <w:rsid w:val="00623B7B"/>
    <w:rsid w:val="00624AB1"/>
    <w:rsid w:val="0062513B"/>
    <w:rsid w:val="00625441"/>
    <w:rsid w:val="006255EA"/>
    <w:rsid w:val="00625989"/>
    <w:rsid w:val="00626733"/>
    <w:rsid w:val="006269B1"/>
    <w:rsid w:val="00626A74"/>
    <w:rsid w:val="00627664"/>
    <w:rsid w:val="00627922"/>
    <w:rsid w:val="00627A73"/>
    <w:rsid w:val="0063042F"/>
    <w:rsid w:val="00630807"/>
    <w:rsid w:val="006308A9"/>
    <w:rsid w:val="00630FC3"/>
    <w:rsid w:val="00632B15"/>
    <w:rsid w:val="006330CD"/>
    <w:rsid w:val="0063417D"/>
    <w:rsid w:val="0063422F"/>
    <w:rsid w:val="006343AE"/>
    <w:rsid w:val="00634790"/>
    <w:rsid w:val="00634839"/>
    <w:rsid w:val="00634F96"/>
    <w:rsid w:val="0063503A"/>
    <w:rsid w:val="006352A1"/>
    <w:rsid w:val="0063558F"/>
    <w:rsid w:val="00636882"/>
    <w:rsid w:val="006373DA"/>
    <w:rsid w:val="006376DA"/>
    <w:rsid w:val="00637E9E"/>
    <w:rsid w:val="00640470"/>
    <w:rsid w:val="006405FD"/>
    <w:rsid w:val="00640CF3"/>
    <w:rsid w:val="00640F60"/>
    <w:rsid w:val="00643EB5"/>
    <w:rsid w:val="00644B54"/>
    <w:rsid w:val="006450F5"/>
    <w:rsid w:val="006454CF"/>
    <w:rsid w:val="006455F7"/>
    <w:rsid w:val="00645706"/>
    <w:rsid w:val="006460B4"/>
    <w:rsid w:val="006467F7"/>
    <w:rsid w:val="006474DF"/>
    <w:rsid w:val="00647738"/>
    <w:rsid w:val="00647CB4"/>
    <w:rsid w:val="006527D1"/>
    <w:rsid w:val="00652AD9"/>
    <w:rsid w:val="0065313F"/>
    <w:rsid w:val="006536DC"/>
    <w:rsid w:val="0065389B"/>
    <w:rsid w:val="00654073"/>
    <w:rsid w:val="0065422D"/>
    <w:rsid w:val="00654664"/>
    <w:rsid w:val="006553B8"/>
    <w:rsid w:val="00655700"/>
    <w:rsid w:val="006562C1"/>
    <w:rsid w:val="00656D02"/>
    <w:rsid w:val="00656E19"/>
    <w:rsid w:val="006573BB"/>
    <w:rsid w:val="00657FD1"/>
    <w:rsid w:val="006609DE"/>
    <w:rsid w:val="006621CC"/>
    <w:rsid w:val="00662659"/>
    <w:rsid w:val="00662962"/>
    <w:rsid w:val="00662FF1"/>
    <w:rsid w:val="0066322D"/>
    <w:rsid w:val="00663516"/>
    <w:rsid w:val="00663945"/>
    <w:rsid w:val="00663F26"/>
    <w:rsid w:val="00663F2E"/>
    <w:rsid w:val="0066408B"/>
    <w:rsid w:val="006647CD"/>
    <w:rsid w:val="00664EBD"/>
    <w:rsid w:val="006659BC"/>
    <w:rsid w:val="00665CC6"/>
    <w:rsid w:val="00665F30"/>
    <w:rsid w:val="00667571"/>
    <w:rsid w:val="00670C53"/>
    <w:rsid w:val="006710F9"/>
    <w:rsid w:val="0067179D"/>
    <w:rsid w:val="00671D98"/>
    <w:rsid w:val="00671D9A"/>
    <w:rsid w:val="006721D1"/>
    <w:rsid w:val="006724BD"/>
    <w:rsid w:val="00672D4D"/>
    <w:rsid w:val="00672D5B"/>
    <w:rsid w:val="006731F6"/>
    <w:rsid w:val="0067366F"/>
    <w:rsid w:val="006738B7"/>
    <w:rsid w:val="0067392C"/>
    <w:rsid w:val="00673AD3"/>
    <w:rsid w:val="00673CDD"/>
    <w:rsid w:val="00673EE9"/>
    <w:rsid w:val="00674561"/>
    <w:rsid w:val="00674A71"/>
    <w:rsid w:val="00674EC6"/>
    <w:rsid w:val="006755CE"/>
    <w:rsid w:val="006756C0"/>
    <w:rsid w:val="00675E44"/>
    <w:rsid w:val="006760B1"/>
    <w:rsid w:val="00677414"/>
    <w:rsid w:val="00677DD0"/>
    <w:rsid w:val="00677E42"/>
    <w:rsid w:val="00680D1E"/>
    <w:rsid w:val="00681109"/>
    <w:rsid w:val="00681601"/>
    <w:rsid w:val="0068319E"/>
    <w:rsid w:val="00683E02"/>
    <w:rsid w:val="006848CE"/>
    <w:rsid w:val="00685431"/>
    <w:rsid w:val="00685884"/>
    <w:rsid w:val="00685B10"/>
    <w:rsid w:val="006861D3"/>
    <w:rsid w:val="006868F6"/>
    <w:rsid w:val="00686AFA"/>
    <w:rsid w:val="00690F10"/>
    <w:rsid w:val="00692277"/>
    <w:rsid w:val="00692456"/>
    <w:rsid w:val="006924A4"/>
    <w:rsid w:val="0069333C"/>
    <w:rsid w:val="006935E6"/>
    <w:rsid w:val="0069399D"/>
    <w:rsid w:val="00694542"/>
    <w:rsid w:val="00694647"/>
    <w:rsid w:val="00695CC8"/>
    <w:rsid w:val="0069602A"/>
    <w:rsid w:val="00696F5B"/>
    <w:rsid w:val="00697215"/>
    <w:rsid w:val="0069757A"/>
    <w:rsid w:val="00697A29"/>
    <w:rsid w:val="00697C0B"/>
    <w:rsid w:val="006A01B9"/>
    <w:rsid w:val="006A04E0"/>
    <w:rsid w:val="006A0DEB"/>
    <w:rsid w:val="006A0EB7"/>
    <w:rsid w:val="006A11C0"/>
    <w:rsid w:val="006A1F24"/>
    <w:rsid w:val="006A236B"/>
    <w:rsid w:val="006A2A96"/>
    <w:rsid w:val="006A35B8"/>
    <w:rsid w:val="006A365F"/>
    <w:rsid w:val="006A5019"/>
    <w:rsid w:val="006A5A60"/>
    <w:rsid w:val="006A5BCD"/>
    <w:rsid w:val="006A6009"/>
    <w:rsid w:val="006A60A8"/>
    <w:rsid w:val="006A670A"/>
    <w:rsid w:val="006A6DCE"/>
    <w:rsid w:val="006A728C"/>
    <w:rsid w:val="006B09EE"/>
    <w:rsid w:val="006B0BBA"/>
    <w:rsid w:val="006B1C65"/>
    <w:rsid w:val="006B1CE8"/>
    <w:rsid w:val="006B1F80"/>
    <w:rsid w:val="006B3566"/>
    <w:rsid w:val="006B3857"/>
    <w:rsid w:val="006B38C4"/>
    <w:rsid w:val="006B3E59"/>
    <w:rsid w:val="006B4097"/>
    <w:rsid w:val="006B4C82"/>
    <w:rsid w:val="006B52B3"/>
    <w:rsid w:val="006B6FF0"/>
    <w:rsid w:val="006B70D4"/>
    <w:rsid w:val="006B72F4"/>
    <w:rsid w:val="006B751C"/>
    <w:rsid w:val="006B7549"/>
    <w:rsid w:val="006B76AC"/>
    <w:rsid w:val="006B775F"/>
    <w:rsid w:val="006B7794"/>
    <w:rsid w:val="006C03B0"/>
    <w:rsid w:val="006C0D1C"/>
    <w:rsid w:val="006C0D27"/>
    <w:rsid w:val="006C0F76"/>
    <w:rsid w:val="006C1AB8"/>
    <w:rsid w:val="006C4927"/>
    <w:rsid w:val="006C547B"/>
    <w:rsid w:val="006C5907"/>
    <w:rsid w:val="006C5EDE"/>
    <w:rsid w:val="006C5F40"/>
    <w:rsid w:val="006C602F"/>
    <w:rsid w:val="006C61E2"/>
    <w:rsid w:val="006C6788"/>
    <w:rsid w:val="006C700B"/>
    <w:rsid w:val="006C700C"/>
    <w:rsid w:val="006C72C2"/>
    <w:rsid w:val="006D094E"/>
    <w:rsid w:val="006D0BE3"/>
    <w:rsid w:val="006D0DA1"/>
    <w:rsid w:val="006D11F2"/>
    <w:rsid w:val="006D1A4B"/>
    <w:rsid w:val="006D1CCF"/>
    <w:rsid w:val="006D1E52"/>
    <w:rsid w:val="006D24EA"/>
    <w:rsid w:val="006D31DA"/>
    <w:rsid w:val="006D34B5"/>
    <w:rsid w:val="006D35C3"/>
    <w:rsid w:val="006D3C92"/>
    <w:rsid w:val="006D43C1"/>
    <w:rsid w:val="006D4D9D"/>
    <w:rsid w:val="006D5331"/>
    <w:rsid w:val="006D60F0"/>
    <w:rsid w:val="006E008D"/>
    <w:rsid w:val="006E0D81"/>
    <w:rsid w:val="006E0F27"/>
    <w:rsid w:val="006E11A6"/>
    <w:rsid w:val="006E1265"/>
    <w:rsid w:val="006E2199"/>
    <w:rsid w:val="006E2D67"/>
    <w:rsid w:val="006E4217"/>
    <w:rsid w:val="006E465A"/>
    <w:rsid w:val="006E52EC"/>
    <w:rsid w:val="006E5600"/>
    <w:rsid w:val="006E5F15"/>
    <w:rsid w:val="006E6503"/>
    <w:rsid w:val="006E74F6"/>
    <w:rsid w:val="006F06A7"/>
    <w:rsid w:val="006F0955"/>
    <w:rsid w:val="006F0ABE"/>
    <w:rsid w:val="006F19C5"/>
    <w:rsid w:val="006F218E"/>
    <w:rsid w:val="006F22ED"/>
    <w:rsid w:val="006F2D28"/>
    <w:rsid w:val="006F2FB2"/>
    <w:rsid w:val="006F365F"/>
    <w:rsid w:val="006F3797"/>
    <w:rsid w:val="006F38F5"/>
    <w:rsid w:val="006F4057"/>
    <w:rsid w:val="006F44B0"/>
    <w:rsid w:val="006F4A1A"/>
    <w:rsid w:val="006F5C7E"/>
    <w:rsid w:val="006F5E40"/>
    <w:rsid w:val="006F7483"/>
    <w:rsid w:val="006F76D7"/>
    <w:rsid w:val="007001B4"/>
    <w:rsid w:val="0070058A"/>
    <w:rsid w:val="00700607"/>
    <w:rsid w:val="00701FAB"/>
    <w:rsid w:val="007026BF"/>
    <w:rsid w:val="00702829"/>
    <w:rsid w:val="00702DE7"/>
    <w:rsid w:val="007033A5"/>
    <w:rsid w:val="00703520"/>
    <w:rsid w:val="007041FB"/>
    <w:rsid w:val="007051E1"/>
    <w:rsid w:val="0070556A"/>
    <w:rsid w:val="007102A4"/>
    <w:rsid w:val="00710DCA"/>
    <w:rsid w:val="007111B6"/>
    <w:rsid w:val="0071145C"/>
    <w:rsid w:val="00711B03"/>
    <w:rsid w:val="00711DAC"/>
    <w:rsid w:val="00711F12"/>
    <w:rsid w:val="00712BC9"/>
    <w:rsid w:val="00714263"/>
    <w:rsid w:val="00714BC1"/>
    <w:rsid w:val="007157E7"/>
    <w:rsid w:val="007158C2"/>
    <w:rsid w:val="00715999"/>
    <w:rsid w:val="00715D51"/>
    <w:rsid w:val="00716886"/>
    <w:rsid w:val="0071696D"/>
    <w:rsid w:val="00716EE3"/>
    <w:rsid w:val="00716F14"/>
    <w:rsid w:val="007176AC"/>
    <w:rsid w:val="0072036B"/>
    <w:rsid w:val="007206A6"/>
    <w:rsid w:val="00720968"/>
    <w:rsid w:val="007210FF"/>
    <w:rsid w:val="0072159D"/>
    <w:rsid w:val="007216D7"/>
    <w:rsid w:val="00721846"/>
    <w:rsid w:val="00721E5E"/>
    <w:rsid w:val="00722807"/>
    <w:rsid w:val="00722B7C"/>
    <w:rsid w:val="007231AF"/>
    <w:rsid w:val="007234F3"/>
    <w:rsid w:val="0072471B"/>
    <w:rsid w:val="007255D2"/>
    <w:rsid w:val="00725960"/>
    <w:rsid w:val="00725FBA"/>
    <w:rsid w:val="00727477"/>
    <w:rsid w:val="0072768F"/>
    <w:rsid w:val="00727BAE"/>
    <w:rsid w:val="00727C11"/>
    <w:rsid w:val="00730835"/>
    <w:rsid w:val="00730CBB"/>
    <w:rsid w:val="00730FC1"/>
    <w:rsid w:val="007310DA"/>
    <w:rsid w:val="007323B3"/>
    <w:rsid w:val="00732842"/>
    <w:rsid w:val="00732EA9"/>
    <w:rsid w:val="007330C4"/>
    <w:rsid w:val="00733AD6"/>
    <w:rsid w:val="00733CED"/>
    <w:rsid w:val="00734061"/>
    <w:rsid w:val="00734A60"/>
    <w:rsid w:val="00734D3B"/>
    <w:rsid w:val="00734FBA"/>
    <w:rsid w:val="007351E6"/>
    <w:rsid w:val="007356E5"/>
    <w:rsid w:val="00735E99"/>
    <w:rsid w:val="00736214"/>
    <w:rsid w:val="0073664B"/>
    <w:rsid w:val="007368ED"/>
    <w:rsid w:val="00736987"/>
    <w:rsid w:val="00736B0E"/>
    <w:rsid w:val="00737030"/>
    <w:rsid w:val="00740637"/>
    <w:rsid w:val="00741959"/>
    <w:rsid w:val="0074278D"/>
    <w:rsid w:val="00743036"/>
    <w:rsid w:val="00743392"/>
    <w:rsid w:val="00743A31"/>
    <w:rsid w:val="00743DC3"/>
    <w:rsid w:val="007445AE"/>
    <w:rsid w:val="007448B5"/>
    <w:rsid w:val="00744DDD"/>
    <w:rsid w:val="00744FB0"/>
    <w:rsid w:val="00745377"/>
    <w:rsid w:val="007453C3"/>
    <w:rsid w:val="00745F58"/>
    <w:rsid w:val="00746918"/>
    <w:rsid w:val="007503D1"/>
    <w:rsid w:val="007519AA"/>
    <w:rsid w:val="00751F00"/>
    <w:rsid w:val="0075298D"/>
    <w:rsid w:val="007536EB"/>
    <w:rsid w:val="00753C79"/>
    <w:rsid w:val="00754209"/>
    <w:rsid w:val="007542A4"/>
    <w:rsid w:val="00754713"/>
    <w:rsid w:val="007547DE"/>
    <w:rsid w:val="0075538F"/>
    <w:rsid w:val="00755E64"/>
    <w:rsid w:val="0075688A"/>
    <w:rsid w:val="00756ABC"/>
    <w:rsid w:val="00756C52"/>
    <w:rsid w:val="00756F8D"/>
    <w:rsid w:val="00757604"/>
    <w:rsid w:val="00757BA5"/>
    <w:rsid w:val="00757DDE"/>
    <w:rsid w:val="007614CA"/>
    <w:rsid w:val="0076159D"/>
    <w:rsid w:val="00762289"/>
    <w:rsid w:val="00763C6B"/>
    <w:rsid w:val="00764292"/>
    <w:rsid w:val="00764580"/>
    <w:rsid w:val="00764636"/>
    <w:rsid w:val="00764755"/>
    <w:rsid w:val="0076492F"/>
    <w:rsid w:val="00764D98"/>
    <w:rsid w:val="00764DFA"/>
    <w:rsid w:val="00765A26"/>
    <w:rsid w:val="0076615C"/>
    <w:rsid w:val="00766162"/>
    <w:rsid w:val="007662F2"/>
    <w:rsid w:val="00766375"/>
    <w:rsid w:val="00766926"/>
    <w:rsid w:val="00766A17"/>
    <w:rsid w:val="00767180"/>
    <w:rsid w:val="00767564"/>
    <w:rsid w:val="007705D3"/>
    <w:rsid w:val="00771987"/>
    <w:rsid w:val="00771988"/>
    <w:rsid w:val="007720C5"/>
    <w:rsid w:val="007720ED"/>
    <w:rsid w:val="007745BC"/>
    <w:rsid w:val="00774E43"/>
    <w:rsid w:val="00775B1B"/>
    <w:rsid w:val="00776051"/>
    <w:rsid w:val="00777A67"/>
    <w:rsid w:val="00777E46"/>
    <w:rsid w:val="00781630"/>
    <w:rsid w:val="0078212A"/>
    <w:rsid w:val="007828F7"/>
    <w:rsid w:val="00782E72"/>
    <w:rsid w:val="007832A2"/>
    <w:rsid w:val="0078363A"/>
    <w:rsid w:val="00783ADA"/>
    <w:rsid w:val="00784036"/>
    <w:rsid w:val="00784352"/>
    <w:rsid w:val="007849F0"/>
    <w:rsid w:val="007857AA"/>
    <w:rsid w:val="0078605B"/>
    <w:rsid w:val="00786363"/>
    <w:rsid w:val="00787250"/>
    <w:rsid w:val="00787BFD"/>
    <w:rsid w:val="007900CB"/>
    <w:rsid w:val="00790714"/>
    <w:rsid w:val="00790EFB"/>
    <w:rsid w:val="0079143A"/>
    <w:rsid w:val="00792126"/>
    <w:rsid w:val="0079226F"/>
    <w:rsid w:val="00793B9A"/>
    <w:rsid w:val="00796181"/>
    <w:rsid w:val="007976EF"/>
    <w:rsid w:val="0079783F"/>
    <w:rsid w:val="007A0E69"/>
    <w:rsid w:val="007A0FF6"/>
    <w:rsid w:val="007A13CF"/>
    <w:rsid w:val="007A1F8B"/>
    <w:rsid w:val="007A2BD0"/>
    <w:rsid w:val="007A3EAA"/>
    <w:rsid w:val="007A41A6"/>
    <w:rsid w:val="007A44AB"/>
    <w:rsid w:val="007A4C79"/>
    <w:rsid w:val="007A5347"/>
    <w:rsid w:val="007A56A7"/>
    <w:rsid w:val="007A5D3D"/>
    <w:rsid w:val="007A6361"/>
    <w:rsid w:val="007A6BCB"/>
    <w:rsid w:val="007A6DBC"/>
    <w:rsid w:val="007A6E0C"/>
    <w:rsid w:val="007A735C"/>
    <w:rsid w:val="007A7B3E"/>
    <w:rsid w:val="007B03CE"/>
    <w:rsid w:val="007B1345"/>
    <w:rsid w:val="007B28D4"/>
    <w:rsid w:val="007B2AF0"/>
    <w:rsid w:val="007B2EBC"/>
    <w:rsid w:val="007B32B2"/>
    <w:rsid w:val="007B3E48"/>
    <w:rsid w:val="007B438B"/>
    <w:rsid w:val="007B47B0"/>
    <w:rsid w:val="007B4881"/>
    <w:rsid w:val="007B564E"/>
    <w:rsid w:val="007B5966"/>
    <w:rsid w:val="007B677A"/>
    <w:rsid w:val="007B6A05"/>
    <w:rsid w:val="007B6A5C"/>
    <w:rsid w:val="007B7C9C"/>
    <w:rsid w:val="007C0776"/>
    <w:rsid w:val="007C09D1"/>
    <w:rsid w:val="007C1042"/>
    <w:rsid w:val="007C14F2"/>
    <w:rsid w:val="007C1558"/>
    <w:rsid w:val="007C1A3C"/>
    <w:rsid w:val="007C1E16"/>
    <w:rsid w:val="007C2AFF"/>
    <w:rsid w:val="007C4545"/>
    <w:rsid w:val="007C4688"/>
    <w:rsid w:val="007C4A68"/>
    <w:rsid w:val="007C54C9"/>
    <w:rsid w:val="007C5967"/>
    <w:rsid w:val="007C59AA"/>
    <w:rsid w:val="007C5B76"/>
    <w:rsid w:val="007C5BE8"/>
    <w:rsid w:val="007C5DB3"/>
    <w:rsid w:val="007C6051"/>
    <w:rsid w:val="007C665D"/>
    <w:rsid w:val="007C6CB9"/>
    <w:rsid w:val="007C75FD"/>
    <w:rsid w:val="007C7C32"/>
    <w:rsid w:val="007D107C"/>
    <w:rsid w:val="007D112E"/>
    <w:rsid w:val="007D2D3C"/>
    <w:rsid w:val="007D3076"/>
    <w:rsid w:val="007D34AA"/>
    <w:rsid w:val="007D376D"/>
    <w:rsid w:val="007D3A02"/>
    <w:rsid w:val="007D3D73"/>
    <w:rsid w:val="007D4A33"/>
    <w:rsid w:val="007D4C26"/>
    <w:rsid w:val="007D5349"/>
    <w:rsid w:val="007D5DA0"/>
    <w:rsid w:val="007D5E04"/>
    <w:rsid w:val="007D5F39"/>
    <w:rsid w:val="007D61C8"/>
    <w:rsid w:val="007D6D14"/>
    <w:rsid w:val="007D7068"/>
    <w:rsid w:val="007D71E4"/>
    <w:rsid w:val="007D73C8"/>
    <w:rsid w:val="007E1553"/>
    <w:rsid w:val="007E25A1"/>
    <w:rsid w:val="007E2B11"/>
    <w:rsid w:val="007E4173"/>
    <w:rsid w:val="007E4291"/>
    <w:rsid w:val="007E46EF"/>
    <w:rsid w:val="007E4D72"/>
    <w:rsid w:val="007E4EE1"/>
    <w:rsid w:val="007E4EE2"/>
    <w:rsid w:val="007E5041"/>
    <w:rsid w:val="007E5422"/>
    <w:rsid w:val="007E5506"/>
    <w:rsid w:val="007E63F5"/>
    <w:rsid w:val="007E656F"/>
    <w:rsid w:val="007E67EB"/>
    <w:rsid w:val="007E698E"/>
    <w:rsid w:val="007E7B94"/>
    <w:rsid w:val="007F009D"/>
    <w:rsid w:val="007F1A8C"/>
    <w:rsid w:val="007F20EB"/>
    <w:rsid w:val="007F2B6F"/>
    <w:rsid w:val="007F3684"/>
    <w:rsid w:val="007F36B1"/>
    <w:rsid w:val="007F3758"/>
    <w:rsid w:val="007F49C6"/>
    <w:rsid w:val="007F4EEF"/>
    <w:rsid w:val="007F5291"/>
    <w:rsid w:val="007F5C4F"/>
    <w:rsid w:val="007F5F8D"/>
    <w:rsid w:val="00800478"/>
    <w:rsid w:val="0080160F"/>
    <w:rsid w:val="00801D17"/>
    <w:rsid w:val="00802363"/>
    <w:rsid w:val="0080242D"/>
    <w:rsid w:val="0080329E"/>
    <w:rsid w:val="00803BFA"/>
    <w:rsid w:val="00803F68"/>
    <w:rsid w:val="00804CCF"/>
    <w:rsid w:val="00804DD8"/>
    <w:rsid w:val="008055CA"/>
    <w:rsid w:val="008055DF"/>
    <w:rsid w:val="008056A5"/>
    <w:rsid w:val="00805CB8"/>
    <w:rsid w:val="00806070"/>
    <w:rsid w:val="0080650D"/>
    <w:rsid w:val="00806553"/>
    <w:rsid w:val="00806B26"/>
    <w:rsid w:val="00806CA4"/>
    <w:rsid w:val="00806D17"/>
    <w:rsid w:val="00807C72"/>
    <w:rsid w:val="008102FE"/>
    <w:rsid w:val="00810626"/>
    <w:rsid w:val="00810F43"/>
    <w:rsid w:val="008113DC"/>
    <w:rsid w:val="0081167B"/>
    <w:rsid w:val="008117B9"/>
    <w:rsid w:val="0081219B"/>
    <w:rsid w:val="008123A5"/>
    <w:rsid w:val="00812691"/>
    <w:rsid w:val="00812949"/>
    <w:rsid w:val="00812FAC"/>
    <w:rsid w:val="0081371B"/>
    <w:rsid w:val="0081382E"/>
    <w:rsid w:val="00813CFA"/>
    <w:rsid w:val="00814CBB"/>
    <w:rsid w:val="00815D26"/>
    <w:rsid w:val="00815E0B"/>
    <w:rsid w:val="00816089"/>
    <w:rsid w:val="0081690B"/>
    <w:rsid w:val="00816C66"/>
    <w:rsid w:val="00816D84"/>
    <w:rsid w:val="0081768C"/>
    <w:rsid w:val="00820BB2"/>
    <w:rsid w:val="00820C78"/>
    <w:rsid w:val="00820D6A"/>
    <w:rsid w:val="008211F4"/>
    <w:rsid w:val="00821F76"/>
    <w:rsid w:val="00822913"/>
    <w:rsid w:val="00822B55"/>
    <w:rsid w:val="00823224"/>
    <w:rsid w:val="00823255"/>
    <w:rsid w:val="008233A3"/>
    <w:rsid w:val="00823472"/>
    <w:rsid w:val="008250AD"/>
    <w:rsid w:val="008259F4"/>
    <w:rsid w:val="008264A6"/>
    <w:rsid w:val="00826A42"/>
    <w:rsid w:val="00827664"/>
    <w:rsid w:val="008278A3"/>
    <w:rsid w:val="0083021E"/>
    <w:rsid w:val="00830243"/>
    <w:rsid w:val="00830C1E"/>
    <w:rsid w:val="00830FB3"/>
    <w:rsid w:val="00831443"/>
    <w:rsid w:val="00831B62"/>
    <w:rsid w:val="00834D7B"/>
    <w:rsid w:val="008355AC"/>
    <w:rsid w:val="008368F8"/>
    <w:rsid w:val="00837182"/>
    <w:rsid w:val="00837E3E"/>
    <w:rsid w:val="008406A6"/>
    <w:rsid w:val="00840AE4"/>
    <w:rsid w:val="008410AE"/>
    <w:rsid w:val="008414EE"/>
    <w:rsid w:val="00842EBB"/>
    <w:rsid w:val="0084320A"/>
    <w:rsid w:val="0084323B"/>
    <w:rsid w:val="00843E46"/>
    <w:rsid w:val="008440AB"/>
    <w:rsid w:val="0084424F"/>
    <w:rsid w:val="0084470D"/>
    <w:rsid w:val="00844B45"/>
    <w:rsid w:val="00845594"/>
    <w:rsid w:val="00845721"/>
    <w:rsid w:val="008459E0"/>
    <w:rsid w:val="00845AE2"/>
    <w:rsid w:val="00846152"/>
    <w:rsid w:val="0084637D"/>
    <w:rsid w:val="00846899"/>
    <w:rsid w:val="008468A9"/>
    <w:rsid w:val="00846C04"/>
    <w:rsid w:val="00846E4A"/>
    <w:rsid w:val="00847634"/>
    <w:rsid w:val="00851298"/>
    <w:rsid w:val="008516E7"/>
    <w:rsid w:val="00851779"/>
    <w:rsid w:val="00851AFE"/>
    <w:rsid w:val="0085248F"/>
    <w:rsid w:val="00852A70"/>
    <w:rsid w:val="00852EB2"/>
    <w:rsid w:val="00854262"/>
    <w:rsid w:val="008551BC"/>
    <w:rsid w:val="0085584A"/>
    <w:rsid w:val="00856CA4"/>
    <w:rsid w:val="00857620"/>
    <w:rsid w:val="00860041"/>
    <w:rsid w:val="008606D9"/>
    <w:rsid w:val="008608E9"/>
    <w:rsid w:val="008627A3"/>
    <w:rsid w:val="00862D5E"/>
    <w:rsid w:val="00862F59"/>
    <w:rsid w:val="008644EE"/>
    <w:rsid w:val="0086518C"/>
    <w:rsid w:val="008652A3"/>
    <w:rsid w:val="00865AB8"/>
    <w:rsid w:val="00865CCD"/>
    <w:rsid w:val="00865FC2"/>
    <w:rsid w:val="008660E8"/>
    <w:rsid w:val="00866451"/>
    <w:rsid w:val="0086667F"/>
    <w:rsid w:val="00866B33"/>
    <w:rsid w:val="00866C37"/>
    <w:rsid w:val="00867A54"/>
    <w:rsid w:val="008703C2"/>
    <w:rsid w:val="00870CF9"/>
    <w:rsid w:val="00871078"/>
    <w:rsid w:val="00872042"/>
    <w:rsid w:val="008726A5"/>
    <w:rsid w:val="00872903"/>
    <w:rsid w:val="0087297A"/>
    <w:rsid w:val="00873088"/>
    <w:rsid w:val="008736C5"/>
    <w:rsid w:val="00873C8A"/>
    <w:rsid w:val="00873EDD"/>
    <w:rsid w:val="0087428C"/>
    <w:rsid w:val="00874785"/>
    <w:rsid w:val="00874DE7"/>
    <w:rsid w:val="00876694"/>
    <w:rsid w:val="00877107"/>
    <w:rsid w:val="008803D4"/>
    <w:rsid w:val="00880B1E"/>
    <w:rsid w:val="00880CEB"/>
    <w:rsid w:val="00881485"/>
    <w:rsid w:val="00881847"/>
    <w:rsid w:val="00882981"/>
    <w:rsid w:val="00882F68"/>
    <w:rsid w:val="008831A4"/>
    <w:rsid w:val="0088327A"/>
    <w:rsid w:val="008832B9"/>
    <w:rsid w:val="008832EA"/>
    <w:rsid w:val="008840E9"/>
    <w:rsid w:val="0088466C"/>
    <w:rsid w:val="00884A8E"/>
    <w:rsid w:val="0088507D"/>
    <w:rsid w:val="00885542"/>
    <w:rsid w:val="00885BA8"/>
    <w:rsid w:val="00886072"/>
    <w:rsid w:val="00886641"/>
    <w:rsid w:val="00886F2A"/>
    <w:rsid w:val="00887E5C"/>
    <w:rsid w:val="00887FA3"/>
    <w:rsid w:val="00890D1F"/>
    <w:rsid w:val="00890D54"/>
    <w:rsid w:val="00890D75"/>
    <w:rsid w:val="00890DF9"/>
    <w:rsid w:val="0089135F"/>
    <w:rsid w:val="0089196F"/>
    <w:rsid w:val="00891A7C"/>
    <w:rsid w:val="00892133"/>
    <w:rsid w:val="00893A71"/>
    <w:rsid w:val="00893B79"/>
    <w:rsid w:val="00893D9A"/>
    <w:rsid w:val="00894149"/>
    <w:rsid w:val="008941B2"/>
    <w:rsid w:val="008947B2"/>
    <w:rsid w:val="00894E53"/>
    <w:rsid w:val="008956DC"/>
    <w:rsid w:val="00895A78"/>
    <w:rsid w:val="008A019D"/>
    <w:rsid w:val="008A0216"/>
    <w:rsid w:val="008A08A5"/>
    <w:rsid w:val="008A1B7D"/>
    <w:rsid w:val="008A1F87"/>
    <w:rsid w:val="008A2111"/>
    <w:rsid w:val="008A22E8"/>
    <w:rsid w:val="008A2965"/>
    <w:rsid w:val="008A2AF0"/>
    <w:rsid w:val="008A2B11"/>
    <w:rsid w:val="008A2C15"/>
    <w:rsid w:val="008A2DB1"/>
    <w:rsid w:val="008A3314"/>
    <w:rsid w:val="008A3A01"/>
    <w:rsid w:val="008A3AF5"/>
    <w:rsid w:val="008A49E7"/>
    <w:rsid w:val="008A4A1E"/>
    <w:rsid w:val="008A4CD1"/>
    <w:rsid w:val="008A4CF7"/>
    <w:rsid w:val="008A55F5"/>
    <w:rsid w:val="008A5730"/>
    <w:rsid w:val="008A5848"/>
    <w:rsid w:val="008A64A7"/>
    <w:rsid w:val="008A65EA"/>
    <w:rsid w:val="008A67C6"/>
    <w:rsid w:val="008A67D0"/>
    <w:rsid w:val="008A72DD"/>
    <w:rsid w:val="008B052C"/>
    <w:rsid w:val="008B0D18"/>
    <w:rsid w:val="008B0D2E"/>
    <w:rsid w:val="008B0E28"/>
    <w:rsid w:val="008B284B"/>
    <w:rsid w:val="008B2918"/>
    <w:rsid w:val="008B35C2"/>
    <w:rsid w:val="008B3D08"/>
    <w:rsid w:val="008B4B24"/>
    <w:rsid w:val="008B4C94"/>
    <w:rsid w:val="008B4EFD"/>
    <w:rsid w:val="008B50FC"/>
    <w:rsid w:val="008B5123"/>
    <w:rsid w:val="008B55D3"/>
    <w:rsid w:val="008B5E96"/>
    <w:rsid w:val="008B5F22"/>
    <w:rsid w:val="008B64F8"/>
    <w:rsid w:val="008B7FCE"/>
    <w:rsid w:val="008C04F3"/>
    <w:rsid w:val="008C076E"/>
    <w:rsid w:val="008C0A87"/>
    <w:rsid w:val="008C1091"/>
    <w:rsid w:val="008C1295"/>
    <w:rsid w:val="008C282C"/>
    <w:rsid w:val="008C4414"/>
    <w:rsid w:val="008C455D"/>
    <w:rsid w:val="008C53DE"/>
    <w:rsid w:val="008C6B30"/>
    <w:rsid w:val="008C7FC4"/>
    <w:rsid w:val="008D0583"/>
    <w:rsid w:val="008D09A4"/>
    <w:rsid w:val="008D0C3F"/>
    <w:rsid w:val="008D193A"/>
    <w:rsid w:val="008D1F53"/>
    <w:rsid w:val="008D36DD"/>
    <w:rsid w:val="008D4F9E"/>
    <w:rsid w:val="008D5218"/>
    <w:rsid w:val="008D5F0B"/>
    <w:rsid w:val="008D7193"/>
    <w:rsid w:val="008D7BA9"/>
    <w:rsid w:val="008D7D41"/>
    <w:rsid w:val="008D7DC9"/>
    <w:rsid w:val="008E00C3"/>
    <w:rsid w:val="008E077D"/>
    <w:rsid w:val="008E0C6E"/>
    <w:rsid w:val="008E2AF7"/>
    <w:rsid w:val="008E2D1A"/>
    <w:rsid w:val="008E304D"/>
    <w:rsid w:val="008E34AB"/>
    <w:rsid w:val="008E3994"/>
    <w:rsid w:val="008E3DDA"/>
    <w:rsid w:val="008E42D0"/>
    <w:rsid w:val="008E4779"/>
    <w:rsid w:val="008E47AD"/>
    <w:rsid w:val="008E5E2F"/>
    <w:rsid w:val="008E6DAE"/>
    <w:rsid w:val="008E6ECF"/>
    <w:rsid w:val="008E75EC"/>
    <w:rsid w:val="008E7A49"/>
    <w:rsid w:val="008F0C7E"/>
    <w:rsid w:val="008F0E3E"/>
    <w:rsid w:val="008F1826"/>
    <w:rsid w:val="008F25D1"/>
    <w:rsid w:val="008F2CA0"/>
    <w:rsid w:val="008F324B"/>
    <w:rsid w:val="008F4120"/>
    <w:rsid w:val="008F462F"/>
    <w:rsid w:val="008F523E"/>
    <w:rsid w:val="008F5629"/>
    <w:rsid w:val="008F57C2"/>
    <w:rsid w:val="008F6144"/>
    <w:rsid w:val="008F63D1"/>
    <w:rsid w:val="008F74F7"/>
    <w:rsid w:val="0090037C"/>
    <w:rsid w:val="0090039C"/>
    <w:rsid w:val="009005DD"/>
    <w:rsid w:val="00900F36"/>
    <w:rsid w:val="00901C86"/>
    <w:rsid w:val="009020C6"/>
    <w:rsid w:val="00902232"/>
    <w:rsid w:val="00902DBA"/>
    <w:rsid w:val="00902FA9"/>
    <w:rsid w:val="009035A7"/>
    <w:rsid w:val="00903999"/>
    <w:rsid w:val="00903A2F"/>
    <w:rsid w:val="00904A43"/>
    <w:rsid w:val="00904C5F"/>
    <w:rsid w:val="009063DD"/>
    <w:rsid w:val="00906E5D"/>
    <w:rsid w:val="00906FDE"/>
    <w:rsid w:val="00907AF6"/>
    <w:rsid w:val="009115F1"/>
    <w:rsid w:val="00911949"/>
    <w:rsid w:val="00912ED9"/>
    <w:rsid w:val="0091330D"/>
    <w:rsid w:val="0091342C"/>
    <w:rsid w:val="009139CC"/>
    <w:rsid w:val="00914788"/>
    <w:rsid w:val="00914B17"/>
    <w:rsid w:val="0091533B"/>
    <w:rsid w:val="009156F1"/>
    <w:rsid w:val="00915D18"/>
    <w:rsid w:val="00915DD7"/>
    <w:rsid w:val="00916344"/>
    <w:rsid w:val="00916481"/>
    <w:rsid w:val="00916C53"/>
    <w:rsid w:val="00917DA1"/>
    <w:rsid w:val="00920057"/>
    <w:rsid w:val="00920592"/>
    <w:rsid w:val="00920834"/>
    <w:rsid w:val="0092115E"/>
    <w:rsid w:val="009222AA"/>
    <w:rsid w:val="009237E5"/>
    <w:rsid w:val="00923A6A"/>
    <w:rsid w:val="00923F59"/>
    <w:rsid w:val="00924241"/>
    <w:rsid w:val="00924EF2"/>
    <w:rsid w:val="00925AED"/>
    <w:rsid w:val="00926425"/>
    <w:rsid w:val="00927F32"/>
    <w:rsid w:val="0093125A"/>
    <w:rsid w:val="00932406"/>
    <w:rsid w:val="009340DC"/>
    <w:rsid w:val="00934912"/>
    <w:rsid w:val="00934A34"/>
    <w:rsid w:val="00936516"/>
    <w:rsid w:val="0093709C"/>
    <w:rsid w:val="0093737F"/>
    <w:rsid w:val="009376A1"/>
    <w:rsid w:val="00940A20"/>
    <w:rsid w:val="00942841"/>
    <w:rsid w:val="00943863"/>
    <w:rsid w:val="00943F5A"/>
    <w:rsid w:val="00943FDE"/>
    <w:rsid w:val="00944827"/>
    <w:rsid w:val="009454B2"/>
    <w:rsid w:val="00946D99"/>
    <w:rsid w:val="00946F10"/>
    <w:rsid w:val="009471F1"/>
    <w:rsid w:val="00947355"/>
    <w:rsid w:val="00947416"/>
    <w:rsid w:val="00947596"/>
    <w:rsid w:val="00950130"/>
    <w:rsid w:val="00950B6B"/>
    <w:rsid w:val="00950C02"/>
    <w:rsid w:val="0095117D"/>
    <w:rsid w:val="009511E4"/>
    <w:rsid w:val="009521F1"/>
    <w:rsid w:val="00952404"/>
    <w:rsid w:val="009531FE"/>
    <w:rsid w:val="0095327F"/>
    <w:rsid w:val="00953326"/>
    <w:rsid w:val="00953C2D"/>
    <w:rsid w:val="0095418A"/>
    <w:rsid w:val="00954AB4"/>
    <w:rsid w:val="00954B28"/>
    <w:rsid w:val="009554E7"/>
    <w:rsid w:val="00955813"/>
    <w:rsid w:val="009559EA"/>
    <w:rsid w:val="009562E0"/>
    <w:rsid w:val="00957F25"/>
    <w:rsid w:val="00957F5B"/>
    <w:rsid w:val="00960317"/>
    <w:rsid w:val="00960955"/>
    <w:rsid w:val="00960AB6"/>
    <w:rsid w:val="00960AF9"/>
    <w:rsid w:val="00961921"/>
    <w:rsid w:val="009625F6"/>
    <w:rsid w:val="00963092"/>
    <w:rsid w:val="009634C8"/>
    <w:rsid w:val="00963DE0"/>
    <w:rsid w:val="009653C4"/>
    <w:rsid w:val="009672C3"/>
    <w:rsid w:val="00967736"/>
    <w:rsid w:val="009679C1"/>
    <w:rsid w:val="00967A71"/>
    <w:rsid w:val="00967B29"/>
    <w:rsid w:val="00970B7F"/>
    <w:rsid w:val="00970F69"/>
    <w:rsid w:val="00971B2F"/>
    <w:rsid w:val="00971D77"/>
    <w:rsid w:val="009729CB"/>
    <w:rsid w:val="009733E8"/>
    <w:rsid w:val="00973EA9"/>
    <w:rsid w:val="00974830"/>
    <w:rsid w:val="00974CAE"/>
    <w:rsid w:val="0097537B"/>
    <w:rsid w:val="009755C6"/>
    <w:rsid w:val="00976085"/>
    <w:rsid w:val="009762EE"/>
    <w:rsid w:val="0097640E"/>
    <w:rsid w:val="00976DC9"/>
    <w:rsid w:val="0098075F"/>
    <w:rsid w:val="00980794"/>
    <w:rsid w:val="00980CA6"/>
    <w:rsid w:val="00981D2F"/>
    <w:rsid w:val="00981F12"/>
    <w:rsid w:val="00982222"/>
    <w:rsid w:val="009834CB"/>
    <w:rsid w:val="009843F0"/>
    <w:rsid w:val="00984662"/>
    <w:rsid w:val="0098497B"/>
    <w:rsid w:val="00985CA2"/>
    <w:rsid w:val="00986008"/>
    <w:rsid w:val="00986ECE"/>
    <w:rsid w:val="00986ED3"/>
    <w:rsid w:val="00987589"/>
    <w:rsid w:val="00987680"/>
    <w:rsid w:val="0098769C"/>
    <w:rsid w:val="00987A31"/>
    <w:rsid w:val="00987C42"/>
    <w:rsid w:val="00987CA3"/>
    <w:rsid w:val="00990B21"/>
    <w:rsid w:val="009911A3"/>
    <w:rsid w:val="00991604"/>
    <w:rsid w:val="00991E2C"/>
    <w:rsid w:val="00992667"/>
    <w:rsid w:val="00992EC0"/>
    <w:rsid w:val="00992F1B"/>
    <w:rsid w:val="0099306C"/>
    <w:rsid w:val="00993605"/>
    <w:rsid w:val="00993749"/>
    <w:rsid w:val="00993A5E"/>
    <w:rsid w:val="00993F10"/>
    <w:rsid w:val="0099429A"/>
    <w:rsid w:val="00994587"/>
    <w:rsid w:val="009945EB"/>
    <w:rsid w:val="00994D34"/>
    <w:rsid w:val="009951F9"/>
    <w:rsid w:val="0099585A"/>
    <w:rsid w:val="009958FF"/>
    <w:rsid w:val="00995939"/>
    <w:rsid w:val="00995AF3"/>
    <w:rsid w:val="00996452"/>
    <w:rsid w:val="009971FB"/>
    <w:rsid w:val="009972BD"/>
    <w:rsid w:val="009978BF"/>
    <w:rsid w:val="00997B65"/>
    <w:rsid w:val="00997D20"/>
    <w:rsid w:val="009A25C9"/>
    <w:rsid w:val="009A2996"/>
    <w:rsid w:val="009A2D34"/>
    <w:rsid w:val="009A2D68"/>
    <w:rsid w:val="009A3CA9"/>
    <w:rsid w:val="009A45EB"/>
    <w:rsid w:val="009A55B8"/>
    <w:rsid w:val="009A5705"/>
    <w:rsid w:val="009A5C38"/>
    <w:rsid w:val="009A6D6A"/>
    <w:rsid w:val="009B016E"/>
    <w:rsid w:val="009B0306"/>
    <w:rsid w:val="009B19B6"/>
    <w:rsid w:val="009B1B8E"/>
    <w:rsid w:val="009B1DF2"/>
    <w:rsid w:val="009B2B0B"/>
    <w:rsid w:val="009B2EB4"/>
    <w:rsid w:val="009B34D0"/>
    <w:rsid w:val="009B3935"/>
    <w:rsid w:val="009B46E9"/>
    <w:rsid w:val="009B6123"/>
    <w:rsid w:val="009B6384"/>
    <w:rsid w:val="009B75A5"/>
    <w:rsid w:val="009B76F7"/>
    <w:rsid w:val="009B79C2"/>
    <w:rsid w:val="009B7C32"/>
    <w:rsid w:val="009C00C6"/>
    <w:rsid w:val="009C047E"/>
    <w:rsid w:val="009C133C"/>
    <w:rsid w:val="009C1B56"/>
    <w:rsid w:val="009C1C5C"/>
    <w:rsid w:val="009C2642"/>
    <w:rsid w:val="009C2764"/>
    <w:rsid w:val="009C2E6E"/>
    <w:rsid w:val="009C3098"/>
    <w:rsid w:val="009C3268"/>
    <w:rsid w:val="009C3692"/>
    <w:rsid w:val="009C397F"/>
    <w:rsid w:val="009C4096"/>
    <w:rsid w:val="009C4923"/>
    <w:rsid w:val="009C4CE9"/>
    <w:rsid w:val="009C5394"/>
    <w:rsid w:val="009C5D79"/>
    <w:rsid w:val="009C6999"/>
    <w:rsid w:val="009C69A2"/>
    <w:rsid w:val="009D09E1"/>
    <w:rsid w:val="009D1AE4"/>
    <w:rsid w:val="009D1B84"/>
    <w:rsid w:val="009D1F8B"/>
    <w:rsid w:val="009D23F2"/>
    <w:rsid w:val="009D2440"/>
    <w:rsid w:val="009D25A6"/>
    <w:rsid w:val="009D3042"/>
    <w:rsid w:val="009D3CA2"/>
    <w:rsid w:val="009D3CD3"/>
    <w:rsid w:val="009D4A6D"/>
    <w:rsid w:val="009D5897"/>
    <w:rsid w:val="009D61FD"/>
    <w:rsid w:val="009D711D"/>
    <w:rsid w:val="009D7266"/>
    <w:rsid w:val="009D738A"/>
    <w:rsid w:val="009D7BB0"/>
    <w:rsid w:val="009D7BDE"/>
    <w:rsid w:val="009E04F2"/>
    <w:rsid w:val="009E091A"/>
    <w:rsid w:val="009E0DFD"/>
    <w:rsid w:val="009E14D0"/>
    <w:rsid w:val="009E160D"/>
    <w:rsid w:val="009E1EED"/>
    <w:rsid w:val="009E27D0"/>
    <w:rsid w:val="009E4A45"/>
    <w:rsid w:val="009E4A9B"/>
    <w:rsid w:val="009E5642"/>
    <w:rsid w:val="009F05A0"/>
    <w:rsid w:val="009F1FE0"/>
    <w:rsid w:val="009F2099"/>
    <w:rsid w:val="009F2C61"/>
    <w:rsid w:val="009F2D3B"/>
    <w:rsid w:val="009F308D"/>
    <w:rsid w:val="009F3578"/>
    <w:rsid w:val="009F3A5A"/>
    <w:rsid w:val="009F45E8"/>
    <w:rsid w:val="009F573D"/>
    <w:rsid w:val="009F6E9B"/>
    <w:rsid w:val="009F6FFD"/>
    <w:rsid w:val="009F71AD"/>
    <w:rsid w:val="009F76E5"/>
    <w:rsid w:val="009F79E6"/>
    <w:rsid w:val="009F7A31"/>
    <w:rsid w:val="00A00706"/>
    <w:rsid w:val="00A00A62"/>
    <w:rsid w:val="00A00D99"/>
    <w:rsid w:val="00A00ED3"/>
    <w:rsid w:val="00A01A5D"/>
    <w:rsid w:val="00A0288F"/>
    <w:rsid w:val="00A030E4"/>
    <w:rsid w:val="00A046AF"/>
    <w:rsid w:val="00A05153"/>
    <w:rsid w:val="00A052E1"/>
    <w:rsid w:val="00A062A7"/>
    <w:rsid w:val="00A06575"/>
    <w:rsid w:val="00A065A6"/>
    <w:rsid w:val="00A06661"/>
    <w:rsid w:val="00A07049"/>
    <w:rsid w:val="00A07221"/>
    <w:rsid w:val="00A079C7"/>
    <w:rsid w:val="00A10C0C"/>
    <w:rsid w:val="00A11782"/>
    <w:rsid w:val="00A11A04"/>
    <w:rsid w:val="00A1262B"/>
    <w:rsid w:val="00A13011"/>
    <w:rsid w:val="00A135B8"/>
    <w:rsid w:val="00A13F00"/>
    <w:rsid w:val="00A154DB"/>
    <w:rsid w:val="00A15B9A"/>
    <w:rsid w:val="00A15F0C"/>
    <w:rsid w:val="00A1748A"/>
    <w:rsid w:val="00A175AE"/>
    <w:rsid w:val="00A177A4"/>
    <w:rsid w:val="00A20DAE"/>
    <w:rsid w:val="00A21625"/>
    <w:rsid w:val="00A21C02"/>
    <w:rsid w:val="00A220C7"/>
    <w:rsid w:val="00A221C8"/>
    <w:rsid w:val="00A221DD"/>
    <w:rsid w:val="00A230D9"/>
    <w:rsid w:val="00A23C53"/>
    <w:rsid w:val="00A2421C"/>
    <w:rsid w:val="00A24FE2"/>
    <w:rsid w:val="00A267EF"/>
    <w:rsid w:val="00A268F9"/>
    <w:rsid w:val="00A26BA2"/>
    <w:rsid w:val="00A26F37"/>
    <w:rsid w:val="00A27226"/>
    <w:rsid w:val="00A2753E"/>
    <w:rsid w:val="00A30450"/>
    <w:rsid w:val="00A30D79"/>
    <w:rsid w:val="00A30FA6"/>
    <w:rsid w:val="00A312FD"/>
    <w:rsid w:val="00A32AD3"/>
    <w:rsid w:val="00A33D58"/>
    <w:rsid w:val="00A3477D"/>
    <w:rsid w:val="00A34C20"/>
    <w:rsid w:val="00A34C70"/>
    <w:rsid w:val="00A34D06"/>
    <w:rsid w:val="00A35216"/>
    <w:rsid w:val="00A36168"/>
    <w:rsid w:val="00A365DC"/>
    <w:rsid w:val="00A37108"/>
    <w:rsid w:val="00A4049A"/>
    <w:rsid w:val="00A40A31"/>
    <w:rsid w:val="00A40C09"/>
    <w:rsid w:val="00A4120B"/>
    <w:rsid w:val="00A41602"/>
    <w:rsid w:val="00A418B0"/>
    <w:rsid w:val="00A419FF"/>
    <w:rsid w:val="00A41EAC"/>
    <w:rsid w:val="00A41F22"/>
    <w:rsid w:val="00A4251D"/>
    <w:rsid w:val="00A42CF5"/>
    <w:rsid w:val="00A4431F"/>
    <w:rsid w:val="00A4485A"/>
    <w:rsid w:val="00A448CD"/>
    <w:rsid w:val="00A449CB"/>
    <w:rsid w:val="00A45573"/>
    <w:rsid w:val="00A45DD4"/>
    <w:rsid w:val="00A465FB"/>
    <w:rsid w:val="00A47412"/>
    <w:rsid w:val="00A4783D"/>
    <w:rsid w:val="00A47A93"/>
    <w:rsid w:val="00A47B69"/>
    <w:rsid w:val="00A50540"/>
    <w:rsid w:val="00A509FE"/>
    <w:rsid w:val="00A50A13"/>
    <w:rsid w:val="00A50C02"/>
    <w:rsid w:val="00A51962"/>
    <w:rsid w:val="00A51FAF"/>
    <w:rsid w:val="00A52FA6"/>
    <w:rsid w:val="00A54428"/>
    <w:rsid w:val="00A544DF"/>
    <w:rsid w:val="00A5474B"/>
    <w:rsid w:val="00A5535E"/>
    <w:rsid w:val="00A557D0"/>
    <w:rsid w:val="00A557DC"/>
    <w:rsid w:val="00A568F7"/>
    <w:rsid w:val="00A56E48"/>
    <w:rsid w:val="00A570D7"/>
    <w:rsid w:val="00A577A0"/>
    <w:rsid w:val="00A60858"/>
    <w:rsid w:val="00A61516"/>
    <w:rsid w:val="00A6165A"/>
    <w:rsid w:val="00A616B4"/>
    <w:rsid w:val="00A61818"/>
    <w:rsid w:val="00A61DBA"/>
    <w:rsid w:val="00A62646"/>
    <w:rsid w:val="00A62B2D"/>
    <w:rsid w:val="00A63997"/>
    <w:rsid w:val="00A639D3"/>
    <w:rsid w:val="00A645F2"/>
    <w:rsid w:val="00A64676"/>
    <w:rsid w:val="00A649FC"/>
    <w:rsid w:val="00A64AF4"/>
    <w:rsid w:val="00A64F6B"/>
    <w:rsid w:val="00A654DF"/>
    <w:rsid w:val="00A65D70"/>
    <w:rsid w:val="00A66584"/>
    <w:rsid w:val="00A6696D"/>
    <w:rsid w:val="00A66EBE"/>
    <w:rsid w:val="00A6702A"/>
    <w:rsid w:val="00A704F4"/>
    <w:rsid w:val="00A70750"/>
    <w:rsid w:val="00A70B40"/>
    <w:rsid w:val="00A70E3C"/>
    <w:rsid w:val="00A71556"/>
    <w:rsid w:val="00A7167A"/>
    <w:rsid w:val="00A71712"/>
    <w:rsid w:val="00A718C9"/>
    <w:rsid w:val="00A72452"/>
    <w:rsid w:val="00A72718"/>
    <w:rsid w:val="00A72CF9"/>
    <w:rsid w:val="00A746EA"/>
    <w:rsid w:val="00A75FB0"/>
    <w:rsid w:val="00A762DF"/>
    <w:rsid w:val="00A76966"/>
    <w:rsid w:val="00A769EA"/>
    <w:rsid w:val="00A76D8C"/>
    <w:rsid w:val="00A8226B"/>
    <w:rsid w:val="00A828C2"/>
    <w:rsid w:val="00A82908"/>
    <w:rsid w:val="00A82CD4"/>
    <w:rsid w:val="00A83A7A"/>
    <w:rsid w:val="00A84BD7"/>
    <w:rsid w:val="00A85053"/>
    <w:rsid w:val="00A851BE"/>
    <w:rsid w:val="00A853F9"/>
    <w:rsid w:val="00A854C7"/>
    <w:rsid w:val="00A85D59"/>
    <w:rsid w:val="00A85FAE"/>
    <w:rsid w:val="00A860CC"/>
    <w:rsid w:val="00A86479"/>
    <w:rsid w:val="00A872A1"/>
    <w:rsid w:val="00A8783B"/>
    <w:rsid w:val="00A87EBE"/>
    <w:rsid w:val="00A909EB"/>
    <w:rsid w:val="00A90E45"/>
    <w:rsid w:val="00A91459"/>
    <w:rsid w:val="00A91546"/>
    <w:rsid w:val="00A91FE7"/>
    <w:rsid w:val="00A92160"/>
    <w:rsid w:val="00A92298"/>
    <w:rsid w:val="00A9278D"/>
    <w:rsid w:val="00A92895"/>
    <w:rsid w:val="00A92DA9"/>
    <w:rsid w:val="00A933E6"/>
    <w:rsid w:val="00A9439F"/>
    <w:rsid w:val="00A94A92"/>
    <w:rsid w:val="00A9518E"/>
    <w:rsid w:val="00A95544"/>
    <w:rsid w:val="00A957F4"/>
    <w:rsid w:val="00A95818"/>
    <w:rsid w:val="00A96DA4"/>
    <w:rsid w:val="00A97F54"/>
    <w:rsid w:val="00A97F8A"/>
    <w:rsid w:val="00AA0633"/>
    <w:rsid w:val="00AA0C64"/>
    <w:rsid w:val="00AA146F"/>
    <w:rsid w:val="00AA1741"/>
    <w:rsid w:val="00AA1ACF"/>
    <w:rsid w:val="00AA3605"/>
    <w:rsid w:val="00AA3897"/>
    <w:rsid w:val="00AA4C4A"/>
    <w:rsid w:val="00AA50FA"/>
    <w:rsid w:val="00AA6D00"/>
    <w:rsid w:val="00AA7605"/>
    <w:rsid w:val="00AA7B5F"/>
    <w:rsid w:val="00AA7BA9"/>
    <w:rsid w:val="00AB04BB"/>
    <w:rsid w:val="00AB1C3F"/>
    <w:rsid w:val="00AB249A"/>
    <w:rsid w:val="00AB2806"/>
    <w:rsid w:val="00AB2864"/>
    <w:rsid w:val="00AB2887"/>
    <w:rsid w:val="00AB2EAC"/>
    <w:rsid w:val="00AB39DC"/>
    <w:rsid w:val="00AB3A3D"/>
    <w:rsid w:val="00AB3D96"/>
    <w:rsid w:val="00AB41CD"/>
    <w:rsid w:val="00AB45A0"/>
    <w:rsid w:val="00AB4FC3"/>
    <w:rsid w:val="00AB532F"/>
    <w:rsid w:val="00AB58FC"/>
    <w:rsid w:val="00AB596B"/>
    <w:rsid w:val="00AB5A40"/>
    <w:rsid w:val="00AB6595"/>
    <w:rsid w:val="00AB6BB6"/>
    <w:rsid w:val="00AB759D"/>
    <w:rsid w:val="00AB7CA2"/>
    <w:rsid w:val="00AC05FE"/>
    <w:rsid w:val="00AC068D"/>
    <w:rsid w:val="00AC0940"/>
    <w:rsid w:val="00AC0D80"/>
    <w:rsid w:val="00AC0D98"/>
    <w:rsid w:val="00AC146E"/>
    <w:rsid w:val="00AC1CDF"/>
    <w:rsid w:val="00AC2532"/>
    <w:rsid w:val="00AC26CE"/>
    <w:rsid w:val="00AC2864"/>
    <w:rsid w:val="00AC341E"/>
    <w:rsid w:val="00AC3F40"/>
    <w:rsid w:val="00AC4635"/>
    <w:rsid w:val="00AC4721"/>
    <w:rsid w:val="00AC50BA"/>
    <w:rsid w:val="00AC53A6"/>
    <w:rsid w:val="00AD0075"/>
    <w:rsid w:val="00AD00AE"/>
    <w:rsid w:val="00AD029E"/>
    <w:rsid w:val="00AD19A5"/>
    <w:rsid w:val="00AD2E35"/>
    <w:rsid w:val="00AD3746"/>
    <w:rsid w:val="00AD4278"/>
    <w:rsid w:val="00AD44F7"/>
    <w:rsid w:val="00AD465A"/>
    <w:rsid w:val="00AD4D36"/>
    <w:rsid w:val="00AD5328"/>
    <w:rsid w:val="00AD532B"/>
    <w:rsid w:val="00AD57BB"/>
    <w:rsid w:val="00AD5E8A"/>
    <w:rsid w:val="00AD7B6C"/>
    <w:rsid w:val="00AE020B"/>
    <w:rsid w:val="00AE0357"/>
    <w:rsid w:val="00AE04CE"/>
    <w:rsid w:val="00AE068A"/>
    <w:rsid w:val="00AE0956"/>
    <w:rsid w:val="00AE0F12"/>
    <w:rsid w:val="00AE2102"/>
    <w:rsid w:val="00AE2C25"/>
    <w:rsid w:val="00AE2E88"/>
    <w:rsid w:val="00AE2FF5"/>
    <w:rsid w:val="00AE3866"/>
    <w:rsid w:val="00AE3EBB"/>
    <w:rsid w:val="00AE423E"/>
    <w:rsid w:val="00AE4FA0"/>
    <w:rsid w:val="00AE50AC"/>
    <w:rsid w:val="00AE671D"/>
    <w:rsid w:val="00AE6CE4"/>
    <w:rsid w:val="00AE7A86"/>
    <w:rsid w:val="00AF27CF"/>
    <w:rsid w:val="00AF2906"/>
    <w:rsid w:val="00AF2D66"/>
    <w:rsid w:val="00AF32C8"/>
    <w:rsid w:val="00AF361B"/>
    <w:rsid w:val="00AF3C62"/>
    <w:rsid w:val="00AF42FA"/>
    <w:rsid w:val="00AF4332"/>
    <w:rsid w:val="00AF4771"/>
    <w:rsid w:val="00AF5511"/>
    <w:rsid w:val="00AF579F"/>
    <w:rsid w:val="00AF5AC3"/>
    <w:rsid w:val="00AF5AC9"/>
    <w:rsid w:val="00AF5F33"/>
    <w:rsid w:val="00AF60ED"/>
    <w:rsid w:val="00AF6E66"/>
    <w:rsid w:val="00AF72E5"/>
    <w:rsid w:val="00AF73AE"/>
    <w:rsid w:val="00AF758A"/>
    <w:rsid w:val="00B009F7"/>
    <w:rsid w:val="00B00E49"/>
    <w:rsid w:val="00B00EAC"/>
    <w:rsid w:val="00B01292"/>
    <w:rsid w:val="00B01A07"/>
    <w:rsid w:val="00B01C84"/>
    <w:rsid w:val="00B0261B"/>
    <w:rsid w:val="00B02623"/>
    <w:rsid w:val="00B02E43"/>
    <w:rsid w:val="00B03723"/>
    <w:rsid w:val="00B03AE4"/>
    <w:rsid w:val="00B03C27"/>
    <w:rsid w:val="00B06C44"/>
    <w:rsid w:val="00B07E5A"/>
    <w:rsid w:val="00B10089"/>
    <w:rsid w:val="00B103EF"/>
    <w:rsid w:val="00B1089E"/>
    <w:rsid w:val="00B110A3"/>
    <w:rsid w:val="00B11195"/>
    <w:rsid w:val="00B11615"/>
    <w:rsid w:val="00B119B5"/>
    <w:rsid w:val="00B11CA2"/>
    <w:rsid w:val="00B1294C"/>
    <w:rsid w:val="00B12A49"/>
    <w:rsid w:val="00B1347D"/>
    <w:rsid w:val="00B13CDE"/>
    <w:rsid w:val="00B14122"/>
    <w:rsid w:val="00B14749"/>
    <w:rsid w:val="00B152CC"/>
    <w:rsid w:val="00B154C4"/>
    <w:rsid w:val="00B162DE"/>
    <w:rsid w:val="00B172B7"/>
    <w:rsid w:val="00B2194A"/>
    <w:rsid w:val="00B21A17"/>
    <w:rsid w:val="00B2205D"/>
    <w:rsid w:val="00B220D8"/>
    <w:rsid w:val="00B223BC"/>
    <w:rsid w:val="00B22C42"/>
    <w:rsid w:val="00B22ED3"/>
    <w:rsid w:val="00B23246"/>
    <w:rsid w:val="00B238E5"/>
    <w:rsid w:val="00B250A0"/>
    <w:rsid w:val="00B25616"/>
    <w:rsid w:val="00B27D73"/>
    <w:rsid w:val="00B303AE"/>
    <w:rsid w:val="00B3041D"/>
    <w:rsid w:val="00B30AC0"/>
    <w:rsid w:val="00B32B38"/>
    <w:rsid w:val="00B32BE5"/>
    <w:rsid w:val="00B3354C"/>
    <w:rsid w:val="00B33C06"/>
    <w:rsid w:val="00B34D96"/>
    <w:rsid w:val="00B35146"/>
    <w:rsid w:val="00B354CA"/>
    <w:rsid w:val="00B35D06"/>
    <w:rsid w:val="00B35D71"/>
    <w:rsid w:val="00B36680"/>
    <w:rsid w:val="00B37B7C"/>
    <w:rsid w:val="00B37D01"/>
    <w:rsid w:val="00B37DF1"/>
    <w:rsid w:val="00B401A9"/>
    <w:rsid w:val="00B40492"/>
    <w:rsid w:val="00B4076E"/>
    <w:rsid w:val="00B40E3C"/>
    <w:rsid w:val="00B417B0"/>
    <w:rsid w:val="00B41800"/>
    <w:rsid w:val="00B42379"/>
    <w:rsid w:val="00B4264E"/>
    <w:rsid w:val="00B42906"/>
    <w:rsid w:val="00B42D44"/>
    <w:rsid w:val="00B4327D"/>
    <w:rsid w:val="00B43978"/>
    <w:rsid w:val="00B43A42"/>
    <w:rsid w:val="00B43E34"/>
    <w:rsid w:val="00B44C07"/>
    <w:rsid w:val="00B4722C"/>
    <w:rsid w:val="00B4797F"/>
    <w:rsid w:val="00B47D24"/>
    <w:rsid w:val="00B50847"/>
    <w:rsid w:val="00B50C72"/>
    <w:rsid w:val="00B50F16"/>
    <w:rsid w:val="00B51A15"/>
    <w:rsid w:val="00B53320"/>
    <w:rsid w:val="00B536B4"/>
    <w:rsid w:val="00B53A45"/>
    <w:rsid w:val="00B53B0B"/>
    <w:rsid w:val="00B54353"/>
    <w:rsid w:val="00B54C8A"/>
    <w:rsid w:val="00B55CD2"/>
    <w:rsid w:val="00B5653A"/>
    <w:rsid w:val="00B57433"/>
    <w:rsid w:val="00B57567"/>
    <w:rsid w:val="00B57AEC"/>
    <w:rsid w:val="00B608C2"/>
    <w:rsid w:val="00B6234C"/>
    <w:rsid w:val="00B63DE1"/>
    <w:rsid w:val="00B649F9"/>
    <w:rsid w:val="00B65266"/>
    <w:rsid w:val="00B655D0"/>
    <w:rsid w:val="00B655E0"/>
    <w:rsid w:val="00B658A8"/>
    <w:rsid w:val="00B65BCD"/>
    <w:rsid w:val="00B66C04"/>
    <w:rsid w:val="00B66F6D"/>
    <w:rsid w:val="00B675C8"/>
    <w:rsid w:val="00B676C9"/>
    <w:rsid w:val="00B67ECC"/>
    <w:rsid w:val="00B70258"/>
    <w:rsid w:val="00B70E45"/>
    <w:rsid w:val="00B71530"/>
    <w:rsid w:val="00B7193B"/>
    <w:rsid w:val="00B71B48"/>
    <w:rsid w:val="00B72D2B"/>
    <w:rsid w:val="00B73951"/>
    <w:rsid w:val="00B74348"/>
    <w:rsid w:val="00B74745"/>
    <w:rsid w:val="00B769EF"/>
    <w:rsid w:val="00B76EE6"/>
    <w:rsid w:val="00B77030"/>
    <w:rsid w:val="00B77FEA"/>
    <w:rsid w:val="00B8053F"/>
    <w:rsid w:val="00B80C85"/>
    <w:rsid w:val="00B81014"/>
    <w:rsid w:val="00B8196D"/>
    <w:rsid w:val="00B828C6"/>
    <w:rsid w:val="00B82EF6"/>
    <w:rsid w:val="00B82FDC"/>
    <w:rsid w:val="00B8305A"/>
    <w:rsid w:val="00B83220"/>
    <w:rsid w:val="00B8411A"/>
    <w:rsid w:val="00B844DF"/>
    <w:rsid w:val="00B846F9"/>
    <w:rsid w:val="00B85489"/>
    <w:rsid w:val="00B856BD"/>
    <w:rsid w:val="00B85D36"/>
    <w:rsid w:val="00B85E42"/>
    <w:rsid w:val="00B8627E"/>
    <w:rsid w:val="00B8701C"/>
    <w:rsid w:val="00B87389"/>
    <w:rsid w:val="00B87EF0"/>
    <w:rsid w:val="00B91D15"/>
    <w:rsid w:val="00B9280A"/>
    <w:rsid w:val="00B92C4D"/>
    <w:rsid w:val="00B92E63"/>
    <w:rsid w:val="00B931D3"/>
    <w:rsid w:val="00B9340B"/>
    <w:rsid w:val="00B93773"/>
    <w:rsid w:val="00B93A99"/>
    <w:rsid w:val="00B9513C"/>
    <w:rsid w:val="00B95FA7"/>
    <w:rsid w:val="00B966A3"/>
    <w:rsid w:val="00B97079"/>
    <w:rsid w:val="00B975FA"/>
    <w:rsid w:val="00B977AE"/>
    <w:rsid w:val="00B979ED"/>
    <w:rsid w:val="00B97A89"/>
    <w:rsid w:val="00BA0A0C"/>
    <w:rsid w:val="00BA0BE0"/>
    <w:rsid w:val="00BA0EEB"/>
    <w:rsid w:val="00BA0FDF"/>
    <w:rsid w:val="00BA1362"/>
    <w:rsid w:val="00BA1F01"/>
    <w:rsid w:val="00BA1FBA"/>
    <w:rsid w:val="00BA39BC"/>
    <w:rsid w:val="00BA3B10"/>
    <w:rsid w:val="00BA41A9"/>
    <w:rsid w:val="00BA45AD"/>
    <w:rsid w:val="00BA4768"/>
    <w:rsid w:val="00BA4795"/>
    <w:rsid w:val="00BA49B3"/>
    <w:rsid w:val="00BA581B"/>
    <w:rsid w:val="00BA598E"/>
    <w:rsid w:val="00BA601E"/>
    <w:rsid w:val="00BA651E"/>
    <w:rsid w:val="00BA6553"/>
    <w:rsid w:val="00BA7622"/>
    <w:rsid w:val="00BA786B"/>
    <w:rsid w:val="00BA7A94"/>
    <w:rsid w:val="00BB1590"/>
    <w:rsid w:val="00BB17E3"/>
    <w:rsid w:val="00BB1A2C"/>
    <w:rsid w:val="00BB1ECD"/>
    <w:rsid w:val="00BB1EDF"/>
    <w:rsid w:val="00BB22D8"/>
    <w:rsid w:val="00BB255E"/>
    <w:rsid w:val="00BB262A"/>
    <w:rsid w:val="00BB29DF"/>
    <w:rsid w:val="00BB2A48"/>
    <w:rsid w:val="00BB2B2B"/>
    <w:rsid w:val="00BB2D5C"/>
    <w:rsid w:val="00BB315B"/>
    <w:rsid w:val="00BB3308"/>
    <w:rsid w:val="00BB3389"/>
    <w:rsid w:val="00BB358E"/>
    <w:rsid w:val="00BB4094"/>
    <w:rsid w:val="00BB44F2"/>
    <w:rsid w:val="00BB469F"/>
    <w:rsid w:val="00BB4874"/>
    <w:rsid w:val="00BB4C0B"/>
    <w:rsid w:val="00BB5BD0"/>
    <w:rsid w:val="00BB5C87"/>
    <w:rsid w:val="00BB5E3E"/>
    <w:rsid w:val="00BB62FC"/>
    <w:rsid w:val="00BB75DD"/>
    <w:rsid w:val="00BB7729"/>
    <w:rsid w:val="00BB7780"/>
    <w:rsid w:val="00BC0BB4"/>
    <w:rsid w:val="00BC1511"/>
    <w:rsid w:val="00BC1749"/>
    <w:rsid w:val="00BC1D5A"/>
    <w:rsid w:val="00BC27A2"/>
    <w:rsid w:val="00BC2D4A"/>
    <w:rsid w:val="00BC3795"/>
    <w:rsid w:val="00BC4211"/>
    <w:rsid w:val="00BC501C"/>
    <w:rsid w:val="00BC53E0"/>
    <w:rsid w:val="00BC5831"/>
    <w:rsid w:val="00BC622D"/>
    <w:rsid w:val="00BD086D"/>
    <w:rsid w:val="00BD08CB"/>
    <w:rsid w:val="00BD0DF3"/>
    <w:rsid w:val="00BD2387"/>
    <w:rsid w:val="00BD2A53"/>
    <w:rsid w:val="00BD2BE0"/>
    <w:rsid w:val="00BD31D4"/>
    <w:rsid w:val="00BD4076"/>
    <w:rsid w:val="00BD41EF"/>
    <w:rsid w:val="00BD47EE"/>
    <w:rsid w:val="00BD4943"/>
    <w:rsid w:val="00BD4E42"/>
    <w:rsid w:val="00BD4EB4"/>
    <w:rsid w:val="00BD50B2"/>
    <w:rsid w:val="00BD5C1F"/>
    <w:rsid w:val="00BD5D91"/>
    <w:rsid w:val="00BD61BE"/>
    <w:rsid w:val="00BE00F9"/>
    <w:rsid w:val="00BE0277"/>
    <w:rsid w:val="00BE0916"/>
    <w:rsid w:val="00BE0964"/>
    <w:rsid w:val="00BE0B69"/>
    <w:rsid w:val="00BE116D"/>
    <w:rsid w:val="00BE17A9"/>
    <w:rsid w:val="00BE17D0"/>
    <w:rsid w:val="00BE1934"/>
    <w:rsid w:val="00BE2250"/>
    <w:rsid w:val="00BE2F3E"/>
    <w:rsid w:val="00BE38F6"/>
    <w:rsid w:val="00BE4220"/>
    <w:rsid w:val="00BE42C7"/>
    <w:rsid w:val="00BE46CE"/>
    <w:rsid w:val="00BE5D2D"/>
    <w:rsid w:val="00BE6045"/>
    <w:rsid w:val="00BE6D24"/>
    <w:rsid w:val="00BE71E4"/>
    <w:rsid w:val="00BE7A91"/>
    <w:rsid w:val="00BE7CCC"/>
    <w:rsid w:val="00BE7D11"/>
    <w:rsid w:val="00BF0D6F"/>
    <w:rsid w:val="00BF0FAB"/>
    <w:rsid w:val="00BF138C"/>
    <w:rsid w:val="00BF1627"/>
    <w:rsid w:val="00BF1DBC"/>
    <w:rsid w:val="00BF2EAA"/>
    <w:rsid w:val="00BF3BED"/>
    <w:rsid w:val="00BF3C97"/>
    <w:rsid w:val="00BF3D45"/>
    <w:rsid w:val="00BF4596"/>
    <w:rsid w:val="00BF477B"/>
    <w:rsid w:val="00BF4B4E"/>
    <w:rsid w:val="00BF4C36"/>
    <w:rsid w:val="00BF4F29"/>
    <w:rsid w:val="00BF5985"/>
    <w:rsid w:val="00BF7A7B"/>
    <w:rsid w:val="00BF7BF9"/>
    <w:rsid w:val="00C0010B"/>
    <w:rsid w:val="00C006B0"/>
    <w:rsid w:val="00C015EA"/>
    <w:rsid w:val="00C018C5"/>
    <w:rsid w:val="00C0339D"/>
    <w:rsid w:val="00C03B51"/>
    <w:rsid w:val="00C04660"/>
    <w:rsid w:val="00C04EC3"/>
    <w:rsid w:val="00C05499"/>
    <w:rsid w:val="00C059AB"/>
    <w:rsid w:val="00C075BC"/>
    <w:rsid w:val="00C07FE5"/>
    <w:rsid w:val="00C10DD4"/>
    <w:rsid w:val="00C12B94"/>
    <w:rsid w:val="00C144CA"/>
    <w:rsid w:val="00C14B9A"/>
    <w:rsid w:val="00C1512D"/>
    <w:rsid w:val="00C1517D"/>
    <w:rsid w:val="00C1580B"/>
    <w:rsid w:val="00C15D6F"/>
    <w:rsid w:val="00C16D8C"/>
    <w:rsid w:val="00C17550"/>
    <w:rsid w:val="00C177A2"/>
    <w:rsid w:val="00C2000E"/>
    <w:rsid w:val="00C20695"/>
    <w:rsid w:val="00C21770"/>
    <w:rsid w:val="00C21DB9"/>
    <w:rsid w:val="00C22B02"/>
    <w:rsid w:val="00C22C39"/>
    <w:rsid w:val="00C2306E"/>
    <w:rsid w:val="00C24B12"/>
    <w:rsid w:val="00C25045"/>
    <w:rsid w:val="00C25198"/>
    <w:rsid w:val="00C25A3F"/>
    <w:rsid w:val="00C268F0"/>
    <w:rsid w:val="00C27711"/>
    <w:rsid w:val="00C30213"/>
    <w:rsid w:val="00C33268"/>
    <w:rsid w:val="00C338CB"/>
    <w:rsid w:val="00C33BB2"/>
    <w:rsid w:val="00C33C8D"/>
    <w:rsid w:val="00C351BF"/>
    <w:rsid w:val="00C355CF"/>
    <w:rsid w:val="00C35CA1"/>
    <w:rsid w:val="00C36A34"/>
    <w:rsid w:val="00C36EBB"/>
    <w:rsid w:val="00C36F3F"/>
    <w:rsid w:val="00C36F50"/>
    <w:rsid w:val="00C40709"/>
    <w:rsid w:val="00C41628"/>
    <w:rsid w:val="00C41ED9"/>
    <w:rsid w:val="00C427CD"/>
    <w:rsid w:val="00C42816"/>
    <w:rsid w:val="00C42911"/>
    <w:rsid w:val="00C42950"/>
    <w:rsid w:val="00C43184"/>
    <w:rsid w:val="00C43680"/>
    <w:rsid w:val="00C44169"/>
    <w:rsid w:val="00C44328"/>
    <w:rsid w:val="00C4633C"/>
    <w:rsid w:val="00C46DB4"/>
    <w:rsid w:val="00C47326"/>
    <w:rsid w:val="00C4760A"/>
    <w:rsid w:val="00C47D5F"/>
    <w:rsid w:val="00C50849"/>
    <w:rsid w:val="00C513B7"/>
    <w:rsid w:val="00C51561"/>
    <w:rsid w:val="00C5170F"/>
    <w:rsid w:val="00C52469"/>
    <w:rsid w:val="00C531AB"/>
    <w:rsid w:val="00C53A25"/>
    <w:rsid w:val="00C53A5B"/>
    <w:rsid w:val="00C53FED"/>
    <w:rsid w:val="00C54B26"/>
    <w:rsid w:val="00C54EB4"/>
    <w:rsid w:val="00C55241"/>
    <w:rsid w:val="00C56997"/>
    <w:rsid w:val="00C56F46"/>
    <w:rsid w:val="00C57516"/>
    <w:rsid w:val="00C57D80"/>
    <w:rsid w:val="00C60DA8"/>
    <w:rsid w:val="00C61232"/>
    <w:rsid w:val="00C618E3"/>
    <w:rsid w:val="00C62303"/>
    <w:rsid w:val="00C63342"/>
    <w:rsid w:val="00C63539"/>
    <w:rsid w:val="00C63843"/>
    <w:rsid w:val="00C64099"/>
    <w:rsid w:val="00C641B0"/>
    <w:rsid w:val="00C65393"/>
    <w:rsid w:val="00C65CF0"/>
    <w:rsid w:val="00C66116"/>
    <w:rsid w:val="00C66595"/>
    <w:rsid w:val="00C666ED"/>
    <w:rsid w:val="00C668ED"/>
    <w:rsid w:val="00C679FB"/>
    <w:rsid w:val="00C70CB4"/>
    <w:rsid w:val="00C70D59"/>
    <w:rsid w:val="00C70F96"/>
    <w:rsid w:val="00C7193D"/>
    <w:rsid w:val="00C71E88"/>
    <w:rsid w:val="00C7376C"/>
    <w:rsid w:val="00C739F3"/>
    <w:rsid w:val="00C73C0F"/>
    <w:rsid w:val="00C73FBA"/>
    <w:rsid w:val="00C748F6"/>
    <w:rsid w:val="00C74D36"/>
    <w:rsid w:val="00C74F54"/>
    <w:rsid w:val="00C74F75"/>
    <w:rsid w:val="00C75138"/>
    <w:rsid w:val="00C751D0"/>
    <w:rsid w:val="00C75C14"/>
    <w:rsid w:val="00C76700"/>
    <w:rsid w:val="00C767FC"/>
    <w:rsid w:val="00C76E17"/>
    <w:rsid w:val="00C8056E"/>
    <w:rsid w:val="00C80F8A"/>
    <w:rsid w:val="00C81F1C"/>
    <w:rsid w:val="00C829C7"/>
    <w:rsid w:val="00C82ED7"/>
    <w:rsid w:val="00C83C1A"/>
    <w:rsid w:val="00C84133"/>
    <w:rsid w:val="00C8426B"/>
    <w:rsid w:val="00C84A0E"/>
    <w:rsid w:val="00C86CB7"/>
    <w:rsid w:val="00C86F16"/>
    <w:rsid w:val="00C87699"/>
    <w:rsid w:val="00C87D48"/>
    <w:rsid w:val="00C900F6"/>
    <w:rsid w:val="00C905F4"/>
    <w:rsid w:val="00C90EA9"/>
    <w:rsid w:val="00C91340"/>
    <w:rsid w:val="00C9134C"/>
    <w:rsid w:val="00C91623"/>
    <w:rsid w:val="00C92C40"/>
    <w:rsid w:val="00C932E5"/>
    <w:rsid w:val="00C935A1"/>
    <w:rsid w:val="00C935D7"/>
    <w:rsid w:val="00C94072"/>
    <w:rsid w:val="00C9409B"/>
    <w:rsid w:val="00C948F8"/>
    <w:rsid w:val="00C94C51"/>
    <w:rsid w:val="00C952D7"/>
    <w:rsid w:val="00C95693"/>
    <w:rsid w:val="00C956F8"/>
    <w:rsid w:val="00C95BB2"/>
    <w:rsid w:val="00C9676D"/>
    <w:rsid w:val="00C96B6F"/>
    <w:rsid w:val="00C96D68"/>
    <w:rsid w:val="00CA0768"/>
    <w:rsid w:val="00CA09D6"/>
    <w:rsid w:val="00CA0FB6"/>
    <w:rsid w:val="00CA174B"/>
    <w:rsid w:val="00CA1CED"/>
    <w:rsid w:val="00CA1DF5"/>
    <w:rsid w:val="00CA1F28"/>
    <w:rsid w:val="00CA2552"/>
    <w:rsid w:val="00CA29B1"/>
    <w:rsid w:val="00CA3509"/>
    <w:rsid w:val="00CA39AD"/>
    <w:rsid w:val="00CA46D5"/>
    <w:rsid w:val="00CA50F6"/>
    <w:rsid w:val="00CA54D2"/>
    <w:rsid w:val="00CA56F2"/>
    <w:rsid w:val="00CA5DDE"/>
    <w:rsid w:val="00CA602A"/>
    <w:rsid w:val="00CA6046"/>
    <w:rsid w:val="00CA6833"/>
    <w:rsid w:val="00CA69ED"/>
    <w:rsid w:val="00CA7A34"/>
    <w:rsid w:val="00CA7D54"/>
    <w:rsid w:val="00CA7F71"/>
    <w:rsid w:val="00CB0224"/>
    <w:rsid w:val="00CB0C27"/>
    <w:rsid w:val="00CB130D"/>
    <w:rsid w:val="00CB3ADF"/>
    <w:rsid w:val="00CB5502"/>
    <w:rsid w:val="00CB57C7"/>
    <w:rsid w:val="00CB5C9F"/>
    <w:rsid w:val="00CB6046"/>
    <w:rsid w:val="00CB706B"/>
    <w:rsid w:val="00CB7AE0"/>
    <w:rsid w:val="00CC00B4"/>
    <w:rsid w:val="00CC038D"/>
    <w:rsid w:val="00CC07CA"/>
    <w:rsid w:val="00CC0A28"/>
    <w:rsid w:val="00CC13B4"/>
    <w:rsid w:val="00CC14EE"/>
    <w:rsid w:val="00CC183D"/>
    <w:rsid w:val="00CC1DD9"/>
    <w:rsid w:val="00CC20B5"/>
    <w:rsid w:val="00CC2246"/>
    <w:rsid w:val="00CC2B7F"/>
    <w:rsid w:val="00CC34AB"/>
    <w:rsid w:val="00CC3B4E"/>
    <w:rsid w:val="00CC4233"/>
    <w:rsid w:val="00CC4424"/>
    <w:rsid w:val="00CC457F"/>
    <w:rsid w:val="00CC45AB"/>
    <w:rsid w:val="00CC5A07"/>
    <w:rsid w:val="00CC5C8B"/>
    <w:rsid w:val="00CC6CE6"/>
    <w:rsid w:val="00CC76B0"/>
    <w:rsid w:val="00CC7F65"/>
    <w:rsid w:val="00CD24D9"/>
    <w:rsid w:val="00CD26A6"/>
    <w:rsid w:val="00CD2830"/>
    <w:rsid w:val="00CD306E"/>
    <w:rsid w:val="00CD31AE"/>
    <w:rsid w:val="00CD3BED"/>
    <w:rsid w:val="00CD4D5B"/>
    <w:rsid w:val="00CD5345"/>
    <w:rsid w:val="00CD54FC"/>
    <w:rsid w:val="00CD573B"/>
    <w:rsid w:val="00CD5874"/>
    <w:rsid w:val="00CD5BA9"/>
    <w:rsid w:val="00CD5DF4"/>
    <w:rsid w:val="00CD5FF3"/>
    <w:rsid w:val="00CD625E"/>
    <w:rsid w:val="00CD6A09"/>
    <w:rsid w:val="00CD6A22"/>
    <w:rsid w:val="00CD708E"/>
    <w:rsid w:val="00CD78E7"/>
    <w:rsid w:val="00CE00F1"/>
    <w:rsid w:val="00CE0877"/>
    <w:rsid w:val="00CE0A9E"/>
    <w:rsid w:val="00CE1009"/>
    <w:rsid w:val="00CE146F"/>
    <w:rsid w:val="00CE1A5A"/>
    <w:rsid w:val="00CE1BA2"/>
    <w:rsid w:val="00CE3798"/>
    <w:rsid w:val="00CE3F27"/>
    <w:rsid w:val="00CE3F48"/>
    <w:rsid w:val="00CE515A"/>
    <w:rsid w:val="00CE6FC8"/>
    <w:rsid w:val="00CE7E19"/>
    <w:rsid w:val="00CF08DB"/>
    <w:rsid w:val="00CF1231"/>
    <w:rsid w:val="00CF12D8"/>
    <w:rsid w:val="00CF1CAE"/>
    <w:rsid w:val="00CF315B"/>
    <w:rsid w:val="00CF36FF"/>
    <w:rsid w:val="00CF3873"/>
    <w:rsid w:val="00CF45BC"/>
    <w:rsid w:val="00CF4B98"/>
    <w:rsid w:val="00CF5D4E"/>
    <w:rsid w:val="00CF632C"/>
    <w:rsid w:val="00CF6594"/>
    <w:rsid w:val="00CF6FDE"/>
    <w:rsid w:val="00CF7B4D"/>
    <w:rsid w:val="00CF7D2F"/>
    <w:rsid w:val="00D0022E"/>
    <w:rsid w:val="00D00D2E"/>
    <w:rsid w:val="00D00D7D"/>
    <w:rsid w:val="00D020E7"/>
    <w:rsid w:val="00D0223E"/>
    <w:rsid w:val="00D02F68"/>
    <w:rsid w:val="00D039D7"/>
    <w:rsid w:val="00D03D66"/>
    <w:rsid w:val="00D050ED"/>
    <w:rsid w:val="00D050F9"/>
    <w:rsid w:val="00D059E6"/>
    <w:rsid w:val="00D065F4"/>
    <w:rsid w:val="00D07232"/>
    <w:rsid w:val="00D07C0A"/>
    <w:rsid w:val="00D10AD5"/>
    <w:rsid w:val="00D114E0"/>
    <w:rsid w:val="00D12275"/>
    <w:rsid w:val="00D129F7"/>
    <w:rsid w:val="00D134B5"/>
    <w:rsid w:val="00D1377C"/>
    <w:rsid w:val="00D140E8"/>
    <w:rsid w:val="00D14D70"/>
    <w:rsid w:val="00D155BB"/>
    <w:rsid w:val="00D158B0"/>
    <w:rsid w:val="00D15C37"/>
    <w:rsid w:val="00D16121"/>
    <w:rsid w:val="00D16550"/>
    <w:rsid w:val="00D1677A"/>
    <w:rsid w:val="00D169D2"/>
    <w:rsid w:val="00D16E82"/>
    <w:rsid w:val="00D17A94"/>
    <w:rsid w:val="00D20CDE"/>
    <w:rsid w:val="00D21044"/>
    <w:rsid w:val="00D2205A"/>
    <w:rsid w:val="00D23D9A"/>
    <w:rsid w:val="00D247A2"/>
    <w:rsid w:val="00D24DA8"/>
    <w:rsid w:val="00D262B8"/>
    <w:rsid w:val="00D262EA"/>
    <w:rsid w:val="00D27CE7"/>
    <w:rsid w:val="00D27EF4"/>
    <w:rsid w:val="00D303DF"/>
    <w:rsid w:val="00D308B0"/>
    <w:rsid w:val="00D30B31"/>
    <w:rsid w:val="00D30EB1"/>
    <w:rsid w:val="00D31C42"/>
    <w:rsid w:val="00D31C65"/>
    <w:rsid w:val="00D33FD2"/>
    <w:rsid w:val="00D348BE"/>
    <w:rsid w:val="00D34CB1"/>
    <w:rsid w:val="00D35644"/>
    <w:rsid w:val="00D36858"/>
    <w:rsid w:val="00D36BF4"/>
    <w:rsid w:val="00D36DB5"/>
    <w:rsid w:val="00D37141"/>
    <w:rsid w:val="00D37695"/>
    <w:rsid w:val="00D40111"/>
    <w:rsid w:val="00D41463"/>
    <w:rsid w:val="00D425C3"/>
    <w:rsid w:val="00D42EDE"/>
    <w:rsid w:val="00D43F0E"/>
    <w:rsid w:val="00D44206"/>
    <w:rsid w:val="00D44335"/>
    <w:rsid w:val="00D4518D"/>
    <w:rsid w:val="00D459ED"/>
    <w:rsid w:val="00D45FEF"/>
    <w:rsid w:val="00D4618D"/>
    <w:rsid w:val="00D46239"/>
    <w:rsid w:val="00D46645"/>
    <w:rsid w:val="00D46C39"/>
    <w:rsid w:val="00D50E03"/>
    <w:rsid w:val="00D51027"/>
    <w:rsid w:val="00D510A4"/>
    <w:rsid w:val="00D521C6"/>
    <w:rsid w:val="00D524E4"/>
    <w:rsid w:val="00D528FC"/>
    <w:rsid w:val="00D5375A"/>
    <w:rsid w:val="00D5469E"/>
    <w:rsid w:val="00D54DC1"/>
    <w:rsid w:val="00D555F9"/>
    <w:rsid w:val="00D558A5"/>
    <w:rsid w:val="00D56B4B"/>
    <w:rsid w:val="00D56DF7"/>
    <w:rsid w:val="00D572A1"/>
    <w:rsid w:val="00D57F49"/>
    <w:rsid w:val="00D60B7D"/>
    <w:rsid w:val="00D61935"/>
    <w:rsid w:val="00D62E6E"/>
    <w:rsid w:val="00D62E9D"/>
    <w:rsid w:val="00D62FEE"/>
    <w:rsid w:val="00D648DC"/>
    <w:rsid w:val="00D65EF9"/>
    <w:rsid w:val="00D66745"/>
    <w:rsid w:val="00D6698E"/>
    <w:rsid w:val="00D66ACD"/>
    <w:rsid w:val="00D66C9D"/>
    <w:rsid w:val="00D66CC1"/>
    <w:rsid w:val="00D66FA4"/>
    <w:rsid w:val="00D6744E"/>
    <w:rsid w:val="00D67C5C"/>
    <w:rsid w:val="00D7110A"/>
    <w:rsid w:val="00D7259E"/>
    <w:rsid w:val="00D72B12"/>
    <w:rsid w:val="00D73A23"/>
    <w:rsid w:val="00D75265"/>
    <w:rsid w:val="00D754A8"/>
    <w:rsid w:val="00D7559A"/>
    <w:rsid w:val="00D75B22"/>
    <w:rsid w:val="00D75F4C"/>
    <w:rsid w:val="00D76420"/>
    <w:rsid w:val="00D76AF1"/>
    <w:rsid w:val="00D770BE"/>
    <w:rsid w:val="00D7779B"/>
    <w:rsid w:val="00D77BD1"/>
    <w:rsid w:val="00D80256"/>
    <w:rsid w:val="00D80533"/>
    <w:rsid w:val="00D81832"/>
    <w:rsid w:val="00D82393"/>
    <w:rsid w:val="00D82E3C"/>
    <w:rsid w:val="00D831B2"/>
    <w:rsid w:val="00D8359B"/>
    <w:rsid w:val="00D85218"/>
    <w:rsid w:val="00D86C48"/>
    <w:rsid w:val="00D87499"/>
    <w:rsid w:val="00D90054"/>
    <w:rsid w:val="00D9022A"/>
    <w:rsid w:val="00D9128E"/>
    <w:rsid w:val="00D91732"/>
    <w:rsid w:val="00D91800"/>
    <w:rsid w:val="00D918C3"/>
    <w:rsid w:val="00D92C96"/>
    <w:rsid w:val="00D939CC"/>
    <w:rsid w:val="00D948E7"/>
    <w:rsid w:val="00D95040"/>
    <w:rsid w:val="00D96331"/>
    <w:rsid w:val="00D96957"/>
    <w:rsid w:val="00D96BE6"/>
    <w:rsid w:val="00D96C67"/>
    <w:rsid w:val="00D96D19"/>
    <w:rsid w:val="00D96D41"/>
    <w:rsid w:val="00D978B3"/>
    <w:rsid w:val="00D97B84"/>
    <w:rsid w:val="00DA0228"/>
    <w:rsid w:val="00DA02D9"/>
    <w:rsid w:val="00DA0DC5"/>
    <w:rsid w:val="00DA0E07"/>
    <w:rsid w:val="00DA0EA7"/>
    <w:rsid w:val="00DA1635"/>
    <w:rsid w:val="00DA181D"/>
    <w:rsid w:val="00DA1ACF"/>
    <w:rsid w:val="00DA25B7"/>
    <w:rsid w:val="00DA26DB"/>
    <w:rsid w:val="00DA29AC"/>
    <w:rsid w:val="00DA3310"/>
    <w:rsid w:val="00DA38E5"/>
    <w:rsid w:val="00DA4110"/>
    <w:rsid w:val="00DA4C37"/>
    <w:rsid w:val="00DA54CB"/>
    <w:rsid w:val="00DA6023"/>
    <w:rsid w:val="00DA63BF"/>
    <w:rsid w:val="00DA6BE2"/>
    <w:rsid w:val="00DA75B9"/>
    <w:rsid w:val="00DA76D8"/>
    <w:rsid w:val="00DA7A1A"/>
    <w:rsid w:val="00DA7D6E"/>
    <w:rsid w:val="00DB0D57"/>
    <w:rsid w:val="00DB1421"/>
    <w:rsid w:val="00DB1489"/>
    <w:rsid w:val="00DB1886"/>
    <w:rsid w:val="00DB327D"/>
    <w:rsid w:val="00DB3963"/>
    <w:rsid w:val="00DB3C93"/>
    <w:rsid w:val="00DB44CE"/>
    <w:rsid w:val="00DB45D5"/>
    <w:rsid w:val="00DB5678"/>
    <w:rsid w:val="00DB5691"/>
    <w:rsid w:val="00DB59A9"/>
    <w:rsid w:val="00DB625E"/>
    <w:rsid w:val="00DB70A4"/>
    <w:rsid w:val="00DB730B"/>
    <w:rsid w:val="00DB731A"/>
    <w:rsid w:val="00DB7462"/>
    <w:rsid w:val="00DC014C"/>
    <w:rsid w:val="00DC01E1"/>
    <w:rsid w:val="00DC2469"/>
    <w:rsid w:val="00DC33B5"/>
    <w:rsid w:val="00DC39E2"/>
    <w:rsid w:val="00DC3B05"/>
    <w:rsid w:val="00DC3B80"/>
    <w:rsid w:val="00DC4751"/>
    <w:rsid w:val="00DC4A1A"/>
    <w:rsid w:val="00DC4C25"/>
    <w:rsid w:val="00DC4E3A"/>
    <w:rsid w:val="00DC5333"/>
    <w:rsid w:val="00DC57C6"/>
    <w:rsid w:val="00DC59B8"/>
    <w:rsid w:val="00DC61B0"/>
    <w:rsid w:val="00DC61D4"/>
    <w:rsid w:val="00DC6595"/>
    <w:rsid w:val="00DC7260"/>
    <w:rsid w:val="00DD0538"/>
    <w:rsid w:val="00DD062A"/>
    <w:rsid w:val="00DD06ED"/>
    <w:rsid w:val="00DD0765"/>
    <w:rsid w:val="00DD0A5E"/>
    <w:rsid w:val="00DD0D77"/>
    <w:rsid w:val="00DD1992"/>
    <w:rsid w:val="00DD1EDE"/>
    <w:rsid w:val="00DD2517"/>
    <w:rsid w:val="00DD39E4"/>
    <w:rsid w:val="00DD477A"/>
    <w:rsid w:val="00DD4CAB"/>
    <w:rsid w:val="00DD639B"/>
    <w:rsid w:val="00DD6B32"/>
    <w:rsid w:val="00DD752C"/>
    <w:rsid w:val="00DD76AD"/>
    <w:rsid w:val="00DD77AD"/>
    <w:rsid w:val="00DE023C"/>
    <w:rsid w:val="00DE09D6"/>
    <w:rsid w:val="00DE247B"/>
    <w:rsid w:val="00DE3232"/>
    <w:rsid w:val="00DE333D"/>
    <w:rsid w:val="00DE3706"/>
    <w:rsid w:val="00DE45DF"/>
    <w:rsid w:val="00DE4BB5"/>
    <w:rsid w:val="00DE567C"/>
    <w:rsid w:val="00DE5ECB"/>
    <w:rsid w:val="00DE6541"/>
    <w:rsid w:val="00DE69A2"/>
    <w:rsid w:val="00DE6C41"/>
    <w:rsid w:val="00DE7154"/>
    <w:rsid w:val="00DE7650"/>
    <w:rsid w:val="00DF0563"/>
    <w:rsid w:val="00DF05CF"/>
    <w:rsid w:val="00DF18AA"/>
    <w:rsid w:val="00DF2B58"/>
    <w:rsid w:val="00DF3301"/>
    <w:rsid w:val="00DF3B7F"/>
    <w:rsid w:val="00DF3CC8"/>
    <w:rsid w:val="00DF4722"/>
    <w:rsid w:val="00DF535B"/>
    <w:rsid w:val="00DF5505"/>
    <w:rsid w:val="00DF56B4"/>
    <w:rsid w:val="00DF57C2"/>
    <w:rsid w:val="00DF5CA4"/>
    <w:rsid w:val="00DF6A36"/>
    <w:rsid w:val="00DF7720"/>
    <w:rsid w:val="00DF7BB4"/>
    <w:rsid w:val="00E015E7"/>
    <w:rsid w:val="00E01805"/>
    <w:rsid w:val="00E01C4E"/>
    <w:rsid w:val="00E021A0"/>
    <w:rsid w:val="00E0271A"/>
    <w:rsid w:val="00E02778"/>
    <w:rsid w:val="00E02F37"/>
    <w:rsid w:val="00E03D2C"/>
    <w:rsid w:val="00E03D43"/>
    <w:rsid w:val="00E042A4"/>
    <w:rsid w:val="00E04ACD"/>
    <w:rsid w:val="00E0566A"/>
    <w:rsid w:val="00E057DF"/>
    <w:rsid w:val="00E05C3B"/>
    <w:rsid w:val="00E06C8A"/>
    <w:rsid w:val="00E07698"/>
    <w:rsid w:val="00E077B2"/>
    <w:rsid w:val="00E105A0"/>
    <w:rsid w:val="00E1096D"/>
    <w:rsid w:val="00E1104A"/>
    <w:rsid w:val="00E11070"/>
    <w:rsid w:val="00E11312"/>
    <w:rsid w:val="00E1155F"/>
    <w:rsid w:val="00E11BD0"/>
    <w:rsid w:val="00E11CB9"/>
    <w:rsid w:val="00E11F2D"/>
    <w:rsid w:val="00E132DE"/>
    <w:rsid w:val="00E136C7"/>
    <w:rsid w:val="00E13905"/>
    <w:rsid w:val="00E1550C"/>
    <w:rsid w:val="00E155ED"/>
    <w:rsid w:val="00E16B25"/>
    <w:rsid w:val="00E16C2A"/>
    <w:rsid w:val="00E17447"/>
    <w:rsid w:val="00E201FB"/>
    <w:rsid w:val="00E202D6"/>
    <w:rsid w:val="00E21890"/>
    <w:rsid w:val="00E21891"/>
    <w:rsid w:val="00E22556"/>
    <w:rsid w:val="00E22791"/>
    <w:rsid w:val="00E24483"/>
    <w:rsid w:val="00E248C0"/>
    <w:rsid w:val="00E24B2D"/>
    <w:rsid w:val="00E24DE0"/>
    <w:rsid w:val="00E26B84"/>
    <w:rsid w:val="00E270D5"/>
    <w:rsid w:val="00E30DEA"/>
    <w:rsid w:val="00E31625"/>
    <w:rsid w:val="00E31742"/>
    <w:rsid w:val="00E317CD"/>
    <w:rsid w:val="00E32074"/>
    <w:rsid w:val="00E351D5"/>
    <w:rsid w:val="00E35EBE"/>
    <w:rsid w:val="00E3636C"/>
    <w:rsid w:val="00E363EB"/>
    <w:rsid w:val="00E37409"/>
    <w:rsid w:val="00E37A61"/>
    <w:rsid w:val="00E37C34"/>
    <w:rsid w:val="00E4035A"/>
    <w:rsid w:val="00E40DD3"/>
    <w:rsid w:val="00E411CB"/>
    <w:rsid w:val="00E41A4E"/>
    <w:rsid w:val="00E42164"/>
    <w:rsid w:val="00E422AC"/>
    <w:rsid w:val="00E42DDD"/>
    <w:rsid w:val="00E4320F"/>
    <w:rsid w:val="00E4344C"/>
    <w:rsid w:val="00E43A1A"/>
    <w:rsid w:val="00E44087"/>
    <w:rsid w:val="00E4408F"/>
    <w:rsid w:val="00E4428A"/>
    <w:rsid w:val="00E45190"/>
    <w:rsid w:val="00E4541C"/>
    <w:rsid w:val="00E456F3"/>
    <w:rsid w:val="00E45A9B"/>
    <w:rsid w:val="00E45F13"/>
    <w:rsid w:val="00E51165"/>
    <w:rsid w:val="00E51E7B"/>
    <w:rsid w:val="00E53001"/>
    <w:rsid w:val="00E533FB"/>
    <w:rsid w:val="00E542F7"/>
    <w:rsid w:val="00E54374"/>
    <w:rsid w:val="00E54B3C"/>
    <w:rsid w:val="00E5526A"/>
    <w:rsid w:val="00E557C5"/>
    <w:rsid w:val="00E558C2"/>
    <w:rsid w:val="00E56015"/>
    <w:rsid w:val="00E56105"/>
    <w:rsid w:val="00E5645E"/>
    <w:rsid w:val="00E56F23"/>
    <w:rsid w:val="00E60515"/>
    <w:rsid w:val="00E60901"/>
    <w:rsid w:val="00E60F02"/>
    <w:rsid w:val="00E610D8"/>
    <w:rsid w:val="00E618FA"/>
    <w:rsid w:val="00E61C58"/>
    <w:rsid w:val="00E6281C"/>
    <w:rsid w:val="00E62B1A"/>
    <w:rsid w:val="00E62DE5"/>
    <w:rsid w:val="00E630AD"/>
    <w:rsid w:val="00E637DF"/>
    <w:rsid w:val="00E63E30"/>
    <w:rsid w:val="00E64D60"/>
    <w:rsid w:val="00E64E4F"/>
    <w:rsid w:val="00E64EA2"/>
    <w:rsid w:val="00E64FFA"/>
    <w:rsid w:val="00E65AAF"/>
    <w:rsid w:val="00E65D12"/>
    <w:rsid w:val="00E65EF9"/>
    <w:rsid w:val="00E66457"/>
    <w:rsid w:val="00E6645D"/>
    <w:rsid w:val="00E6696D"/>
    <w:rsid w:val="00E67142"/>
    <w:rsid w:val="00E67CE8"/>
    <w:rsid w:val="00E71A3F"/>
    <w:rsid w:val="00E72182"/>
    <w:rsid w:val="00E7246D"/>
    <w:rsid w:val="00E72EA3"/>
    <w:rsid w:val="00E73B4F"/>
    <w:rsid w:val="00E74907"/>
    <w:rsid w:val="00E74CC2"/>
    <w:rsid w:val="00E75BF9"/>
    <w:rsid w:val="00E75F36"/>
    <w:rsid w:val="00E76004"/>
    <w:rsid w:val="00E76C73"/>
    <w:rsid w:val="00E807CE"/>
    <w:rsid w:val="00E81829"/>
    <w:rsid w:val="00E81C10"/>
    <w:rsid w:val="00E83114"/>
    <w:rsid w:val="00E831AF"/>
    <w:rsid w:val="00E83492"/>
    <w:rsid w:val="00E84FA5"/>
    <w:rsid w:val="00E85C2B"/>
    <w:rsid w:val="00E868CE"/>
    <w:rsid w:val="00E86E75"/>
    <w:rsid w:val="00E87519"/>
    <w:rsid w:val="00E87953"/>
    <w:rsid w:val="00E87A4E"/>
    <w:rsid w:val="00E904FD"/>
    <w:rsid w:val="00E90B35"/>
    <w:rsid w:val="00E90DC5"/>
    <w:rsid w:val="00E91207"/>
    <w:rsid w:val="00E91840"/>
    <w:rsid w:val="00E9233F"/>
    <w:rsid w:val="00E923BA"/>
    <w:rsid w:val="00E92587"/>
    <w:rsid w:val="00E94414"/>
    <w:rsid w:val="00E9494E"/>
    <w:rsid w:val="00E956DC"/>
    <w:rsid w:val="00E95EFE"/>
    <w:rsid w:val="00E95FD0"/>
    <w:rsid w:val="00E964AE"/>
    <w:rsid w:val="00E96882"/>
    <w:rsid w:val="00E96BC1"/>
    <w:rsid w:val="00E96E7B"/>
    <w:rsid w:val="00E96FA0"/>
    <w:rsid w:val="00E977F7"/>
    <w:rsid w:val="00EA0032"/>
    <w:rsid w:val="00EA0255"/>
    <w:rsid w:val="00EA03AC"/>
    <w:rsid w:val="00EA0C24"/>
    <w:rsid w:val="00EA15B1"/>
    <w:rsid w:val="00EA1610"/>
    <w:rsid w:val="00EA1657"/>
    <w:rsid w:val="00EA23AB"/>
    <w:rsid w:val="00EA337B"/>
    <w:rsid w:val="00EA3443"/>
    <w:rsid w:val="00EA36E6"/>
    <w:rsid w:val="00EA3E7F"/>
    <w:rsid w:val="00EA4271"/>
    <w:rsid w:val="00EA4C93"/>
    <w:rsid w:val="00EA4FE6"/>
    <w:rsid w:val="00EA5094"/>
    <w:rsid w:val="00EA64F1"/>
    <w:rsid w:val="00EA7456"/>
    <w:rsid w:val="00EB0110"/>
    <w:rsid w:val="00EB0822"/>
    <w:rsid w:val="00EB12FB"/>
    <w:rsid w:val="00EB2037"/>
    <w:rsid w:val="00EB21D6"/>
    <w:rsid w:val="00EB2D13"/>
    <w:rsid w:val="00EB2EAA"/>
    <w:rsid w:val="00EB31C5"/>
    <w:rsid w:val="00EB3F7D"/>
    <w:rsid w:val="00EB45C6"/>
    <w:rsid w:val="00EB528C"/>
    <w:rsid w:val="00EB5EF5"/>
    <w:rsid w:val="00EB6365"/>
    <w:rsid w:val="00EB6EA8"/>
    <w:rsid w:val="00EB6F2D"/>
    <w:rsid w:val="00EB7278"/>
    <w:rsid w:val="00EB763D"/>
    <w:rsid w:val="00EB7D38"/>
    <w:rsid w:val="00EC2641"/>
    <w:rsid w:val="00EC35CB"/>
    <w:rsid w:val="00EC3B7F"/>
    <w:rsid w:val="00EC4DEC"/>
    <w:rsid w:val="00EC4FA8"/>
    <w:rsid w:val="00EC5148"/>
    <w:rsid w:val="00EC6C8C"/>
    <w:rsid w:val="00EC7546"/>
    <w:rsid w:val="00EC7B37"/>
    <w:rsid w:val="00ED0089"/>
    <w:rsid w:val="00ED0250"/>
    <w:rsid w:val="00ED0957"/>
    <w:rsid w:val="00ED0B2A"/>
    <w:rsid w:val="00ED0E8A"/>
    <w:rsid w:val="00ED1A69"/>
    <w:rsid w:val="00ED1D67"/>
    <w:rsid w:val="00ED239D"/>
    <w:rsid w:val="00ED25C1"/>
    <w:rsid w:val="00ED2601"/>
    <w:rsid w:val="00ED33F6"/>
    <w:rsid w:val="00ED3853"/>
    <w:rsid w:val="00ED4235"/>
    <w:rsid w:val="00ED44E8"/>
    <w:rsid w:val="00ED4898"/>
    <w:rsid w:val="00ED4BBB"/>
    <w:rsid w:val="00ED4E5B"/>
    <w:rsid w:val="00ED597D"/>
    <w:rsid w:val="00ED5AF6"/>
    <w:rsid w:val="00ED62A3"/>
    <w:rsid w:val="00ED66B2"/>
    <w:rsid w:val="00ED676A"/>
    <w:rsid w:val="00ED6CDD"/>
    <w:rsid w:val="00ED6D67"/>
    <w:rsid w:val="00ED755F"/>
    <w:rsid w:val="00ED7576"/>
    <w:rsid w:val="00ED7E4D"/>
    <w:rsid w:val="00EE07A3"/>
    <w:rsid w:val="00EE09C0"/>
    <w:rsid w:val="00EE0B2B"/>
    <w:rsid w:val="00EE0D25"/>
    <w:rsid w:val="00EE2301"/>
    <w:rsid w:val="00EE2ACC"/>
    <w:rsid w:val="00EE2E7F"/>
    <w:rsid w:val="00EE3FE9"/>
    <w:rsid w:val="00EE46C6"/>
    <w:rsid w:val="00EE5151"/>
    <w:rsid w:val="00EE5513"/>
    <w:rsid w:val="00EE61F6"/>
    <w:rsid w:val="00EE6546"/>
    <w:rsid w:val="00EE678F"/>
    <w:rsid w:val="00EE6797"/>
    <w:rsid w:val="00EE6AB7"/>
    <w:rsid w:val="00EE703C"/>
    <w:rsid w:val="00EF06D0"/>
    <w:rsid w:val="00EF0982"/>
    <w:rsid w:val="00EF18D5"/>
    <w:rsid w:val="00EF1D05"/>
    <w:rsid w:val="00EF2147"/>
    <w:rsid w:val="00EF227F"/>
    <w:rsid w:val="00EF24F2"/>
    <w:rsid w:val="00EF2AF3"/>
    <w:rsid w:val="00EF31E5"/>
    <w:rsid w:val="00EF42FE"/>
    <w:rsid w:val="00EF47F6"/>
    <w:rsid w:val="00EF49D3"/>
    <w:rsid w:val="00EF4AA7"/>
    <w:rsid w:val="00EF5911"/>
    <w:rsid w:val="00EF60D9"/>
    <w:rsid w:val="00EF6C12"/>
    <w:rsid w:val="00EF70A9"/>
    <w:rsid w:val="00EF74D6"/>
    <w:rsid w:val="00EF7C61"/>
    <w:rsid w:val="00F0013F"/>
    <w:rsid w:val="00F006D8"/>
    <w:rsid w:val="00F00A0C"/>
    <w:rsid w:val="00F01A2F"/>
    <w:rsid w:val="00F0226E"/>
    <w:rsid w:val="00F027D7"/>
    <w:rsid w:val="00F02F9B"/>
    <w:rsid w:val="00F0427C"/>
    <w:rsid w:val="00F05889"/>
    <w:rsid w:val="00F05F8C"/>
    <w:rsid w:val="00F0788A"/>
    <w:rsid w:val="00F0792E"/>
    <w:rsid w:val="00F07A77"/>
    <w:rsid w:val="00F10EE0"/>
    <w:rsid w:val="00F10F24"/>
    <w:rsid w:val="00F112F8"/>
    <w:rsid w:val="00F123EA"/>
    <w:rsid w:val="00F12CB8"/>
    <w:rsid w:val="00F131F7"/>
    <w:rsid w:val="00F13257"/>
    <w:rsid w:val="00F134D7"/>
    <w:rsid w:val="00F13C6A"/>
    <w:rsid w:val="00F13C84"/>
    <w:rsid w:val="00F14082"/>
    <w:rsid w:val="00F1417E"/>
    <w:rsid w:val="00F14F3E"/>
    <w:rsid w:val="00F15F82"/>
    <w:rsid w:val="00F16502"/>
    <w:rsid w:val="00F16AF3"/>
    <w:rsid w:val="00F171B0"/>
    <w:rsid w:val="00F17780"/>
    <w:rsid w:val="00F1793A"/>
    <w:rsid w:val="00F20312"/>
    <w:rsid w:val="00F2110C"/>
    <w:rsid w:val="00F21328"/>
    <w:rsid w:val="00F22599"/>
    <w:rsid w:val="00F23BEE"/>
    <w:rsid w:val="00F23E30"/>
    <w:rsid w:val="00F24403"/>
    <w:rsid w:val="00F24966"/>
    <w:rsid w:val="00F263E3"/>
    <w:rsid w:val="00F26D15"/>
    <w:rsid w:val="00F273C3"/>
    <w:rsid w:val="00F276FD"/>
    <w:rsid w:val="00F300C0"/>
    <w:rsid w:val="00F31E96"/>
    <w:rsid w:val="00F3255D"/>
    <w:rsid w:val="00F32C69"/>
    <w:rsid w:val="00F336E7"/>
    <w:rsid w:val="00F33C6A"/>
    <w:rsid w:val="00F34148"/>
    <w:rsid w:val="00F34912"/>
    <w:rsid w:val="00F35BF9"/>
    <w:rsid w:val="00F3639A"/>
    <w:rsid w:val="00F36471"/>
    <w:rsid w:val="00F36D5C"/>
    <w:rsid w:val="00F404E7"/>
    <w:rsid w:val="00F41523"/>
    <w:rsid w:val="00F41CE8"/>
    <w:rsid w:val="00F426B8"/>
    <w:rsid w:val="00F42CC8"/>
    <w:rsid w:val="00F42F06"/>
    <w:rsid w:val="00F4317C"/>
    <w:rsid w:val="00F449AC"/>
    <w:rsid w:val="00F44D7B"/>
    <w:rsid w:val="00F45E6B"/>
    <w:rsid w:val="00F465A1"/>
    <w:rsid w:val="00F472E5"/>
    <w:rsid w:val="00F47E59"/>
    <w:rsid w:val="00F47FF5"/>
    <w:rsid w:val="00F5073A"/>
    <w:rsid w:val="00F509D7"/>
    <w:rsid w:val="00F51861"/>
    <w:rsid w:val="00F518B1"/>
    <w:rsid w:val="00F51B2E"/>
    <w:rsid w:val="00F5230E"/>
    <w:rsid w:val="00F525E2"/>
    <w:rsid w:val="00F529AC"/>
    <w:rsid w:val="00F52FD9"/>
    <w:rsid w:val="00F5332B"/>
    <w:rsid w:val="00F53D57"/>
    <w:rsid w:val="00F53E76"/>
    <w:rsid w:val="00F55012"/>
    <w:rsid w:val="00F5517C"/>
    <w:rsid w:val="00F551F7"/>
    <w:rsid w:val="00F55B68"/>
    <w:rsid w:val="00F56477"/>
    <w:rsid w:val="00F5684C"/>
    <w:rsid w:val="00F568CC"/>
    <w:rsid w:val="00F56A69"/>
    <w:rsid w:val="00F56B66"/>
    <w:rsid w:val="00F61063"/>
    <w:rsid w:val="00F618EB"/>
    <w:rsid w:val="00F62854"/>
    <w:rsid w:val="00F62B36"/>
    <w:rsid w:val="00F635D5"/>
    <w:rsid w:val="00F64126"/>
    <w:rsid w:val="00F643C3"/>
    <w:rsid w:val="00F6448B"/>
    <w:rsid w:val="00F659E7"/>
    <w:rsid w:val="00F67DF3"/>
    <w:rsid w:val="00F67F5A"/>
    <w:rsid w:val="00F70092"/>
    <w:rsid w:val="00F7159E"/>
    <w:rsid w:val="00F71D46"/>
    <w:rsid w:val="00F726BB"/>
    <w:rsid w:val="00F72A2D"/>
    <w:rsid w:val="00F73122"/>
    <w:rsid w:val="00F7393C"/>
    <w:rsid w:val="00F745D3"/>
    <w:rsid w:val="00F75329"/>
    <w:rsid w:val="00F757D6"/>
    <w:rsid w:val="00F76112"/>
    <w:rsid w:val="00F7656B"/>
    <w:rsid w:val="00F76F6C"/>
    <w:rsid w:val="00F7764F"/>
    <w:rsid w:val="00F80D6D"/>
    <w:rsid w:val="00F822F3"/>
    <w:rsid w:val="00F8392A"/>
    <w:rsid w:val="00F83A3A"/>
    <w:rsid w:val="00F83C2F"/>
    <w:rsid w:val="00F84541"/>
    <w:rsid w:val="00F84B06"/>
    <w:rsid w:val="00F8534B"/>
    <w:rsid w:val="00F86111"/>
    <w:rsid w:val="00F866D7"/>
    <w:rsid w:val="00F86F2A"/>
    <w:rsid w:val="00F87709"/>
    <w:rsid w:val="00F900DC"/>
    <w:rsid w:val="00F90936"/>
    <w:rsid w:val="00F9095A"/>
    <w:rsid w:val="00F9289E"/>
    <w:rsid w:val="00F928D4"/>
    <w:rsid w:val="00F92A61"/>
    <w:rsid w:val="00F93A15"/>
    <w:rsid w:val="00F93C30"/>
    <w:rsid w:val="00F94E7D"/>
    <w:rsid w:val="00F94EC6"/>
    <w:rsid w:val="00F957E6"/>
    <w:rsid w:val="00F9723C"/>
    <w:rsid w:val="00F97B49"/>
    <w:rsid w:val="00FA06BA"/>
    <w:rsid w:val="00FA0B38"/>
    <w:rsid w:val="00FA0C72"/>
    <w:rsid w:val="00FA0F8C"/>
    <w:rsid w:val="00FA109F"/>
    <w:rsid w:val="00FA1B3E"/>
    <w:rsid w:val="00FA286E"/>
    <w:rsid w:val="00FA32C9"/>
    <w:rsid w:val="00FA420A"/>
    <w:rsid w:val="00FA4652"/>
    <w:rsid w:val="00FA47B0"/>
    <w:rsid w:val="00FA4E35"/>
    <w:rsid w:val="00FA5588"/>
    <w:rsid w:val="00FA58D7"/>
    <w:rsid w:val="00FA60FD"/>
    <w:rsid w:val="00FA672B"/>
    <w:rsid w:val="00FA6D25"/>
    <w:rsid w:val="00FB1AFD"/>
    <w:rsid w:val="00FB2229"/>
    <w:rsid w:val="00FB23EB"/>
    <w:rsid w:val="00FB2528"/>
    <w:rsid w:val="00FB3A48"/>
    <w:rsid w:val="00FB41A9"/>
    <w:rsid w:val="00FB4E0D"/>
    <w:rsid w:val="00FB50F7"/>
    <w:rsid w:val="00FB5240"/>
    <w:rsid w:val="00FB6E08"/>
    <w:rsid w:val="00FB7B8C"/>
    <w:rsid w:val="00FB7F3A"/>
    <w:rsid w:val="00FC0215"/>
    <w:rsid w:val="00FC1321"/>
    <w:rsid w:val="00FC20C0"/>
    <w:rsid w:val="00FC25B6"/>
    <w:rsid w:val="00FC34A6"/>
    <w:rsid w:val="00FC359E"/>
    <w:rsid w:val="00FC368B"/>
    <w:rsid w:val="00FC3828"/>
    <w:rsid w:val="00FC4025"/>
    <w:rsid w:val="00FC409F"/>
    <w:rsid w:val="00FC49D4"/>
    <w:rsid w:val="00FC4B6B"/>
    <w:rsid w:val="00FC5C0E"/>
    <w:rsid w:val="00FC5CB4"/>
    <w:rsid w:val="00FC648A"/>
    <w:rsid w:val="00FC6925"/>
    <w:rsid w:val="00FC7FA7"/>
    <w:rsid w:val="00FD14FB"/>
    <w:rsid w:val="00FD196F"/>
    <w:rsid w:val="00FD1BD8"/>
    <w:rsid w:val="00FD1E87"/>
    <w:rsid w:val="00FD22C6"/>
    <w:rsid w:val="00FD2D8A"/>
    <w:rsid w:val="00FD305C"/>
    <w:rsid w:val="00FD3A7B"/>
    <w:rsid w:val="00FD3F76"/>
    <w:rsid w:val="00FD441D"/>
    <w:rsid w:val="00FD47A0"/>
    <w:rsid w:val="00FD4B88"/>
    <w:rsid w:val="00FD514E"/>
    <w:rsid w:val="00FD568D"/>
    <w:rsid w:val="00FD58D3"/>
    <w:rsid w:val="00FD6625"/>
    <w:rsid w:val="00FD6A08"/>
    <w:rsid w:val="00FD7DCE"/>
    <w:rsid w:val="00FE0FA0"/>
    <w:rsid w:val="00FE10BA"/>
    <w:rsid w:val="00FE1CC6"/>
    <w:rsid w:val="00FE2A84"/>
    <w:rsid w:val="00FE2B94"/>
    <w:rsid w:val="00FE2F48"/>
    <w:rsid w:val="00FE32B0"/>
    <w:rsid w:val="00FE32DA"/>
    <w:rsid w:val="00FE35F9"/>
    <w:rsid w:val="00FE3B79"/>
    <w:rsid w:val="00FE4DDD"/>
    <w:rsid w:val="00FE6372"/>
    <w:rsid w:val="00FE6BA9"/>
    <w:rsid w:val="00FE7394"/>
    <w:rsid w:val="00FE7638"/>
    <w:rsid w:val="00FF0D36"/>
    <w:rsid w:val="00FF11D3"/>
    <w:rsid w:val="00FF132B"/>
    <w:rsid w:val="00FF1743"/>
    <w:rsid w:val="00FF2172"/>
    <w:rsid w:val="00FF21E0"/>
    <w:rsid w:val="00FF48DA"/>
    <w:rsid w:val="00FF5079"/>
    <w:rsid w:val="00FF5407"/>
    <w:rsid w:val="00FF575D"/>
    <w:rsid w:val="00FF6AD3"/>
    <w:rsid w:val="00FF6C7B"/>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952806BE-50AC-324D-A53C-A272F299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AE"/>
    <w:pPr>
      <w:spacing w:line="480" w:lineRule="auto"/>
      <w:ind w:firstLine="709"/>
    </w:pPr>
    <w:rPr>
      <w:rFonts w:ascii="Arial" w:hAnsi="Arial"/>
      <w:sz w:val="22"/>
      <w:szCs w:val="24"/>
      <w:lang w:eastAsia="es-ES"/>
    </w:rPr>
  </w:style>
  <w:style w:type="paragraph" w:styleId="Heading1">
    <w:name w:val="heading 1"/>
    <w:basedOn w:val="Normal"/>
    <w:link w:val="Heading1Char"/>
    <w:qFormat/>
    <w:rsid w:val="000A2B76"/>
    <w:pPr>
      <w:keepNext/>
      <w:numPr>
        <w:numId w:val="32"/>
      </w:numPr>
      <w:contextualSpacing/>
      <w:outlineLvl w:val="0"/>
    </w:pPr>
    <w:rPr>
      <w:b/>
      <w:bCs/>
    </w:rPr>
  </w:style>
  <w:style w:type="paragraph" w:styleId="Heading2">
    <w:name w:val="heading 2"/>
    <w:basedOn w:val="Heading1"/>
    <w:next w:val="Normal"/>
    <w:link w:val="Heading2Char"/>
    <w:qFormat/>
    <w:rsid w:val="000A2B76"/>
    <w:pPr>
      <w:numPr>
        <w:ilvl w:val="1"/>
      </w:numPr>
      <w:outlineLvl w:val="1"/>
    </w:pPr>
  </w:style>
  <w:style w:type="paragraph" w:styleId="Heading3">
    <w:name w:val="heading 3"/>
    <w:basedOn w:val="Heading2"/>
    <w:next w:val="Normal"/>
    <w:qFormat/>
    <w:rsid w:val="00AC4635"/>
    <w:pPr>
      <w:numPr>
        <w:ilvl w:val="2"/>
      </w:numPr>
      <w:ind w:left="886"/>
      <w:outlineLvl w:val="2"/>
    </w:pPr>
  </w:style>
  <w:style w:type="paragraph" w:styleId="Heading4">
    <w:name w:val="heading 4"/>
    <w:basedOn w:val="Heading3"/>
    <w:next w:val="Normal"/>
    <w:qFormat/>
    <w:rsid w:val="00CA5DDE"/>
    <w:pPr>
      <w:numPr>
        <w:ilvl w:val="3"/>
      </w:numPr>
      <w:outlineLvl w:val="3"/>
    </w:pPr>
  </w:style>
  <w:style w:type="paragraph" w:styleId="Heading5">
    <w:name w:val="heading 5"/>
    <w:basedOn w:val="Normal"/>
    <w:next w:val="Normal"/>
    <w:qFormat/>
    <w:pPr>
      <w:keepNext/>
      <w:numPr>
        <w:ilvl w:val="4"/>
        <w:numId w:val="32"/>
      </w:numPr>
      <w:outlineLvl w:val="4"/>
    </w:pPr>
    <w:rPr>
      <w:b/>
      <w:bCs/>
    </w:rPr>
  </w:style>
  <w:style w:type="paragraph" w:styleId="Heading6">
    <w:name w:val="heading 6"/>
    <w:basedOn w:val="Normal"/>
    <w:next w:val="Normal"/>
    <w:qFormat/>
    <w:pPr>
      <w:keepNext/>
      <w:numPr>
        <w:ilvl w:val="5"/>
        <w:numId w:val="32"/>
      </w:numPr>
      <w:outlineLvl w:val="5"/>
    </w:pPr>
    <w:rPr>
      <w:b/>
      <w:bCs/>
    </w:rPr>
  </w:style>
  <w:style w:type="paragraph" w:styleId="Heading7">
    <w:name w:val="heading 7"/>
    <w:basedOn w:val="Normal"/>
    <w:next w:val="Normal"/>
    <w:qFormat/>
    <w:pPr>
      <w:keepNext/>
      <w:numPr>
        <w:ilvl w:val="6"/>
        <w:numId w:val="32"/>
      </w:numPr>
      <w:jc w:val="center"/>
      <w:outlineLvl w:val="6"/>
    </w:pPr>
    <w:rPr>
      <w:b/>
      <w:bCs/>
    </w:rPr>
  </w:style>
  <w:style w:type="paragraph" w:styleId="Heading8">
    <w:name w:val="heading 8"/>
    <w:basedOn w:val="Normal"/>
    <w:next w:val="Normal"/>
    <w:qFormat/>
    <w:pPr>
      <w:keepNext/>
      <w:numPr>
        <w:ilvl w:val="7"/>
        <w:numId w:val="32"/>
      </w:numPr>
      <w:spacing w:line="360" w:lineRule="auto"/>
      <w:jc w:val="both"/>
      <w:outlineLvl w:val="7"/>
    </w:pPr>
    <w:rPr>
      <w:b/>
      <w:bCs/>
    </w:rPr>
  </w:style>
  <w:style w:type="paragraph" w:styleId="Heading9">
    <w:name w:val="heading 9"/>
    <w:basedOn w:val="Normal"/>
    <w:next w:val="Normal"/>
    <w:qFormat/>
    <w:pPr>
      <w:keepNext/>
      <w:numPr>
        <w:ilvl w:val="8"/>
        <w:numId w:val="32"/>
      </w:numPr>
      <w:spacing w:line="360" w:lineRule="auto"/>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A2B76"/>
    <w:rPr>
      <w:rFonts w:ascii="Arial" w:hAnsi="Arial"/>
      <w:b/>
      <w:bCs/>
      <w:sz w:val="22"/>
      <w:szCs w:val="24"/>
      <w:lang w:eastAsia="es-ES"/>
    </w:rPr>
  </w:style>
  <w:style w:type="paragraph" w:styleId="BalloonText">
    <w:name w:val="Balloon Text"/>
    <w:basedOn w:val="Normal"/>
    <w:link w:val="BalloonTextChar"/>
    <w:uiPriority w:val="99"/>
    <w:unhideWhenUsed/>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BodyText">
    <w:name w:val="Body Text"/>
    <w:basedOn w:val="Normal"/>
    <w:semiHidden/>
    <w:pPr>
      <w:spacing w:line="360" w:lineRule="auto"/>
      <w:jc w:val="both"/>
    </w:pPr>
  </w:style>
  <w:style w:type="paragraph" w:styleId="BodyText2">
    <w:name w:val="Body Text 2"/>
    <w:basedOn w:val="Normal"/>
    <w:semiHidden/>
    <w:rPr>
      <w:b/>
      <w:bCs/>
      <w:sz w:val="40"/>
    </w:rPr>
  </w:style>
  <w:style w:type="paragraph" w:styleId="BodyText3">
    <w:name w:val="Body Text 3"/>
    <w:basedOn w:val="Normal"/>
    <w:semiHidden/>
    <w:pPr>
      <w:tabs>
        <w:tab w:val="left" w:pos="-720"/>
      </w:tabs>
      <w:suppressAutoHyphens/>
      <w:jc w:val="both"/>
    </w:pPr>
    <w:rPr>
      <w:b/>
      <w:spacing w:val="-3"/>
      <w:szCs w:val="20"/>
      <w:lang w:val="es-ES_tradnl"/>
    </w:rPr>
  </w:style>
  <w:style w:type="paragraph" w:styleId="BodyTextIndent">
    <w:name w:val="Body Text Indent"/>
    <w:basedOn w:val="Normal"/>
    <w:semiHidden/>
    <w:pPr>
      <w:ind w:firstLine="708"/>
      <w:jc w:val="both"/>
    </w:pPr>
    <w:rPr>
      <w:color w:val="000000"/>
      <w:szCs w:val="16"/>
    </w:rPr>
  </w:style>
  <w:style w:type="paragraph" w:styleId="BodyTextIndent2">
    <w:name w:val="Body Text Indent 2"/>
    <w:basedOn w:val="Normal"/>
    <w:semiHidden/>
    <w:pPr>
      <w:spacing w:line="360" w:lineRule="auto"/>
      <w:ind w:left="360"/>
      <w:jc w:val="both"/>
    </w:pPr>
    <w:rPr>
      <w:lang w:val="es-ES_tradnl"/>
    </w:rPr>
  </w:style>
  <w:style w:type="paragraph" w:styleId="BodyTextIndent3">
    <w:name w:val="Body Text Indent 3"/>
    <w:basedOn w:val="Normal"/>
    <w:semiHidden/>
    <w:pPr>
      <w:spacing w:line="360" w:lineRule="auto"/>
      <w:ind w:firstLine="360"/>
      <w:jc w:val="both"/>
    </w:pPr>
  </w:style>
  <w:style w:type="paragraph" w:styleId="Caption">
    <w:name w:val="caption"/>
    <w:aliases w:val="Figuras Ana"/>
    <w:basedOn w:val="Normal"/>
    <w:next w:val="Normal"/>
    <w:link w:val="CaptionChar"/>
    <w:uiPriority w:val="35"/>
    <w:qFormat/>
    <w:rsid w:val="009F45E8"/>
    <w:pPr>
      <w:spacing w:after="200"/>
      <w:ind w:firstLine="0"/>
    </w:pPr>
    <w:rPr>
      <w:b/>
      <w:color w:val="000000" w:themeColor="text1"/>
      <w:szCs w:val="18"/>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val="es-ES" w:eastAsia="es-ES"/>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b/>
      <w:bCs/>
      <w:lang w:val="es-ES" w:eastAsia="es-ES"/>
    </w:rPr>
  </w:style>
  <w:style w:type="paragraph" w:styleId="DocumentMap">
    <w:name w:val="Document Map"/>
    <w:basedOn w:val="Normal"/>
    <w:semiHidden/>
    <w:pPr>
      <w:shd w:val="clear" w:color="auto" w:fill="000080"/>
    </w:pPr>
    <w:rPr>
      <w:rFonts w:ascii="Tahoma" w:hAnsi="Tahoma" w:cs="Tahoma"/>
      <w:szCs w:val="20"/>
    </w:rPr>
  </w:style>
  <w:style w:type="character" w:styleId="Emphasis">
    <w:name w:val="Emphasis"/>
    <w:uiPriority w:val="20"/>
    <w:qFormat/>
    <w:rPr>
      <w:i/>
      <w:iCs/>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sz w:val="24"/>
      <w:szCs w:val="24"/>
    </w:r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252"/>
        <w:tab w:val="right" w:pos="8504"/>
      </w:tabs>
    </w:pPr>
  </w:style>
  <w:style w:type="character" w:customStyle="1" w:styleId="HeaderChar">
    <w:name w:val="Header Char"/>
    <w:link w:val="Header"/>
    <w:uiPriority w:val="99"/>
    <w:rPr>
      <w:sz w:val="24"/>
      <w:szCs w:val="24"/>
    </w:rPr>
  </w:style>
  <w:style w:type="character" w:styleId="Hyperlink">
    <w:name w:val="Hyperlink"/>
    <w:uiPriority w:val="99"/>
    <w:rPr>
      <w:strike w:val="0"/>
      <w:dstrike w:val="0"/>
      <w:color w:val="0000FF"/>
      <w:u w:val="none"/>
    </w:rPr>
  </w:style>
  <w:style w:type="paragraph" w:styleId="NormalWeb">
    <w:name w:val="Normal (Web)"/>
    <w:basedOn w:val="Normal"/>
    <w:uiPriority w:val="99"/>
    <w:semiHidden/>
    <w:rPr>
      <w:rFonts w:eastAsia="Arial Unicode MS" w:cs="Arial"/>
      <w:color w:val="666666"/>
      <w:sz w:val="18"/>
      <w:szCs w:val="18"/>
    </w:rPr>
  </w:style>
  <w:style w:type="character" w:styleId="PageNumber">
    <w:name w:val="page number"/>
    <w:semiHidden/>
  </w:style>
  <w:style w:type="character" w:styleId="Strong">
    <w:name w:val="Strong"/>
    <w:uiPriority w:val="22"/>
    <w:qFormat/>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qFormat/>
    <w:pPr>
      <w:tabs>
        <w:tab w:val="right" w:leader="dot" w:pos="9352"/>
      </w:tabs>
    </w:pPr>
    <w:rPr>
      <w:bCs/>
      <w:lang w:eastAsia="es-MX"/>
    </w:rPr>
  </w:style>
  <w:style w:type="paragraph" w:styleId="TOC1">
    <w:name w:val="toc 1"/>
    <w:basedOn w:val="Normal"/>
    <w:next w:val="Normal"/>
    <w:uiPriority w:val="39"/>
    <w:rsid w:val="009762EE"/>
    <w:pPr>
      <w:tabs>
        <w:tab w:val="left" w:pos="1100"/>
        <w:tab w:val="right" w:leader="dot" w:pos="9352"/>
      </w:tabs>
      <w:spacing w:before="360"/>
      <w:ind w:left="709" w:firstLine="0"/>
    </w:pPr>
    <w:rPr>
      <w:rFonts w:cs="Calibri Light"/>
      <w:bCs/>
      <w:caps/>
    </w:rPr>
  </w:style>
  <w:style w:type="paragraph" w:styleId="TOC2">
    <w:name w:val="toc 2"/>
    <w:basedOn w:val="Normal"/>
    <w:next w:val="Normal"/>
    <w:uiPriority w:val="39"/>
    <w:rsid w:val="009762EE"/>
    <w:pPr>
      <w:spacing w:before="240"/>
    </w:pPr>
    <w:rPr>
      <w:rFonts w:cs="Calibri"/>
      <w:bCs/>
      <w:szCs w:val="20"/>
    </w:rPr>
  </w:style>
  <w:style w:type="paragraph" w:styleId="TOC3">
    <w:name w:val="toc 3"/>
    <w:basedOn w:val="Normal"/>
    <w:next w:val="Normal"/>
    <w:uiPriority w:val="39"/>
    <w:pPr>
      <w:ind w:left="220"/>
    </w:pPr>
    <w:rPr>
      <w:rFonts w:cs="Calibri"/>
      <w:szCs w:val="20"/>
    </w:rPr>
  </w:style>
  <w:style w:type="paragraph" w:styleId="TOC4">
    <w:name w:val="toc 4"/>
    <w:basedOn w:val="Normal"/>
    <w:next w:val="Normal"/>
    <w:uiPriority w:val="39"/>
    <w:pPr>
      <w:ind w:left="440"/>
    </w:pPr>
    <w:rPr>
      <w:rFonts w:cs="Calibri"/>
      <w:szCs w:val="20"/>
    </w:rPr>
  </w:style>
  <w:style w:type="paragraph" w:styleId="TOC5">
    <w:name w:val="toc 5"/>
    <w:basedOn w:val="Normal"/>
    <w:next w:val="Normal"/>
    <w:uiPriority w:val="39"/>
    <w:pPr>
      <w:ind w:left="660"/>
    </w:pPr>
    <w:rPr>
      <w:rFonts w:ascii="Calibri" w:hAnsi="Calibri" w:cs="Calibri"/>
      <w:sz w:val="20"/>
      <w:szCs w:val="20"/>
    </w:rPr>
  </w:style>
  <w:style w:type="paragraph" w:styleId="TOC6">
    <w:name w:val="toc 6"/>
    <w:basedOn w:val="Normal"/>
    <w:next w:val="Normal"/>
    <w:uiPriority w:val="39"/>
    <w:pPr>
      <w:ind w:left="880"/>
    </w:pPr>
    <w:rPr>
      <w:rFonts w:ascii="Calibri" w:hAnsi="Calibri" w:cs="Calibri"/>
      <w:sz w:val="20"/>
      <w:szCs w:val="20"/>
    </w:rPr>
  </w:style>
  <w:style w:type="paragraph" w:styleId="TOC7">
    <w:name w:val="toc 7"/>
    <w:basedOn w:val="Normal"/>
    <w:next w:val="Normal"/>
    <w:uiPriority w:val="39"/>
    <w:pPr>
      <w:ind w:left="1100"/>
    </w:pPr>
    <w:rPr>
      <w:rFonts w:ascii="Calibri" w:hAnsi="Calibri" w:cs="Calibri"/>
      <w:sz w:val="20"/>
      <w:szCs w:val="20"/>
    </w:rPr>
  </w:style>
  <w:style w:type="paragraph" w:styleId="TOC8">
    <w:name w:val="toc 8"/>
    <w:basedOn w:val="Normal"/>
    <w:next w:val="Normal"/>
    <w:uiPriority w:val="39"/>
    <w:pPr>
      <w:ind w:left="1320"/>
    </w:pPr>
    <w:rPr>
      <w:rFonts w:ascii="Calibri" w:hAnsi="Calibri" w:cs="Calibri"/>
      <w:sz w:val="20"/>
      <w:szCs w:val="20"/>
    </w:rPr>
  </w:style>
  <w:style w:type="paragraph" w:styleId="TOC9">
    <w:name w:val="toc 9"/>
    <w:basedOn w:val="Normal"/>
    <w:next w:val="Normal"/>
    <w:uiPriority w:val="39"/>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Heading3"/>
    <w:pPr>
      <w:numPr>
        <w:numId w:val="1"/>
      </w:numPr>
      <w:tabs>
        <w:tab w:val="left" w:pos="2160"/>
      </w:tabs>
    </w:pPr>
  </w:style>
  <w:style w:type="paragraph" w:styleId="ListParagraph">
    <w:name w:val="List Paragraph"/>
    <w:basedOn w:val="Normal"/>
    <w:uiPriority w:val="34"/>
    <w:qFormat/>
    <w:pPr>
      <w:ind w:left="708"/>
    </w:pPr>
  </w:style>
  <w:style w:type="paragraph" w:styleId="TOCHeading">
    <w:name w:val="TOC Heading"/>
    <w:basedOn w:val="Heading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NoSpacing">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eNormal"/>
    <w:uiPriority w:val="99"/>
    <w:tblPr/>
  </w:style>
  <w:style w:type="paragraph" w:customStyle="1" w:styleId="TITULOX">
    <w:name w:val="TITULOX"/>
    <w:basedOn w:val="Heading2"/>
    <w:link w:val="TITULOXCar"/>
    <w:qFormat/>
    <w:rPr>
      <w:rFonts w:cs="Arial"/>
      <w:szCs w:val="22"/>
    </w:rPr>
  </w:style>
  <w:style w:type="character" w:customStyle="1" w:styleId="TITULOXCar">
    <w:name w:val="TITULOX Car"/>
    <w:link w:val="TITULOX"/>
    <w:rPr>
      <w:rFonts w:ascii="Arial" w:hAnsi="Arial" w:cs="Arial"/>
      <w:b/>
      <w:bCs/>
      <w:sz w:val="22"/>
      <w:szCs w:val="22"/>
      <w:lang w:eastAsia="es-ES"/>
    </w:rPr>
  </w:style>
  <w:style w:type="table" w:customStyle="1" w:styleId="Tablaconcuadrcula1">
    <w:name w:val="Tabla con cuadrícula1"/>
    <w:basedOn w:val="Table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unhideWhenUsed/>
    <w:rPr>
      <w:color w:val="605E5C"/>
      <w:shd w:val="clear" w:color="auto" w:fill="E1DFDD"/>
    </w:rPr>
  </w:style>
  <w:style w:type="table" w:customStyle="1" w:styleId="Tablaconcuadrcula2">
    <w:name w:val="Tabla con cuadrícula2"/>
    <w:basedOn w:val="Table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AA1741"/>
    <w:rPr>
      <w:rFonts w:ascii="Arial" w:hAnsi="Arial"/>
      <w:sz w:val="22"/>
      <w:szCs w:val="24"/>
      <w:lang w:val="es-ES" w:eastAsia="es-ES"/>
    </w:rPr>
  </w:style>
  <w:style w:type="character" w:customStyle="1" w:styleId="apple-converted-space">
    <w:name w:val="apple-converted-space"/>
    <w:basedOn w:val="DefaultParagraphFont"/>
    <w:rsid w:val="0067366F"/>
  </w:style>
  <w:style w:type="character" w:customStyle="1" w:styleId="uv3um">
    <w:name w:val="uv3um"/>
    <w:basedOn w:val="DefaultParagraphFont"/>
    <w:rsid w:val="0067366F"/>
  </w:style>
  <w:style w:type="paragraph" w:styleId="IntenseQuote">
    <w:name w:val="Intense Quote"/>
    <w:basedOn w:val="Normal"/>
    <w:next w:val="Normal"/>
    <w:link w:val="IntenseQuoteChar"/>
    <w:uiPriority w:val="30"/>
    <w:qFormat/>
    <w:rsid w:val="00146A31"/>
    <w:pPr>
      <w:pBdr>
        <w:bottom w:val="single" w:sz="4" w:space="4" w:color="4F81BD"/>
      </w:pBdr>
      <w:spacing w:before="200" w:after="280" w:line="276" w:lineRule="auto"/>
      <w:ind w:left="936" w:right="936" w:firstLine="0"/>
    </w:pPr>
    <w:rPr>
      <w:rFonts w:ascii="Cambria" w:eastAsia="MS Mincho" w:hAnsi="Cambria"/>
      <w:b/>
      <w:bCs/>
      <w:i/>
      <w:iCs/>
      <w:color w:val="4F81BD"/>
      <w:szCs w:val="22"/>
      <w:lang w:val="en-US" w:eastAsia="en-US"/>
    </w:rPr>
  </w:style>
  <w:style w:type="character" w:customStyle="1" w:styleId="IntenseQuoteChar">
    <w:name w:val="Intense Quote Char"/>
    <w:basedOn w:val="DefaultParagraphFont"/>
    <w:link w:val="IntenseQuote"/>
    <w:uiPriority w:val="30"/>
    <w:rsid w:val="00146A31"/>
    <w:rPr>
      <w:rFonts w:ascii="Cambria" w:eastAsia="MS Mincho" w:hAnsi="Cambria"/>
      <w:b/>
      <w:bCs/>
      <w:i/>
      <w:iCs/>
      <w:color w:val="4F81BD"/>
      <w:sz w:val="22"/>
      <w:szCs w:val="22"/>
      <w:lang w:val="en-US" w:eastAsia="en-US"/>
    </w:rPr>
  </w:style>
  <w:style w:type="paragraph" w:customStyle="1" w:styleId="Figuras">
    <w:name w:val="Figuras"/>
    <w:basedOn w:val="Caption"/>
    <w:link w:val="FigurasChar"/>
    <w:rsid w:val="00A577A0"/>
    <w:rPr>
      <w:bCs/>
    </w:rPr>
  </w:style>
  <w:style w:type="character" w:customStyle="1" w:styleId="CaptionChar">
    <w:name w:val="Caption Char"/>
    <w:aliases w:val="Figuras Ana Char"/>
    <w:basedOn w:val="DefaultParagraphFont"/>
    <w:link w:val="Caption"/>
    <w:uiPriority w:val="35"/>
    <w:rsid w:val="009F45E8"/>
    <w:rPr>
      <w:rFonts w:ascii="Arial" w:hAnsi="Arial"/>
      <w:b/>
      <w:color w:val="000000" w:themeColor="text1"/>
      <w:sz w:val="22"/>
      <w:szCs w:val="18"/>
      <w:lang w:val="es-ES" w:eastAsia="es-ES"/>
    </w:rPr>
  </w:style>
  <w:style w:type="character" w:customStyle="1" w:styleId="FigurasChar">
    <w:name w:val="Figuras Char"/>
    <w:basedOn w:val="CaptionChar"/>
    <w:link w:val="Figuras"/>
    <w:rsid w:val="00A577A0"/>
    <w:rPr>
      <w:rFonts w:ascii="Arial" w:hAnsi="Arial"/>
      <w:b/>
      <w:bCs/>
      <w:color w:val="000000" w:themeColor="text1"/>
      <w:sz w:val="22"/>
      <w:szCs w:val="18"/>
      <w:lang w:val="es-ES" w:eastAsia="es-ES"/>
    </w:rPr>
  </w:style>
  <w:style w:type="character" w:customStyle="1" w:styleId="Heading1Char">
    <w:name w:val="Heading 1 Char"/>
    <w:basedOn w:val="DefaultParagraphFont"/>
    <w:link w:val="Heading1"/>
    <w:rsid w:val="002965B7"/>
    <w:rPr>
      <w:rFonts w:ascii="Arial" w:hAnsi="Arial"/>
      <w:b/>
      <w:bCs/>
      <w:sz w:val="22"/>
      <w:szCs w:val="24"/>
      <w:lang w:eastAsia="es-ES"/>
    </w:rPr>
  </w:style>
  <w:style w:type="table" w:styleId="PlainTable2">
    <w:name w:val="Plain Table 2"/>
    <w:basedOn w:val="TableNormal"/>
    <w:uiPriority w:val="42"/>
    <w:rsid w:val="002965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E83114"/>
    <w:pPr>
      <w:spacing w:before="100" w:beforeAutospacing="1" w:after="100" w:afterAutospacing="1" w:line="240" w:lineRule="auto"/>
      <w:ind w:firstLine="0"/>
    </w:pPr>
    <w:rPr>
      <w:rFonts w:ascii="Times New Roman" w:hAnsi="Times New Roman"/>
      <w:sz w:val="24"/>
      <w:lang w:val="en-US" w:eastAsia="en-US"/>
    </w:rPr>
  </w:style>
  <w:style w:type="character" w:customStyle="1" w:styleId="normaltextrun">
    <w:name w:val="normaltextrun"/>
    <w:basedOn w:val="DefaultParagraphFont"/>
    <w:rsid w:val="00E83114"/>
  </w:style>
  <w:style w:type="character" w:customStyle="1" w:styleId="eop">
    <w:name w:val="eop"/>
    <w:basedOn w:val="DefaultParagraphFont"/>
    <w:rsid w:val="00E83114"/>
  </w:style>
  <w:style w:type="character" w:customStyle="1" w:styleId="tabchar">
    <w:name w:val="tabchar"/>
    <w:basedOn w:val="DefaultParagraphFont"/>
    <w:rsid w:val="00E83114"/>
  </w:style>
  <w:style w:type="paragraph" w:styleId="ListNumber">
    <w:name w:val="List Number"/>
    <w:basedOn w:val="Normal"/>
    <w:uiPriority w:val="99"/>
    <w:unhideWhenUsed/>
    <w:rsid w:val="00135F3F"/>
    <w:pPr>
      <w:numPr>
        <w:numId w:val="56"/>
      </w:numPr>
      <w:tabs>
        <w:tab w:val="clear" w:pos="360"/>
      </w:tabs>
      <w:spacing w:after="200" w:line="276" w:lineRule="auto"/>
      <w:ind w:left="0" w:firstLine="0"/>
      <w:contextualSpacing/>
    </w:pPr>
    <w:rPr>
      <w:rFonts w:asciiTheme="minorHAnsi" w:eastAsiaTheme="minorEastAsia" w:hAnsiTheme="minorHAnsi" w:cstheme="minorBidi"/>
      <w:szCs w:val="22"/>
      <w:lang w:val="en-US" w:eastAsia="en-US"/>
    </w:rPr>
  </w:style>
  <w:style w:type="table" w:styleId="ListTable3">
    <w:name w:val="List Table 3"/>
    <w:basedOn w:val="TableNormal"/>
    <w:uiPriority w:val="48"/>
    <w:rsid w:val="005D5CB7"/>
    <w:rPr>
      <w:rFonts w:asciiTheme="minorHAnsi" w:eastAsiaTheme="minorEastAsia" w:hAnsiTheme="minorHAnsi" w:cstheme="minorBidi"/>
      <w:sz w:val="22"/>
      <w:szCs w:val="22"/>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ghtList">
    <w:name w:val="Light List"/>
    <w:basedOn w:val="TableNormal"/>
    <w:uiPriority w:val="61"/>
    <w:rsid w:val="00C2306E"/>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dTable1Light">
    <w:name w:val="Grid Table 1 Light"/>
    <w:basedOn w:val="TableNormal"/>
    <w:uiPriority w:val="46"/>
    <w:rsid w:val="003945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535EE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
    <w:name w:val="Grid Table 2"/>
    <w:basedOn w:val="TableNormal"/>
    <w:uiPriority w:val="47"/>
    <w:rsid w:val="00535EE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535EE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535EE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535EE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2">
      <w:bodyDiv w:val="1"/>
      <w:marLeft w:val="0"/>
      <w:marRight w:val="0"/>
      <w:marTop w:val="0"/>
      <w:marBottom w:val="0"/>
      <w:divBdr>
        <w:top w:val="none" w:sz="0" w:space="0" w:color="auto"/>
        <w:left w:val="none" w:sz="0" w:space="0" w:color="auto"/>
        <w:bottom w:val="none" w:sz="0" w:space="0" w:color="auto"/>
        <w:right w:val="none" w:sz="0" w:space="0" w:color="auto"/>
      </w:divBdr>
    </w:div>
    <w:div w:id="5597034">
      <w:bodyDiv w:val="1"/>
      <w:marLeft w:val="0"/>
      <w:marRight w:val="0"/>
      <w:marTop w:val="0"/>
      <w:marBottom w:val="0"/>
      <w:divBdr>
        <w:top w:val="none" w:sz="0" w:space="0" w:color="auto"/>
        <w:left w:val="none" w:sz="0" w:space="0" w:color="auto"/>
        <w:bottom w:val="none" w:sz="0" w:space="0" w:color="auto"/>
        <w:right w:val="none" w:sz="0" w:space="0" w:color="auto"/>
      </w:divBdr>
    </w:div>
    <w:div w:id="13846268">
      <w:bodyDiv w:val="1"/>
      <w:marLeft w:val="0"/>
      <w:marRight w:val="0"/>
      <w:marTop w:val="0"/>
      <w:marBottom w:val="0"/>
      <w:divBdr>
        <w:top w:val="none" w:sz="0" w:space="0" w:color="auto"/>
        <w:left w:val="none" w:sz="0" w:space="0" w:color="auto"/>
        <w:bottom w:val="none" w:sz="0" w:space="0" w:color="auto"/>
        <w:right w:val="none" w:sz="0" w:space="0" w:color="auto"/>
      </w:divBdr>
    </w:div>
    <w:div w:id="21323996">
      <w:bodyDiv w:val="1"/>
      <w:marLeft w:val="0"/>
      <w:marRight w:val="0"/>
      <w:marTop w:val="0"/>
      <w:marBottom w:val="0"/>
      <w:divBdr>
        <w:top w:val="none" w:sz="0" w:space="0" w:color="auto"/>
        <w:left w:val="none" w:sz="0" w:space="0" w:color="auto"/>
        <w:bottom w:val="none" w:sz="0" w:space="0" w:color="auto"/>
        <w:right w:val="none" w:sz="0" w:space="0" w:color="auto"/>
      </w:divBdr>
      <w:divsChild>
        <w:div w:id="1334064462">
          <w:marLeft w:val="0"/>
          <w:marRight w:val="0"/>
          <w:marTop w:val="0"/>
          <w:marBottom w:val="0"/>
          <w:divBdr>
            <w:top w:val="none" w:sz="0" w:space="0" w:color="auto"/>
            <w:left w:val="none" w:sz="0" w:space="0" w:color="auto"/>
            <w:bottom w:val="none" w:sz="0" w:space="0" w:color="auto"/>
            <w:right w:val="none" w:sz="0" w:space="0" w:color="auto"/>
          </w:divBdr>
          <w:divsChild>
            <w:div w:id="863859959">
              <w:marLeft w:val="0"/>
              <w:marRight w:val="0"/>
              <w:marTop w:val="0"/>
              <w:marBottom w:val="0"/>
              <w:divBdr>
                <w:top w:val="none" w:sz="0" w:space="0" w:color="auto"/>
                <w:left w:val="none" w:sz="0" w:space="0" w:color="auto"/>
                <w:bottom w:val="none" w:sz="0" w:space="0" w:color="auto"/>
                <w:right w:val="none" w:sz="0" w:space="0" w:color="auto"/>
              </w:divBdr>
              <w:divsChild>
                <w:div w:id="334889575">
                  <w:marLeft w:val="0"/>
                  <w:marRight w:val="0"/>
                  <w:marTop w:val="0"/>
                  <w:marBottom w:val="0"/>
                  <w:divBdr>
                    <w:top w:val="none" w:sz="0" w:space="0" w:color="auto"/>
                    <w:left w:val="none" w:sz="0" w:space="0" w:color="auto"/>
                    <w:bottom w:val="none" w:sz="0" w:space="0" w:color="auto"/>
                    <w:right w:val="none" w:sz="0" w:space="0" w:color="auto"/>
                  </w:divBdr>
                  <w:divsChild>
                    <w:div w:id="1817799494">
                      <w:marLeft w:val="0"/>
                      <w:marRight w:val="0"/>
                      <w:marTop w:val="0"/>
                      <w:marBottom w:val="0"/>
                      <w:divBdr>
                        <w:top w:val="none" w:sz="0" w:space="0" w:color="auto"/>
                        <w:left w:val="none" w:sz="0" w:space="0" w:color="auto"/>
                        <w:bottom w:val="none" w:sz="0" w:space="0" w:color="auto"/>
                        <w:right w:val="none" w:sz="0" w:space="0" w:color="auto"/>
                      </w:divBdr>
                      <w:divsChild>
                        <w:div w:id="1167861035">
                          <w:marLeft w:val="0"/>
                          <w:marRight w:val="0"/>
                          <w:marTop w:val="0"/>
                          <w:marBottom w:val="0"/>
                          <w:divBdr>
                            <w:top w:val="none" w:sz="0" w:space="0" w:color="auto"/>
                            <w:left w:val="none" w:sz="0" w:space="0" w:color="auto"/>
                            <w:bottom w:val="none" w:sz="0" w:space="0" w:color="auto"/>
                            <w:right w:val="none" w:sz="0" w:space="0" w:color="auto"/>
                          </w:divBdr>
                          <w:divsChild>
                            <w:div w:id="136794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33004">
      <w:bodyDiv w:val="1"/>
      <w:marLeft w:val="0"/>
      <w:marRight w:val="0"/>
      <w:marTop w:val="0"/>
      <w:marBottom w:val="0"/>
      <w:divBdr>
        <w:top w:val="none" w:sz="0" w:space="0" w:color="auto"/>
        <w:left w:val="none" w:sz="0" w:space="0" w:color="auto"/>
        <w:bottom w:val="none" w:sz="0" w:space="0" w:color="auto"/>
        <w:right w:val="none" w:sz="0" w:space="0" w:color="auto"/>
      </w:divBdr>
    </w:div>
    <w:div w:id="80876728">
      <w:bodyDiv w:val="1"/>
      <w:marLeft w:val="0"/>
      <w:marRight w:val="0"/>
      <w:marTop w:val="0"/>
      <w:marBottom w:val="0"/>
      <w:divBdr>
        <w:top w:val="none" w:sz="0" w:space="0" w:color="auto"/>
        <w:left w:val="none" w:sz="0" w:space="0" w:color="auto"/>
        <w:bottom w:val="none" w:sz="0" w:space="0" w:color="auto"/>
        <w:right w:val="none" w:sz="0" w:space="0" w:color="auto"/>
      </w:divBdr>
    </w:div>
    <w:div w:id="87895362">
      <w:bodyDiv w:val="1"/>
      <w:marLeft w:val="0"/>
      <w:marRight w:val="0"/>
      <w:marTop w:val="0"/>
      <w:marBottom w:val="0"/>
      <w:divBdr>
        <w:top w:val="none" w:sz="0" w:space="0" w:color="auto"/>
        <w:left w:val="none" w:sz="0" w:space="0" w:color="auto"/>
        <w:bottom w:val="none" w:sz="0" w:space="0" w:color="auto"/>
        <w:right w:val="none" w:sz="0" w:space="0" w:color="auto"/>
      </w:divBdr>
    </w:div>
    <w:div w:id="119419002">
      <w:bodyDiv w:val="1"/>
      <w:marLeft w:val="0"/>
      <w:marRight w:val="0"/>
      <w:marTop w:val="0"/>
      <w:marBottom w:val="0"/>
      <w:divBdr>
        <w:top w:val="none" w:sz="0" w:space="0" w:color="auto"/>
        <w:left w:val="none" w:sz="0" w:space="0" w:color="auto"/>
        <w:bottom w:val="none" w:sz="0" w:space="0" w:color="auto"/>
        <w:right w:val="none" w:sz="0" w:space="0" w:color="auto"/>
      </w:divBdr>
    </w:div>
    <w:div w:id="142938927">
      <w:bodyDiv w:val="1"/>
      <w:marLeft w:val="0"/>
      <w:marRight w:val="0"/>
      <w:marTop w:val="0"/>
      <w:marBottom w:val="0"/>
      <w:divBdr>
        <w:top w:val="none" w:sz="0" w:space="0" w:color="auto"/>
        <w:left w:val="none" w:sz="0" w:space="0" w:color="auto"/>
        <w:bottom w:val="none" w:sz="0" w:space="0" w:color="auto"/>
        <w:right w:val="none" w:sz="0" w:space="0" w:color="auto"/>
      </w:divBdr>
    </w:div>
    <w:div w:id="146823873">
      <w:bodyDiv w:val="1"/>
      <w:marLeft w:val="0"/>
      <w:marRight w:val="0"/>
      <w:marTop w:val="0"/>
      <w:marBottom w:val="0"/>
      <w:divBdr>
        <w:top w:val="none" w:sz="0" w:space="0" w:color="auto"/>
        <w:left w:val="none" w:sz="0" w:space="0" w:color="auto"/>
        <w:bottom w:val="none" w:sz="0" w:space="0" w:color="auto"/>
        <w:right w:val="none" w:sz="0" w:space="0" w:color="auto"/>
      </w:divBdr>
    </w:div>
    <w:div w:id="152914633">
      <w:bodyDiv w:val="1"/>
      <w:marLeft w:val="0"/>
      <w:marRight w:val="0"/>
      <w:marTop w:val="0"/>
      <w:marBottom w:val="0"/>
      <w:divBdr>
        <w:top w:val="none" w:sz="0" w:space="0" w:color="auto"/>
        <w:left w:val="none" w:sz="0" w:space="0" w:color="auto"/>
        <w:bottom w:val="none" w:sz="0" w:space="0" w:color="auto"/>
        <w:right w:val="none" w:sz="0" w:space="0" w:color="auto"/>
      </w:divBdr>
    </w:div>
    <w:div w:id="187985686">
      <w:bodyDiv w:val="1"/>
      <w:marLeft w:val="0"/>
      <w:marRight w:val="0"/>
      <w:marTop w:val="0"/>
      <w:marBottom w:val="0"/>
      <w:divBdr>
        <w:top w:val="none" w:sz="0" w:space="0" w:color="auto"/>
        <w:left w:val="none" w:sz="0" w:space="0" w:color="auto"/>
        <w:bottom w:val="none" w:sz="0" w:space="0" w:color="auto"/>
        <w:right w:val="none" w:sz="0" w:space="0" w:color="auto"/>
      </w:divBdr>
    </w:div>
    <w:div w:id="206332832">
      <w:bodyDiv w:val="1"/>
      <w:marLeft w:val="0"/>
      <w:marRight w:val="0"/>
      <w:marTop w:val="0"/>
      <w:marBottom w:val="0"/>
      <w:divBdr>
        <w:top w:val="none" w:sz="0" w:space="0" w:color="auto"/>
        <w:left w:val="none" w:sz="0" w:space="0" w:color="auto"/>
        <w:bottom w:val="none" w:sz="0" w:space="0" w:color="auto"/>
        <w:right w:val="none" w:sz="0" w:space="0" w:color="auto"/>
      </w:divBdr>
    </w:div>
    <w:div w:id="219823902">
      <w:bodyDiv w:val="1"/>
      <w:marLeft w:val="0"/>
      <w:marRight w:val="0"/>
      <w:marTop w:val="0"/>
      <w:marBottom w:val="0"/>
      <w:divBdr>
        <w:top w:val="none" w:sz="0" w:space="0" w:color="auto"/>
        <w:left w:val="none" w:sz="0" w:space="0" w:color="auto"/>
        <w:bottom w:val="none" w:sz="0" w:space="0" w:color="auto"/>
        <w:right w:val="none" w:sz="0" w:space="0" w:color="auto"/>
      </w:divBdr>
    </w:div>
    <w:div w:id="243800070">
      <w:bodyDiv w:val="1"/>
      <w:marLeft w:val="0"/>
      <w:marRight w:val="0"/>
      <w:marTop w:val="0"/>
      <w:marBottom w:val="0"/>
      <w:divBdr>
        <w:top w:val="none" w:sz="0" w:space="0" w:color="auto"/>
        <w:left w:val="none" w:sz="0" w:space="0" w:color="auto"/>
        <w:bottom w:val="none" w:sz="0" w:space="0" w:color="auto"/>
        <w:right w:val="none" w:sz="0" w:space="0" w:color="auto"/>
      </w:divBdr>
    </w:div>
    <w:div w:id="246883384">
      <w:bodyDiv w:val="1"/>
      <w:marLeft w:val="0"/>
      <w:marRight w:val="0"/>
      <w:marTop w:val="0"/>
      <w:marBottom w:val="0"/>
      <w:divBdr>
        <w:top w:val="none" w:sz="0" w:space="0" w:color="auto"/>
        <w:left w:val="none" w:sz="0" w:space="0" w:color="auto"/>
        <w:bottom w:val="none" w:sz="0" w:space="0" w:color="auto"/>
        <w:right w:val="none" w:sz="0" w:space="0" w:color="auto"/>
      </w:divBdr>
    </w:div>
    <w:div w:id="260644634">
      <w:bodyDiv w:val="1"/>
      <w:marLeft w:val="0"/>
      <w:marRight w:val="0"/>
      <w:marTop w:val="0"/>
      <w:marBottom w:val="0"/>
      <w:divBdr>
        <w:top w:val="none" w:sz="0" w:space="0" w:color="auto"/>
        <w:left w:val="none" w:sz="0" w:space="0" w:color="auto"/>
        <w:bottom w:val="none" w:sz="0" w:space="0" w:color="auto"/>
        <w:right w:val="none" w:sz="0" w:space="0" w:color="auto"/>
      </w:divBdr>
    </w:div>
    <w:div w:id="261453374">
      <w:bodyDiv w:val="1"/>
      <w:marLeft w:val="0"/>
      <w:marRight w:val="0"/>
      <w:marTop w:val="0"/>
      <w:marBottom w:val="0"/>
      <w:divBdr>
        <w:top w:val="none" w:sz="0" w:space="0" w:color="auto"/>
        <w:left w:val="none" w:sz="0" w:space="0" w:color="auto"/>
        <w:bottom w:val="none" w:sz="0" w:space="0" w:color="auto"/>
        <w:right w:val="none" w:sz="0" w:space="0" w:color="auto"/>
      </w:divBdr>
    </w:div>
    <w:div w:id="273709428">
      <w:bodyDiv w:val="1"/>
      <w:marLeft w:val="0"/>
      <w:marRight w:val="0"/>
      <w:marTop w:val="0"/>
      <w:marBottom w:val="0"/>
      <w:divBdr>
        <w:top w:val="none" w:sz="0" w:space="0" w:color="auto"/>
        <w:left w:val="none" w:sz="0" w:space="0" w:color="auto"/>
        <w:bottom w:val="none" w:sz="0" w:space="0" w:color="auto"/>
        <w:right w:val="none" w:sz="0" w:space="0" w:color="auto"/>
      </w:divBdr>
    </w:div>
    <w:div w:id="284238970">
      <w:bodyDiv w:val="1"/>
      <w:marLeft w:val="0"/>
      <w:marRight w:val="0"/>
      <w:marTop w:val="0"/>
      <w:marBottom w:val="0"/>
      <w:divBdr>
        <w:top w:val="none" w:sz="0" w:space="0" w:color="auto"/>
        <w:left w:val="none" w:sz="0" w:space="0" w:color="auto"/>
        <w:bottom w:val="none" w:sz="0" w:space="0" w:color="auto"/>
        <w:right w:val="none" w:sz="0" w:space="0" w:color="auto"/>
      </w:divBdr>
    </w:div>
    <w:div w:id="287511827">
      <w:bodyDiv w:val="1"/>
      <w:marLeft w:val="0"/>
      <w:marRight w:val="0"/>
      <w:marTop w:val="0"/>
      <w:marBottom w:val="0"/>
      <w:divBdr>
        <w:top w:val="none" w:sz="0" w:space="0" w:color="auto"/>
        <w:left w:val="none" w:sz="0" w:space="0" w:color="auto"/>
        <w:bottom w:val="none" w:sz="0" w:space="0" w:color="auto"/>
        <w:right w:val="none" w:sz="0" w:space="0" w:color="auto"/>
      </w:divBdr>
    </w:div>
    <w:div w:id="296187728">
      <w:bodyDiv w:val="1"/>
      <w:marLeft w:val="0"/>
      <w:marRight w:val="0"/>
      <w:marTop w:val="0"/>
      <w:marBottom w:val="0"/>
      <w:divBdr>
        <w:top w:val="none" w:sz="0" w:space="0" w:color="auto"/>
        <w:left w:val="none" w:sz="0" w:space="0" w:color="auto"/>
        <w:bottom w:val="none" w:sz="0" w:space="0" w:color="auto"/>
        <w:right w:val="none" w:sz="0" w:space="0" w:color="auto"/>
      </w:divBdr>
    </w:div>
    <w:div w:id="328868672">
      <w:bodyDiv w:val="1"/>
      <w:marLeft w:val="0"/>
      <w:marRight w:val="0"/>
      <w:marTop w:val="0"/>
      <w:marBottom w:val="0"/>
      <w:divBdr>
        <w:top w:val="none" w:sz="0" w:space="0" w:color="auto"/>
        <w:left w:val="none" w:sz="0" w:space="0" w:color="auto"/>
        <w:bottom w:val="none" w:sz="0" w:space="0" w:color="auto"/>
        <w:right w:val="none" w:sz="0" w:space="0" w:color="auto"/>
      </w:divBdr>
    </w:div>
    <w:div w:id="330721733">
      <w:bodyDiv w:val="1"/>
      <w:marLeft w:val="0"/>
      <w:marRight w:val="0"/>
      <w:marTop w:val="0"/>
      <w:marBottom w:val="0"/>
      <w:divBdr>
        <w:top w:val="none" w:sz="0" w:space="0" w:color="auto"/>
        <w:left w:val="none" w:sz="0" w:space="0" w:color="auto"/>
        <w:bottom w:val="none" w:sz="0" w:space="0" w:color="auto"/>
        <w:right w:val="none" w:sz="0" w:space="0" w:color="auto"/>
      </w:divBdr>
    </w:div>
    <w:div w:id="342123878">
      <w:bodyDiv w:val="1"/>
      <w:marLeft w:val="0"/>
      <w:marRight w:val="0"/>
      <w:marTop w:val="0"/>
      <w:marBottom w:val="0"/>
      <w:divBdr>
        <w:top w:val="none" w:sz="0" w:space="0" w:color="auto"/>
        <w:left w:val="none" w:sz="0" w:space="0" w:color="auto"/>
        <w:bottom w:val="none" w:sz="0" w:space="0" w:color="auto"/>
        <w:right w:val="none" w:sz="0" w:space="0" w:color="auto"/>
      </w:divBdr>
    </w:div>
    <w:div w:id="358358305">
      <w:bodyDiv w:val="1"/>
      <w:marLeft w:val="0"/>
      <w:marRight w:val="0"/>
      <w:marTop w:val="0"/>
      <w:marBottom w:val="0"/>
      <w:divBdr>
        <w:top w:val="none" w:sz="0" w:space="0" w:color="auto"/>
        <w:left w:val="none" w:sz="0" w:space="0" w:color="auto"/>
        <w:bottom w:val="none" w:sz="0" w:space="0" w:color="auto"/>
        <w:right w:val="none" w:sz="0" w:space="0" w:color="auto"/>
      </w:divBdr>
    </w:div>
    <w:div w:id="384648391">
      <w:bodyDiv w:val="1"/>
      <w:marLeft w:val="0"/>
      <w:marRight w:val="0"/>
      <w:marTop w:val="0"/>
      <w:marBottom w:val="0"/>
      <w:divBdr>
        <w:top w:val="none" w:sz="0" w:space="0" w:color="auto"/>
        <w:left w:val="none" w:sz="0" w:space="0" w:color="auto"/>
        <w:bottom w:val="none" w:sz="0" w:space="0" w:color="auto"/>
        <w:right w:val="none" w:sz="0" w:space="0" w:color="auto"/>
      </w:divBdr>
    </w:div>
    <w:div w:id="385879932">
      <w:bodyDiv w:val="1"/>
      <w:marLeft w:val="0"/>
      <w:marRight w:val="0"/>
      <w:marTop w:val="0"/>
      <w:marBottom w:val="0"/>
      <w:divBdr>
        <w:top w:val="none" w:sz="0" w:space="0" w:color="auto"/>
        <w:left w:val="none" w:sz="0" w:space="0" w:color="auto"/>
        <w:bottom w:val="none" w:sz="0" w:space="0" w:color="auto"/>
        <w:right w:val="none" w:sz="0" w:space="0" w:color="auto"/>
      </w:divBdr>
    </w:div>
    <w:div w:id="405690331">
      <w:bodyDiv w:val="1"/>
      <w:marLeft w:val="0"/>
      <w:marRight w:val="0"/>
      <w:marTop w:val="0"/>
      <w:marBottom w:val="0"/>
      <w:divBdr>
        <w:top w:val="none" w:sz="0" w:space="0" w:color="auto"/>
        <w:left w:val="none" w:sz="0" w:space="0" w:color="auto"/>
        <w:bottom w:val="none" w:sz="0" w:space="0" w:color="auto"/>
        <w:right w:val="none" w:sz="0" w:space="0" w:color="auto"/>
      </w:divBdr>
    </w:div>
    <w:div w:id="408505700">
      <w:bodyDiv w:val="1"/>
      <w:marLeft w:val="0"/>
      <w:marRight w:val="0"/>
      <w:marTop w:val="0"/>
      <w:marBottom w:val="0"/>
      <w:divBdr>
        <w:top w:val="none" w:sz="0" w:space="0" w:color="auto"/>
        <w:left w:val="none" w:sz="0" w:space="0" w:color="auto"/>
        <w:bottom w:val="none" w:sz="0" w:space="0" w:color="auto"/>
        <w:right w:val="none" w:sz="0" w:space="0" w:color="auto"/>
      </w:divBdr>
    </w:div>
    <w:div w:id="410859216">
      <w:bodyDiv w:val="1"/>
      <w:marLeft w:val="0"/>
      <w:marRight w:val="0"/>
      <w:marTop w:val="0"/>
      <w:marBottom w:val="0"/>
      <w:divBdr>
        <w:top w:val="none" w:sz="0" w:space="0" w:color="auto"/>
        <w:left w:val="none" w:sz="0" w:space="0" w:color="auto"/>
        <w:bottom w:val="none" w:sz="0" w:space="0" w:color="auto"/>
        <w:right w:val="none" w:sz="0" w:space="0" w:color="auto"/>
      </w:divBdr>
    </w:div>
    <w:div w:id="430122771">
      <w:bodyDiv w:val="1"/>
      <w:marLeft w:val="0"/>
      <w:marRight w:val="0"/>
      <w:marTop w:val="0"/>
      <w:marBottom w:val="0"/>
      <w:divBdr>
        <w:top w:val="none" w:sz="0" w:space="0" w:color="auto"/>
        <w:left w:val="none" w:sz="0" w:space="0" w:color="auto"/>
        <w:bottom w:val="none" w:sz="0" w:space="0" w:color="auto"/>
        <w:right w:val="none" w:sz="0" w:space="0" w:color="auto"/>
      </w:divBdr>
    </w:div>
    <w:div w:id="441730316">
      <w:bodyDiv w:val="1"/>
      <w:marLeft w:val="0"/>
      <w:marRight w:val="0"/>
      <w:marTop w:val="0"/>
      <w:marBottom w:val="0"/>
      <w:divBdr>
        <w:top w:val="none" w:sz="0" w:space="0" w:color="auto"/>
        <w:left w:val="none" w:sz="0" w:space="0" w:color="auto"/>
        <w:bottom w:val="none" w:sz="0" w:space="0" w:color="auto"/>
        <w:right w:val="none" w:sz="0" w:space="0" w:color="auto"/>
      </w:divBdr>
    </w:div>
    <w:div w:id="452556836">
      <w:bodyDiv w:val="1"/>
      <w:marLeft w:val="0"/>
      <w:marRight w:val="0"/>
      <w:marTop w:val="0"/>
      <w:marBottom w:val="0"/>
      <w:divBdr>
        <w:top w:val="none" w:sz="0" w:space="0" w:color="auto"/>
        <w:left w:val="none" w:sz="0" w:space="0" w:color="auto"/>
        <w:bottom w:val="none" w:sz="0" w:space="0" w:color="auto"/>
        <w:right w:val="none" w:sz="0" w:space="0" w:color="auto"/>
      </w:divBdr>
    </w:div>
    <w:div w:id="465394630">
      <w:bodyDiv w:val="1"/>
      <w:marLeft w:val="0"/>
      <w:marRight w:val="0"/>
      <w:marTop w:val="0"/>
      <w:marBottom w:val="0"/>
      <w:divBdr>
        <w:top w:val="none" w:sz="0" w:space="0" w:color="auto"/>
        <w:left w:val="none" w:sz="0" w:space="0" w:color="auto"/>
        <w:bottom w:val="none" w:sz="0" w:space="0" w:color="auto"/>
        <w:right w:val="none" w:sz="0" w:space="0" w:color="auto"/>
      </w:divBdr>
    </w:div>
    <w:div w:id="476798571">
      <w:bodyDiv w:val="1"/>
      <w:marLeft w:val="0"/>
      <w:marRight w:val="0"/>
      <w:marTop w:val="0"/>
      <w:marBottom w:val="0"/>
      <w:divBdr>
        <w:top w:val="none" w:sz="0" w:space="0" w:color="auto"/>
        <w:left w:val="none" w:sz="0" w:space="0" w:color="auto"/>
        <w:bottom w:val="none" w:sz="0" w:space="0" w:color="auto"/>
        <w:right w:val="none" w:sz="0" w:space="0" w:color="auto"/>
      </w:divBdr>
    </w:div>
    <w:div w:id="483275728">
      <w:bodyDiv w:val="1"/>
      <w:marLeft w:val="0"/>
      <w:marRight w:val="0"/>
      <w:marTop w:val="0"/>
      <w:marBottom w:val="0"/>
      <w:divBdr>
        <w:top w:val="none" w:sz="0" w:space="0" w:color="auto"/>
        <w:left w:val="none" w:sz="0" w:space="0" w:color="auto"/>
        <w:bottom w:val="none" w:sz="0" w:space="0" w:color="auto"/>
        <w:right w:val="none" w:sz="0" w:space="0" w:color="auto"/>
      </w:divBdr>
    </w:div>
    <w:div w:id="484784175">
      <w:bodyDiv w:val="1"/>
      <w:marLeft w:val="0"/>
      <w:marRight w:val="0"/>
      <w:marTop w:val="0"/>
      <w:marBottom w:val="0"/>
      <w:divBdr>
        <w:top w:val="none" w:sz="0" w:space="0" w:color="auto"/>
        <w:left w:val="none" w:sz="0" w:space="0" w:color="auto"/>
        <w:bottom w:val="none" w:sz="0" w:space="0" w:color="auto"/>
        <w:right w:val="none" w:sz="0" w:space="0" w:color="auto"/>
      </w:divBdr>
    </w:div>
    <w:div w:id="487481413">
      <w:bodyDiv w:val="1"/>
      <w:marLeft w:val="0"/>
      <w:marRight w:val="0"/>
      <w:marTop w:val="0"/>
      <w:marBottom w:val="0"/>
      <w:divBdr>
        <w:top w:val="none" w:sz="0" w:space="0" w:color="auto"/>
        <w:left w:val="none" w:sz="0" w:space="0" w:color="auto"/>
        <w:bottom w:val="none" w:sz="0" w:space="0" w:color="auto"/>
        <w:right w:val="none" w:sz="0" w:space="0" w:color="auto"/>
      </w:divBdr>
      <w:divsChild>
        <w:div w:id="1877884132">
          <w:marLeft w:val="0"/>
          <w:marRight w:val="0"/>
          <w:marTop w:val="0"/>
          <w:marBottom w:val="0"/>
          <w:divBdr>
            <w:top w:val="none" w:sz="0" w:space="0" w:color="auto"/>
            <w:left w:val="none" w:sz="0" w:space="0" w:color="auto"/>
            <w:bottom w:val="none" w:sz="0" w:space="0" w:color="auto"/>
            <w:right w:val="none" w:sz="0" w:space="0" w:color="auto"/>
          </w:divBdr>
          <w:divsChild>
            <w:div w:id="1395272336">
              <w:marLeft w:val="0"/>
              <w:marRight w:val="0"/>
              <w:marTop w:val="0"/>
              <w:marBottom w:val="0"/>
              <w:divBdr>
                <w:top w:val="none" w:sz="0" w:space="0" w:color="auto"/>
                <w:left w:val="none" w:sz="0" w:space="0" w:color="auto"/>
                <w:bottom w:val="none" w:sz="0" w:space="0" w:color="auto"/>
                <w:right w:val="none" w:sz="0" w:space="0" w:color="auto"/>
              </w:divBdr>
              <w:divsChild>
                <w:div w:id="30962068">
                  <w:marLeft w:val="0"/>
                  <w:marRight w:val="0"/>
                  <w:marTop w:val="0"/>
                  <w:marBottom w:val="0"/>
                  <w:divBdr>
                    <w:top w:val="none" w:sz="0" w:space="0" w:color="auto"/>
                    <w:left w:val="none" w:sz="0" w:space="0" w:color="auto"/>
                    <w:bottom w:val="none" w:sz="0" w:space="0" w:color="auto"/>
                    <w:right w:val="none" w:sz="0" w:space="0" w:color="auto"/>
                  </w:divBdr>
                  <w:divsChild>
                    <w:div w:id="283849465">
                      <w:marLeft w:val="0"/>
                      <w:marRight w:val="0"/>
                      <w:marTop w:val="0"/>
                      <w:marBottom w:val="0"/>
                      <w:divBdr>
                        <w:top w:val="none" w:sz="0" w:space="0" w:color="auto"/>
                        <w:left w:val="none" w:sz="0" w:space="0" w:color="auto"/>
                        <w:bottom w:val="none" w:sz="0" w:space="0" w:color="auto"/>
                        <w:right w:val="none" w:sz="0" w:space="0" w:color="auto"/>
                      </w:divBdr>
                      <w:divsChild>
                        <w:div w:id="1657032707">
                          <w:marLeft w:val="0"/>
                          <w:marRight w:val="0"/>
                          <w:marTop w:val="0"/>
                          <w:marBottom w:val="0"/>
                          <w:divBdr>
                            <w:top w:val="none" w:sz="0" w:space="0" w:color="auto"/>
                            <w:left w:val="none" w:sz="0" w:space="0" w:color="auto"/>
                            <w:bottom w:val="none" w:sz="0" w:space="0" w:color="auto"/>
                            <w:right w:val="none" w:sz="0" w:space="0" w:color="auto"/>
                          </w:divBdr>
                          <w:divsChild>
                            <w:div w:id="2905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336374">
      <w:bodyDiv w:val="1"/>
      <w:marLeft w:val="0"/>
      <w:marRight w:val="0"/>
      <w:marTop w:val="0"/>
      <w:marBottom w:val="0"/>
      <w:divBdr>
        <w:top w:val="none" w:sz="0" w:space="0" w:color="auto"/>
        <w:left w:val="none" w:sz="0" w:space="0" w:color="auto"/>
        <w:bottom w:val="none" w:sz="0" w:space="0" w:color="auto"/>
        <w:right w:val="none" w:sz="0" w:space="0" w:color="auto"/>
      </w:divBdr>
    </w:div>
    <w:div w:id="494732699">
      <w:bodyDiv w:val="1"/>
      <w:marLeft w:val="0"/>
      <w:marRight w:val="0"/>
      <w:marTop w:val="0"/>
      <w:marBottom w:val="0"/>
      <w:divBdr>
        <w:top w:val="none" w:sz="0" w:space="0" w:color="auto"/>
        <w:left w:val="none" w:sz="0" w:space="0" w:color="auto"/>
        <w:bottom w:val="none" w:sz="0" w:space="0" w:color="auto"/>
        <w:right w:val="none" w:sz="0" w:space="0" w:color="auto"/>
      </w:divBdr>
    </w:div>
    <w:div w:id="495461148">
      <w:bodyDiv w:val="1"/>
      <w:marLeft w:val="0"/>
      <w:marRight w:val="0"/>
      <w:marTop w:val="0"/>
      <w:marBottom w:val="0"/>
      <w:divBdr>
        <w:top w:val="none" w:sz="0" w:space="0" w:color="auto"/>
        <w:left w:val="none" w:sz="0" w:space="0" w:color="auto"/>
        <w:bottom w:val="none" w:sz="0" w:space="0" w:color="auto"/>
        <w:right w:val="none" w:sz="0" w:space="0" w:color="auto"/>
      </w:divBdr>
    </w:div>
    <w:div w:id="504171796">
      <w:bodyDiv w:val="1"/>
      <w:marLeft w:val="0"/>
      <w:marRight w:val="0"/>
      <w:marTop w:val="0"/>
      <w:marBottom w:val="0"/>
      <w:divBdr>
        <w:top w:val="none" w:sz="0" w:space="0" w:color="auto"/>
        <w:left w:val="none" w:sz="0" w:space="0" w:color="auto"/>
        <w:bottom w:val="none" w:sz="0" w:space="0" w:color="auto"/>
        <w:right w:val="none" w:sz="0" w:space="0" w:color="auto"/>
      </w:divBdr>
    </w:div>
    <w:div w:id="517162253">
      <w:bodyDiv w:val="1"/>
      <w:marLeft w:val="0"/>
      <w:marRight w:val="0"/>
      <w:marTop w:val="0"/>
      <w:marBottom w:val="0"/>
      <w:divBdr>
        <w:top w:val="none" w:sz="0" w:space="0" w:color="auto"/>
        <w:left w:val="none" w:sz="0" w:space="0" w:color="auto"/>
        <w:bottom w:val="none" w:sz="0" w:space="0" w:color="auto"/>
        <w:right w:val="none" w:sz="0" w:space="0" w:color="auto"/>
      </w:divBdr>
    </w:div>
    <w:div w:id="523253873">
      <w:bodyDiv w:val="1"/>
      <w:marLeft w:val="0"/>
      <w:marRight w:val="0"/>
      <w:marTop w:val="0"/>
      <w:marBottom w:val="0"/>
      <w:divBdr>
        <w:top w:val="none" w:sz="0" w:space="0" w:color="auto"/>
        <w:left w:val="none" w:sz="0" w:space="0" w:color="auto"/>
        <w:bottom w:val="none" w:sz="0" w:space="0" w:color="auto"/>
        <w:right w:val="none" w:sz="0" w:space="0" w:color="auto"/>
      </w:divBdr>
    </w:div>
    <w:div w:id="536742881">
      <w:bodyDiv w:val="1"/>
      <w:marLeft w:val="0"/>
      <w:marRight w:val="0"/>
      <w:marTop w:val="0"/>
      <w:marBottom w:val="0"/>
      <w:divBdr>
        <w:top w:val="none" w:sz="0" w:space="0" w:color="auto"/>
        <w:left w:val="none" w:sz="0" w:space="0" w:color="auto"/>
        <w:bottom w:val="none" w:sz="0" w:space="0" w:color="auto"/>
        <w:right w:val="none" w:sz="0" w:space="0" w:color="auto"/>
      </w:divBdr>
    </w:div>
    <w:div w:id="539442648">
      <w:bodyDiv w:val="1"/>
      <w:marLeft w:val="0"/>
      <w:marRight w:val="0"/>
      <w:marTop w:val="0"/>
      <w:marBottom w:val="0"/>
      <w:divBdr>
        <w:top w:val="none" w:sz="0" w:space="0" w:color="auto"/>
        <w:left w:val="none" w:sz="0" w:space="0" w:color="auto"/>
        <w:bottom w:val="none" w:sz="0" w:space="0" w:color="auto"/>
        <w:right w:val="none" w:sz="0" w:space="0" w:color="auto"/>
      </w:divBdr>
    </w:div>
    <w:div w:id="550381244">
      <w:bodyDiv w:val="1"/>
      <w:marLeft w:val="0"/>
      <w:marRight w:val="0"/>
      <w:marTop w:val="0"/>
      <w:marBottom w:val="0"/>
      <w:divBdr>
        <w:top w:val="none" w:sz="0" w:space="0" w:color="auto"/>
        <w:left w:val="none" w:sz="0" w:space="0" w:color="auto"/>
        <w:bottom w:val="none" w:sz="0" w:space="0" w:color="auto"/>
        <w:right w:val="none" w:sz="0" w:space="0" w:color="auto"/>
      </w:divBdr>
    </w:div>
    <w:div w:id="562377892">
      <w:bodyDiv w:val="1"/>
      <w:marLeft w:val="0"/>
      <w:marRight w:val="0"/>
      <w:marTop w:val="0"/>
      <w:marBottom w:val="0"/>
      <w:divBdr>
        <w:top w:val="none" w:sz="0" w:space="0" w:color="auto"/>
        <w:left w:val="none" w:sz="0" w:space="0" w:color="auto"/>
        <w:bottom w:val="none" w:sz="0" w:space="0" w:color="auto"/>
        <w:right w:val="none" w:sz="0" w:space="0" w:color="auto"/>
      </w:divBdr>
    </w:div>
    <w:div w:id="587278019">
      <w:bodyDiv w:val="1"/>
      <w:marLeft w:val="0"/>
      <w:marRight w:val="0"/>
      <w:marTop w:val="0"/>
      <w:marBottom w:val="0"/>
      <w:divBdr>
        <w:top w:val="none" w:sz="0" w:space="0" w:color="auto"/>
        <w:left w:val="none" w:sz="0" w:space="0" w:color="auto"/>
        <w:bottom w:val="none" w:sz="0" w:space="0" w:color="auto"/>
        <w:right w:val="none" w:sz="0" w:space="0" w:color="auto"/>
      </w:divBdr>
    </w:div>
    <w:div w:id="594901880">
      <w:bodyDiv w:val="1"/>
      <w:marLeft w:val="0"/>
      <w:marRight w:val="0"/>
      <w:marTop w:val="0"/>
      <w:marBottom w:val="0"/>
      <w:divBdr>
        <w:top w:val="none" w:sz="0" w:space="0" w:color="auto"/>
        <w:left w:val="none" w:sz="0" w:space="0" w:color="auto"/>
        <w:bottom w:val="none" w:sz="0" w:space="0" w:color="auto"/>
        <w:right w:val="none" w:sz="0" w:space="0" w:color="auto"/>
      </w:divBdr>
    </w:div>
    <w:div w:id="597759724">
      <w:bodyDiv w:val="1"/>
      <w:marLeft w:val="0"/>
      <w:marRight w:val="0"/>
      <w:marTop w:val="0"/>
      <w:marBottom w:val="0"/>
      <w:divBdr>
        <w:top w:val="none" w:sz="0" w:space="0" w:color="auto"/>
        <w:left w:val="none" w:sz="0" w:space="0" w:color="auto"/>
        <w:bottom w:val="none" w:sz="0" w:space="0" w:color="auto"/>
        <w:right w:val="none" w:sz="0" w:space="0" w:color="auto"/>
      </w:divBdr>
    </w:div>
    <w:div w:id="602229381">
      <w:bodyDiv w:val="1"/>
      <w:marLeft w:val="0"/>
      <w:marRight w:val="0"/>
      <w:marTop w:val="0"/>
      <w:marBottom w:val="0"/>
      <w:divBdr>
        <w:top w:val="none" w:sz="0" w:space="0" w:color="auto"/>
        <w:left w:val="none" w:sz="0" w:space="0" w:color="auto"/>
        <w:bottom w:val="none" w:sz="0" w:space="0" w:color="auto"/>
        <w:right w:val="none" w:sz="0" w:space="0" w:color="auto"/>
      </w:divBdr>
    </w:div>
    <w:div w:id="619537187">
      <w:bodyDiv w:val="1"/>
      <w:marLeft w:val="0"/>
      <w:marRight w:val="0"/>
      <w:marTop w:val="0"/>
      <w:marBottom w:val="0"/>
      <w:divBdr>
        <w:top w:val="none" w:sz="0" w:space="0" w:color="auto"/>
        <w:left w:val="none" w:sz="0" w:space="0" w:color="auto"/>
        <w:bottom w:val="none" w:sz="0" w:space="0" w:color="auto"/>
        <w:right w:val="none" w:sz="0" w:space="0" w:color="auto"/>
      </w:divBdr>
    </w:div>
    <w:div w:id="619722692">
      <w:bodyDiv w:val="1"/>
      <w:marLeft w:val="0"/>
      <w:marRight w:val="0"/>
      <w:marTop w:val="0"/>
      <w:marBottom w:val="0"/>
      <w:divBdr>
        <w:top w:val="none" w:sz="0" w:space="0" w:color="auto"/>
        <w:left w:val="none" w:sz="0" w:space="0" w:color="auto"/>
        <w:bottom w:val="none" w:sz="0" w:space="0" w:color="auto"/>
        <w:right w:val="none" w:sz="0" w:space="0" w:color="auto"/>
      </w:divBdr>
    </w:div>
    <w:div w:id="623924276">
      <w:bodyDiv w:val="1"/>
      <w:marLeft w:val="0"/>
      <w:marRight w:val="0"/>
      <w:marTop w:val="0"/>
      <w:marBottom w:val="0"/>
      <w:divBdr>
        <w:top w:val="none" w:sz="0" w:space="0" w:color="auto"/>
        <w:left w:val="none" w:sz="0" w:space="0" w:color="auto"/>
        <w:bottom w:val="none" w:sz="0" w:space="0" w:color="auto"/>
        <w:right w:val="none" w:sz="0" w:space="0" w:color="auto"/>
      </w:divBdr>
      <w:divsChild>
        <w:div w:id="2050841320">
          <w:marLeft w:val="0"/>
          <w:marRight w:val="0"/>
          <w:marTop w:val="0"/>
          <w:marBottom w:val="0"/>
          <w:divBdr>
            <w:top w:val="none" w:sz="0" w:space="0" w:color="auto"/>
            <w:left w:val="none" w:sz="0" w:space="0" w:color="auto"/>
            <w:bottom w:val="none" w:sz="0" w:space="0" w:color="auto"/>
            <w:right w:val="none" w:sz="0" w:space="0" w:color="auto"/>
          </w:divBdr>
          <w:divsChild>
            <w:div w:id="343631515">
              <w:marLeft w:val="0"/>
              <w:marRight w:val="0"/>
              <w:marTop w:val="0"/>
              <w:marBottom w:val="0"/>
              <w:divBdr>
                <w:top w:val="none" w:sz="0" w:space="0" w:color="auto"/>
                <w:left w:val="none" w:sz="0" w:space="0" w:color="auto"/>
                <w:bottom w:val="none" w:sz="0" w:space="0" w:color="auto"/>
                <w:right w:val="none" w:sz="0" w:space="0" w:color="auto"/>
              </w:divBdr>
              <w:divsChild>
                <w:div w:id="1659385410">
                  <w:marLeft w:val="0"/>
                  <w:marRight w:val="0"/>
                  <w:marTop w:val="0"/>
                  <w:marBottom w:val="0"/>
                  <w:divBdr>
                    <w:top w:val="none" w:sz="0" w:space="0" w:color="auto"/>
                    <w:left w:val="none" w:sz="0" w:space="0" w:color="auto"/>
                    <w:bottom w:val="none" w:sz="0" w:space="0" w:color="auto"/>
                    <w:right w:val="none" w:sz="0" w:space="0" w:color="auto"/>
                  </w:divBdr>
                  <w:divsChild>
                    <w:div w:id="1663239775">
                      <w:marLeft w:val="0"/>
                      <w:marRight w:val="0"/>
                      <w:marTop w:val="0"/>
                      <w:marBottom w:val="0"/>
                      <w:divBdr>
                        <w:top w:val="none" w:sz="0" w:space="0" w:color="auto"/>
                        <w:left w:val="none" w:sz="0" w:space="0" w:color="auto"/>
                        <w:bottom w:val="none" w:sz="0" w:space="0" w:color="auto"/>
                        <w:right w:val="none" w:sz="0" w:space="0" w:color="auto"/>
                      </w:divBdr>
                      <w:divsChild>
                        <w:div w:id="1590191727">
                          <w:marLeft w:val="0"/>
                          <w:marRight w:val="0"/>
                          <w:marTop w:val="0"/>
                          <w:marBottom w:val="0"/>
                          <w:divBdr>
                            <w:top w:val="none" w:sz="0" w:space="0" w:color="auto"/>
                            <w:left w:val="none" w:sz="0" w:space="0" w:color="auto"/>
                            <w:bottom w:val="none" w:sz="0" w:space="0" w:color="auto"/>
                            <w:right w:val="none" w:sz="0" w:space="0" w:color="auto"/>
                          </w:divBdr>
                          <w:divsChild>
                            <w:div w:id="1367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856269">
      <w:bodyDiv w:val="1"/>
      <w:marLeft w:val="0"/>
      <w:marRight w:val="0"/>
      <w:marTop w:val="0"/>
      <w:marBottom w:val="0"/>
      <w:divBdr>
        <w:top w:val="none" w:sz="0" w:space="0" w:color="auto"/>
        <w:left w:val="none" w:sz="0" w:space="0" w:color="auto"/>
        <w:bottom w:val="none" w:sz="0" w:space="0" w:color="auto"/>
        <w:right w:val="none" w:sz="0" w:space="0" w:color="auto"/>
      </w:divBdr>
    </w:div>
    <w:div w:id="634220126">
      <w:bodyDiv w:val="1"/>
      <w:marLeft w:val="0"/>
      <w:marRight w:val="0"/>
      <w:marTop w:val="0"/>
      <w:marBottom w:val="0"/>
      <w:divBdr>
        <w:top w:val="none" w:sz="0" w:space="0" w:color="auto"/>
        <w:left w:val="none" w:sz="0" w:space="0" w:color="auto"/>
        <w:bottom w:val="none" w:sz="0" w:space="0" w:color="auto"/>
        <w:right w:val="none" w:sz="0" w:space="0" w:color="auto"/>
      </w:divBdr>
    </w:div>
    <w:div w:id="637682059">
      <w:bodyDiv w:val="1"/>
      <w:marLeft w:val="0"/>
      <w:marRight w:val="0"/>
      <w:marTop w:val="0"/>
      <w:marBottom w:val="0"/>
      <w:divBdr>
        <w:top w:val="none" w:sz="0" w:space="0" w:color="auto"/>
        <w:left w:val="none" w:sz="0" w:space="0" w:color="auto"/>
        <w:bottom w:val="none" w:sz="0" w:space="0" w:color="auto"/>
        <w:right w:val="none" w:sz="0" w:space="0" w:color="auto"/>
      </w:divBdr>
    </w:div>
    <w:div w:id="668676397">
      <w:bodyDiv w:val="1"/>
      <w:marLeft w:val="0"/>
      <w:marRight w:val="0"/>
      <w:marTop w:val="0"/>
      <w:marBottom w:val="0"/>
      <w:divBdr>
        <w:top w:val="none" w:sz="0" w:space="0" w:color="auto"/>
        <w:left w:val="none" w:sz="0" w:space="0" w:color="auto"/>
        <w:bottom w:val="none" w:sz="0" w:space="0" w:color="auto"/>
        <w:right w:val="none" w:sz="0" w:space="0" w:color="auto"/>
      </w:divBdr>
    </w:div>
    <w:div w:id="677970046">
      <w:bodyDiv w:val="1"/>
      <w:marLeft w:val="0"/>
      <w:marRight w:val="0"/>
      <w:marTop w:val="0"/>
      <w:marBottom w:val="0"/>
      <w:divBdr>
        <w:top w:val="none" w:sz="0" w:space="0" w:color="auto"/>
        <w:left w:val="none" w:sz="0" w:space="0" w:color="auto"/>
        <w:bottom w:val="none" w:sz="0" w:space="0" w:color="auto"/>
        <w:right w:val="none" w:sz="0" w:space="0" w:color="auto"/>
      </w:divBdr>
    </w:div>
    <w:div w:id="680861463">
      <w:bodyDiv w:val="1"/>
      <w:marLeft w:val="0"/>
      <w:marRight w:val="0"/>
      <w:marTop w:val="0"/>
      <w:marBottom w:val="0"/>
      <w:divBdr>
        <w:top w:val="none" w:sz="0" w:space="0" w:color="auto"/>
        <w:left w:val="none" w:sz="0" w:space="0" w:color="auto"/>
        <w:bottom w:val="none" w:sz="0" w:space="0" w:color="auto"/>
        <w:right w:val="none" w:sz="0" w:space="0" w:color="auto"/>
      </w:divBdr>
    </w:div>
    <w:div w:id="684206538">
      <w:bodyDiv w:val="1"/>
      <w:marLeft w:val="0"/>
      <w:marRight w:val="0"/>
      <w:marTop w:val="0"/>
      <w:marBottom w:val="0"/>
      <w:divBdr>
        <w:top w:val="none" w:sz="0" w:space="0" w:color="auto"/>
        <w:left w:val="none" w:sz="0" w:space="0" w:color="auto"/>
        <w:bottom w:val="none" w:sz="0" w:space="0" w:color="auto"/>
        <w:right w:val="none" w:sz="0" w:space="0" w:color="auto"/>
      </w:divBdr>
    </w:div>
    <w:div w:id="700982392">
      <w:bodyDiv w:val="1"/>
      <w:marLeft w:val="0"/>
      <w:marRight w:val="0"/>
      <w:marTop w:val="0"/>
      <w:marBottom w:val="0"/>
      <w:divBdr>
        <w:top w:val="none" w:sz="0" w:space="0" w:color="auto"/>
        <w:left w:val="none" w:sz="0" w:space="0" w:color="auto"/>
        <w:bottom w:val="none" w:sz="0" w:space="0" w:color="auto"/>
        <w:right w:val="none" w:sz="0" w:space="0" w:color="auto"/>
      </w:divBdr>
    </w:div>
    <w:div w:id="712316329">
      <w:bodyDiv w:val="1"/>
      <w:marLeft w:val="0"/>
      <w:marRight w:val="0"/>
      <w:marTop w:val="0"/>
      <w:marBottom w:val="0"/>
      <w:divBdr>
        <w:top w:val="none" w:sz="0" w:space="0" w:color="auto"/>
        <w:left w:val="none" w:sz="0" w:space="0" w:color="auto"/>
        <w:bottom w:val="none" w:sz="0" w:space="0" w:color="auto"/>
        <w:right w:val="none" w:sz="0" w:space="0" w:color="auto"/>
      </w:divBdr>
    </w:div>
    <w:div w:id="715859535">
      <w:bodyDiv w:val="1"/>
      <w:marLeft w:val="0"/>
      <w:marRight w:val="0"/>
      <w:marTop w:val="0"/>
      <w:marBottom w:val="0"/>
      <w:divBdr>
        <w:top w:val="none" w:sz="0" w:space="0" w:color="auto"/>
        <w:left w:val="none" w:sz="0" w:space="0" w:color="auto"/>
        <w:bottom w:val="none" w:sz="0" w:space="0" w:color="auto"/>
        <w:right w:val="none" w:sz="0" w:space="0" w:color="auto"/>
      </w:divBdr>
    </w:div>
    <w:div w:id="730033237">
      <w:bodyDiv w:val="1"/>
      <w:marLeft w:val="0"/>
      <w:marRight w:val="0"/>
      <w:marTop w:val="0"/>
      <w:marBottom w:val="0"/>
      <w:divBdr>
        <w:top w:val="none" w:sz="0" w:space="0" w:color="auto"/>
        <w:left w:val="none" w:sz="0" w:space="0" w:color="auto"/>
        <w:bottom w:val="none" w:sz="0" w:space="0" w:color="auto"/>
        <w:right w:val="none" w:sz="0" w:space="0" w:color="auto"/>
      </w:divBdr>
    </w:div>
    <w:div w:id="730617974">
      <w:bodyDiv w:val="1"/>
      <w:marLeft w:val="0"/>
      <w:marRight w:val="0"/>
      <w:marTop w:val="0"/>
      <w:marBottom w:val="0"/>
      <w:divBdr>
        <w:top w:val="none" w:sz="0" w:space="0" w:color="auto"/>
        <w:left w:val="none" w:sz="0" w:space="0" w:color="auto"/>
        <w:bottom w:val="none" w:sz="0" w:space="0" w:color="auto"/>
        <w:right w:val="none" w:sz="0" w:space="0" w:color="auto"/>
      </w:divBdr>
    </w:div>
    <w:div w:id="741753221">
      <w:bodyDiv w:val="1"/>
      <w:marLeft w:val="0"/>
      <w:marRight w:val="0"/>
      <w:marTop w:val="0"/>
      <w:marBottom w:val="0"/>
      <w:divBdr>
        <w:top w:val="none" w:sz="0" w:space="0" w:color="auto"/>
        <w:left w:val="none" w:sz="0" w:space="0" w:color="auto"/>
        <w:bottom w:val="none" w:sz="0" w:space="0" w:color="auto"/>
        <w:right w:val="none" w:sz="0" w:space="0" w:color="auto"/>
      </w:divBdr>
    </w:div>
    <w:div w:id="752505239">
      <w:bodyDiv w:val="1"/>
      <w:marLeft w:val="0"/>
      <w:marRight w:val="0"/>
      <w:marTop w:val="0"/>
      <w:marBottom w:val="0"/>
      <w:divBdr>
        <w:top w:val="none" w:sz="0" w:space="0" w:color="auto"/>
        <w:left w:val="none" w:sz="0" w:space="0" w:color="auto"/>
        <w:bottom w:val="none" w:sz="0" w:space="0" w:color="auto"/>
        <w:right w:val="none" w:sz="0" w:space="0" w:color="auto"/>
      </w:divBdr>
    </w:div>
    <w:div w:id="754517244">
      <w:bodyDiv w:val="1"/>
      <w:marLeft w:val="0"/>
      <w:marRight w:val="0"/>
      <w:marTop w:val="0"/>
      <w:marBottom w:val="0"/>
      <w:divBdr>
        <w:top w:val="none" w:sz="0" w:space="0" w:color="auto"/>
        <w:left w:val="none" w:sz="0" w:space="0" w:color="auto"/>
        <w:bottom w:val="none" w:sz="0" w:space="0" w:color="auto"/>
        <w:right w:val="none" w:sz="0" w:space="0" w:color="auto"/>
      </w:divBdr>
    </w:div>
    <w:div w:id="767962963">
      <w:bodyDiv w:val="1"/>
      <w:marLeft w:val="0"/>
      <w:marRight w:val="0"/>
      <w:marTop w:val="0"/>
      <w:marBottom w:val="0"/>
      <w:divBdr>
        <w:top w:val="none" w:sz="0" w:space="0" w:color="auto"/>
        <w:left w:val="none" w:sz="0" w:space="0" w:color="auto"/>
        <w:bottom w:val="none" w:sz="0" w:space="0" w:color="auto"/>
        <w:right w:val="none" w:sz="0" w:space="0" w:color="auto"/>
      </w:divBdr>
    </w:div>
    <w:div w:id="787817864">
      <w:bodyDiv w:val="1"/>
      <w:marLeft w:val="0"/>
      <w:marRight w:val="0"/>
      <w:marTop w:val="0"/>
      <w:marBottom w:val="0"/>
      <w:divBdr>
        <w:top w:val="none" w:sz="0" w:space="0" w:color="auto"/>
        <w:left w:val="none" w:sz="0" w:space="0" w:color="auto"/>
        <w:bottom w:val="none" w:sz="0" w:space="0" w:color="auto"/>
        <w:right w:val="none" w:sz="0" w:space="0" w:color="auto"/>
      </w:divBdr>
    </w:div>
    <w:div w:id="798839155">
      <w:bodyDiv w:val="1"/>
      <w:marLeft w:val="0"/>
      <w:marRight w:val="0"/>
      <w:marTop w:val="0"/>
      <w:marBottom w:val="0"/>
      <w:divBdr>
        <w:top w:val="none" w:sz="0" w:space="0" w:color="auto"/>
        <w:left w:val="none" w:sz="0" w:space="0" w:color="auto"/>
        <w:bottom w:val="none" w:sz="0" w:space="0" w:color="auto"/>
        <w:right w:val="none" w:sz="0" w:space="0" w:color="auto"/>
      </w:divBdr>
    </w:div>
    <w:div w:id="802506358">
      <w:bodyDiv w:val="1"/>
      <w:marLeft w:val="0"/>
      <w:marRight w:val="0"/>
      <w:marTop w:val="0"/>
      <w:marBottom w:val="0"/>
      <w:divBdr>
        <w:top w:val="none" w:sz="0" w:space="0" w:color="auto"/>
        <w:left w:val="none" w:sz="0" w:space="0" w:color="auto"/>
        <w:bottom w:val="none" w:sz="0" w:space="0" w:color="auto"/>
        <w:right w:val="none" w:sz="0" w:space="0" w:color="auto"/>
      </w:divBdr>
    </w:div>
    <w:div w:id="802624754">
      <w:bodyDiv w:val="1"/>
      <w:marLeft w:val="0"/>
      <w:marRight w:val="0"/>
      <w:marTop w:val="0"/>
      <w:marBottom w:val="0"/>
      <w:divBdr>
        <w:top w:val="none" w:sz="0" w:space="0" w:color="auto"/>
        <w:left w:val="none" w:sz="0" w:space="0" w:color="auto"/>
        <w:bottom w:val="none" w:sz="0" w:space="0" w:color="auto"/>
        <w:right w:val="none" w:sz="0" w:space="0" w:color="auto"/>
      </w:divBdr>
    </w:div>
    <w:div w:id="815491752">
      <w:bodyDiv w:val="1"/>
      <w:marLeft w:val="0"/>
      <w:marRight w:val="0"/>
      <w:marTop w:val="0"/>
      <w:marBottom w:val="0"/>
      <w:divBdr>
        <w:top w:val="none" w:sz="0" w:space="0" w:color="auto"/>
        <w:left w:val="none" w:sz="0" w:space="0" w:color="auto"/>
        <w:bottom w:val="none" w:sz="0" w:space="0" w:color="auto"/>
        <w:right w:val="none" w:sz="0" w:space="0" w:color="auto"/>
      </w:divBdr>
    </w:div>
    <w:div w:id="816189465">
      <w:bodyDiv w:val="1"/>
      <w:marLeft w:val="0"/>
      <w:marRight w:val="0"/>
      <w:marTop w:val="0"/>
      <w:marBottom w:val="0"/>
      <w:divBdr>
        <w:top w:val="none" w:sz="0" w:space="0" w:color="auto"/>
        <w:left w:val="none" w:sz="0" w:space="0" w:color="auto"/>
        <w:bottom w:val="none" w:sz="0" w:space="0" w:color="auto"/>
        <w:right w:val="none" w:sz="0" w:space="0" w:color="auto"/>
      </w:divBdr>
    </w:div>
    <w:div w:id="829491615">
      <w:bodyDiv w:val="1"/>
      <w:marLeft w:val="0"/>
      <w:marRight w:val="0"/>
      <w:marTop w:val="0"/>
      <w:marBottom w:val="0"/>
      <w:divBdr>
        <w:top w:val="none" w:sz="0" w:space="0" w:color="auto"/>
        <w:left w:val="none" w:sz="0" w:space="0" w:color="auto"/>
        <w:bottom w:val="none" w:sz="0" w:space="0" w:color="auto"/>
        <w:right w:val="none" w:sz="0" w:space="0" w:color="auto"/>
      </w:divBdr>
    </w:div>
    <w:div w:id="831484099">
      <w:bodyDiv w:val="1"/>
      <w:marLeft w:val="0"/>
      <w:marRight w:val="0"/>
      <w:marTop w:val="0"/>
      <w:marBottom w:val="0"/>
      <w:divBdr>
        <w:top w:val="none" w:sz="0" w:space="0" w:color="auto"/>
        <w:left w:val="none" w:sz="0" w:space="0" w:color="auto"/>
        <w:bottom w:val="none" w:sz="0" w:space="0" w:color="auto"/>
        <w:right w:val="none" w:sz="0" w:space="0" w:color="auto"/>
      </w:divBdr>
      <w:divsChild>
        <w:div w:id="306325588">
          <w:marLeft w:val="0"/>
          <w:marRight w:val="0"/>
          <w:marTop w:val="0"/>
          <w:marBottom w:val="0"/>
          <w:divBdr>
            <w:top w:val="none" w:sz="0" w:space="0" w:color="auto"/>
            <w:left w:val="none" w:sz="0" w:space="0" w:color="auto"/>
            <w:bottom w:val="none" w:sz="0" w:space="0" w:color="auto"/>
            <w:right w:val="none" w:sz="0" w:space="0" w:color="auto"/>
          </w:divBdr>
          <w:divsChild>
            <w:div w:id="1804077657">
              <w:marLeft w:val="0"/>
              <w:marRight w:val="0"/>
              <w:marTop w:val="0"/>
              <w:marBottom w:val="0"/>
              <w:divBdr>
                <w:top w:val="none" w:sz="0" w:space="0" w:color="auto"/>
                <w:left w:val="none" w:sz="0" w:space="0" w:color="auto"/>
                <w:bottom w:val="none" w:sz="0" w:space="0" w:color="auto"/>
                <w:right w:val="none" w:sz="0" w:space="0" w:color="auto"/>
              </w:divBdr>
              <w:divsChild>
                <w:div w:id="1384404003">
                  <w:marLeft w:val="0"/>
                  <w:marRight w:val="0"/>
                  <w:marTop w:val="0"/>
                  <w:marBottom w:val="0"/>
                  <w:divBdr>
                    <w:top w:val="none" w:sz="0" w:space="0" w:color="auto"/>
                    <w:left w:val="none" w:sz="0" w:space="0" w:color="auto"/>
                    <w:bottom w:val="none" w:sz="0" w:space="0" w:color="auto"/>
                    <w:right w:val="none" w:sz="0" w:space="0" w:color="auto"/>
                  </w:divBdr>
                  <w:divsChild>
                    <w:div w:id="264772108">
                      <w:marLeft w:val="0"/>
                      <w:marRight w:val="0"/>
                      <w:marTop w:val="0"/>
                      <w:marBottom w:val="0"/>
                      <w:divBdr>
                        <w:top w:val="none" w:sz="0" w:space="0" w:color="auto"/>
                        <w:left w:val="none" w:sz="0" w:space="0" w:color="auto"/>
                        <w:bottom w:val="none" w:sz="0" w:space="0" w:color="auto"/>
                        <w:right w:val="none" w:sz="0" w:space="0" w:color="auto"/>
                      </w:divBdr>
                      <w:divsChild>
                        <w:div w:id="1195267258">
                          <w:marLeft w:val="0"/>
                          <w:marRight w:val="0"/>
                          <w:marTop w:val="0"/>
                          <w:marBottom w:val="0"/>
                          <w:divBdr>
                            <w:top w:val="none" w:sz="0" w:space="0" w:color="auto"/>
                            <w:left w:val="none" w:sz="0" w:space="0" w:color="auto"/>
                            <w:bottom w:val="none" w:sz="0" w:space="0" w:color="auto"/>
                            <w:right w:val="none" w:sz="0" w:space="0" w:color="auto"/>
                          </w:divBdr>
                          <w:divsChild>
                            <w:div w:id="969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10330">
      <w:bodyDiv w:val="1"/>
      <w:marLeft w:val="0"/>
      <w:marRight w:val="0"/>
      <w:marTop w:val="0"/>
      <w:marBottom w:val="0"/>
      <w:divBdr>
        <w:top w:val="none" w:sz="0" w:space="0" w:color="auto"/>
        <w:left w:val="none" w:sz="0" w:space="0" w:color="auto"/>
        <w:bottom w:val="none" w:sz="0" w:space="0" w:color="auto"/>
        <w:right w:val="none" w:sz="0" w:space="0" w:color="auto"/>
      </w:divBdr>
    </w:div>
    <w:div w:id="864365720">
      <w:bodyDiv w:val="1"/>
      <w:marLeft w:val="0"/>
      <w:marRight w:val="0"/>
      <w:marTop w:val="0"/>
      <w:marBottom w:val="0"/>
      <w:divBdr>
        <w:top w:val="none" w:sz="0" w:space="0" w:color="auto"/>
        <w:left w:val="none" w:sz="0" w:space="0" w:color="auto"/>
        <w:bottom w:val="none" w:sz="0" w:space="0" w:color="auto"/>
        <w:right w:val="none" w:sz="0" w:space="0" w:color="auto"/>
      </w:divBdr>
    </w:div>
    <w:div w:id="867909544">
      <w:bodyDiv w:val="1"/>
      <w:marLeft w:val="0"/>
      <w:marRight w:val="0"/>
      <w:marTop w:val="0"/>
      <w:marBottom w:val="0"/>
      <w:divBdr>
        <w:top w:val="none" w:sz="0" w:space="0" w:color="auto"/>
        <w:left w:val="none" w:sz="0" w:space="0" w:color="auto"/>
        <w:bottom w:val="none" w:sz="0" w:space="0" w:color="auto"/>
        <w:right w:val="none" w:sz="0" w:space="0" w:color="auto"/>
      </w:divBdr>
    </w:div>
    <w:div w:id="900793270">
      <w:bodyDiv w:val="1"/>
      <w:marLeft w:val="0"/>
      <w:marRight w:val="0"/>
      <w:marTop w:val="0"/>
      <w:marBottom w:val="0"/>
      <w:divBdr>
        <w:top w:val="none" w:sz="0" w:space="0" w:color="auto"/>
        <w:left w:val="none" w:sz="0" w:space="0" w:color="auto"/>
        <w:bottom w:val="none" w:sz="0" w:space="0" w:color="auto"/>
        <w:right w:val="none" w:sz="0" w:space="0" w:color="auto"/>
      </w:divBdr>
    </w:div>
    <w:div w:id="924918946">
      <w:bodyDiv w:val="1"/>
      <w:marLeft w:val="0"/>
      <w:marRight w:val="0"/>
      <w:marTop w:val="0"/>
      <w:marBottom w:val="0"/>
      <w:divBdr>
        <w:top w:val="none" w:sz="0" w:space="0" w:color="auto"/>
        <w:left w:val="none" w:sz="0" w:space="0" w:color="auto"/>
        <w:bottom w:val="none" w:sz="0" w:space="0" w:color="auto"/>
        <w:right w:val="none" w:sz="0" w:space="0" w:color="auto"/>
      </w:divBdr>
    </w:div>
    <w:div w:id="932005922">
      <w:bodyDiv w:val="1"/>
      <w:marLeft w:val="0"/>
      <w:marRight w:val="0"/>
      <w:marTop w:val="0"/>
      <w:marBottom w:val="0"/>
      <w:divBdr>
        <w:top w:val="none" w:sz="0" w:space="0" w:color="auto"/>
        <w:left w:val="none" w:sz="0" w:space="0" w:color="auto"/>
        <w:bottom w:val="none" w:sz="0" w:space="0" w:color="auto"/>
        <w:right w:val="none" w:sz="0" w:space="0" w:color="auto"/>
      </w:divBdr>
      <w:divsChild>
        <w:div w:id="242884358">
          <w:marLeft w:val="0"/>
          <w:marRight w:val="0"/>
          <w:marTop w:val="0"/>
          <w:marBottom w:val="0"/>
          <w:divBdr>
            <w:top w:val="none" w:sz="0" w:space="0" w:color="auto"/>
            <w:left w:val="none" w:sz="0" w:space="0" w:color="auto"/>
            <w:bottom w:val="none" w:sz="0" w:space="0" w:color="auto"/>
            <w:right w:val="none" w:sz="0" w:space="0" w:color="auto"/>
          </w:divBdr>
          <w:divsChild>
            <w:div w:id="824781343">
              <w:marLeft w:val="0"/>
              <w:marRight w:val="0"/>
              <w:marTop w:val="0"/>
              <w:marBottom w:val="0"/>
              <w:divBdr>
                <w:top w:val="none" w:sz="0" w:space="0" w:color="auto"/>
                <w:left w:val="none" w:sz="0" w:space="0" w:color="auto"/>
                <w:bottom w:val="none" w:sz="0" w:space="0" w:color="auto"/>
                <w:right w:val="none" w:sz="0" w:space="0" w:color="auto"/>
              </w:divBdr>
              <w:divsChild>
                <w:div w:id="1297100921">
                  <w:marLeft w:val="0"/>
                  <w:marRight w:val="0"/>
                  <w:marTop w:val="0"/>
                  <w:marBottom w:val="0"/>
                  <w:divBdr>
                    <w:top w:val="none" w:sz="0" w:space="0" w:color="auto"/>
                    <w:left w:val="none" w:sz="0" w:space="0" w:color="auto"/>
                    <w:bottom w:val="none" w:sz="0" w:space="0" w:color="auto"/>
                    <w:right w:val="none" w:sz="0" w:space="0" w:color="auto"/>
                  </w:divBdr>
                  <w:divsChild>
                    <w:div w:id="2131388015">
                      <w:marLeft w:val="0"/>
                      <w:marRight w:val="0"/>
                      <w:marTop w:val="0"/>
                      <w:marBottom w:val="0"/>
                      <w:divBdr>
                        <w:top w:val="none" w:sz="0" w:space="0" w:color="auto"/>
                        <w:left w:val="none" w:sz="0" w:space="0" w:color="auto"/>
                        <w:bottom w:val="none" w:sz="0" w:space="0" w:color="auto"/>
                        <w:right w:val="none" w:sz="0" w:space="0" w:color="auto"/>
                      </w:divBdr>
                      <w:divsChild>
                        <w:div w:id="967397735">
                          <w:marLeft w:val="0"/>
                          <w:marRight w:val="0"/>
                          <w:marTop w:val="0"/>
                          <w:marBottom w:val="0"/>
                          <w:divBdr>
                            <w:top w:val="none" w:sz="0" w:space="0" w:color="auto"/>
                            <w:left w:val="none" w:sz="0" w:space="0" w:color="auto"/>
                            <w:bottom w:val="none" w:sz="0" w:space="0" w:color="auto"/>
                            <w:right w:val="none" w:sz="0" w:space="0" w:color="auto"/>
                          </w:divBdr>
                          <w:divsChild>
                            <w:div w:id="14889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037267">
      <w:bodyDiv w:val="1"/>
      <w:marLeft w:val="0"/>
      <w:marRight w:val="0"/>
      <w:marTop w:val="0"/>
      <w:marBottom w:val="0"/>
      <w:divBdr>
        <w:top w:val="none" w:sz="0" w:space="0" w:color="auto"/>
        <w:left w:val="none" w:sz="0" w:space="0" w:color="auto"/>
        <w:bottom w:val="none" w:sz="0" w:space="0" w:color="auto"/>
        <w:right w:val="none" w:sz="0" w:space="0" w:color="auto"/>
      </w:divBdr>
    </w:div>
    <w:div w:id="942112598">
      <w:bodyDiv w:val="1"/>
      <w:marLeft w:val="0"/>
      <w:marRight w:val="0"/>
      <w:marTop w:val="0"/>
      <w:marBottom w:val="0"/>
      <w:divBdr>
        <w:top w:val="none" w:sz="0" w:space="0" w:color="auto"/>
        <w:left w:val="none" w:sz="0" w:space="0" w:color="auto"/>
        <w:bottom w:val="none" w:sz="0" w:space="0" w:color="auto"/>
        <w:right w:val="none" w:sz="0" w:space="0" w:color="auto"/>
      </w:divBdr>
    </w:div>
    <w:div w:id="943344820">
      <w:bodyDiv w:val="1"/>
      <w:marLeft w:val="0"/>
      <w:marRight w:val="0"/>
      <w:marTop w:val="0"/>
      <w:marBottom w:val="0"/>
      <w:divBdr>
        <w:top w:val="none" w:sz="0" w:space="0" w:color="auto"/>
        <w:left w:val="none" w:sz="0" w:space="0" w:color="auto"/>
        <w:bottom w:val="none" w:sz="0" w:space="0" w:color="auto"/>
        <w:right w:val="none" w:sz="0" w:space="0" w:color="auto"/>
      </w:divBdr>
    </w:div>
    <w:div w:id="980306947">
      <w:bodyDiv w:val="1"/>
      <w:marLeft w:val="0"/>
      <w:marRight w:val="0"/>
      <w:marTop w:val="0"/>
      <w:marBottom w:val="0"/>
      <w:divBdr>
        <w:top w:val="none" w:sz="0" w:space="0" w:color="auto"/>
        <w:left w:val="none" w:sz="0" w:space="0" w:color="auto"/>
        <w:bottom w:val="none" w:sz="0" w:space="0" w:color="auto"/>
        <w:right w:val="none" w:sz="0" w:space="0" w:color="auto"/>
      </w:divBdr>
    </w:div>
    <w:div w:id="980697589">
      <w:bodyDiv w:val="1"/>
      <w:marLeft w:val="0"/>
      <w:marRight w:val="0"/>
      <w:marTop w:val="0"/>
      <w:marBottom w:val="0"/>
      <w:divBdr>
        <w:top w:val="none" w:sz="0" w:space="0" w:color="auto"/>
        <w:left w:val="none" w:sz="0" w:space="0" w:color="auto"/>
        <w:bottom w:val="none" w:sz="0" w:space="0" w:color="auto"/>
        <w:right w:val="none" w:sz="0" w:space="0" w:color="auto"/>
      </w:divBdr>
    </w:div>
    <w:div w:id="1004165444">
      <w:bodyDiv w:val="1"/>
      <w:marLeft w:val="0"/>
      <w:marRight w:val="0"/>
      <w:marTop w:val="0"/>
      <w:marBottom w:val="0"/>
      <w:divBdr>
        <w:top w:val="none" w:sz="0" w:space="0" w:color="auto"/>
        <w:left w:val="none" w:sz="0" w:space="0" w:color="auto"/>
        <w:bottom w:val="none" w:sz="0" w:space="0" w:color="auto"/>
        <w:right w:val="none" w:sz="0" w:space="0" w:color="auto"/>
      </w:divBdr>
    </w:div>
    <w:div w:id="1010988680">
      <w:bodyDiv w:val="1"/>
      <w:marLeft w:val="0"/>
      <w:marRight w:val="0"/>
      <w:marTop w:val="0"/>
      <w:marBottom w:val="0"/>
      <w:divBdr>
        <w:top w:val="none" w:sz="0" w:space="0" w:color="auto"/>
        <w:left w:val="none" w:sz="0" w:space="0" w:color="auto"/>
        <w:bottom w:val="none" w:sz="0" w:space="0" w:color="auto"/>
        <w:right w:val="none" w:sz="0" w:space="0" w:color="auto"/>
      </w:divBdr>
    </w:div>
    <w:div w:id="1026827980">
      <w:bodyDiv w:val="1"/>
      <w:marLeft w:val="0"/>
      <w:marRight w:val="0"/>
      <w:marTop w:val="0"/>
      <w:marBottom w:val="0"/>
      <w:divBdr>
        <w:top w:val="none" w:sz="0" w:space="0" w:color="auto"/>
        <w:left w:val="none" w:sz="0" w:space="0" w:color="auto"/>
        <w:bottom w:val="none" w:sz="0" w:space="0" w:color="auto"/>
        <w:right w:val="none" w:sz="0" w:space="0" w:color="auto"/>
      </w:divBdr>
    </w:div>
    <w:div w:id="1030451838">
      <w:bodyDiv w:val="1"/>
      <w:marLeft w:val="0"/>
      <w:marRight w:val="0"/>
      <w:marTop w:val="0"/>
      <w:marBottom w:val="0"/>
      <w:divBdr>
        <w:top w:val="none" w:sz="0" w:space="0" w:color="auto"/>
        <w:left w:val="none" w:sz="0" w:space="0" w:color="auto"/>
        <w:bottom w:val="none" w:sz="0" w:space="0" w:color="auto"/>
        <w:right w:val="none" w:sz="0" w:space="0" w:color="auto"/>
      </w:divBdr>
    </w:div>
    <w:div w:id="1034694115">
      <w:bodyDiv w:val="1"/>
      <w:marLeft w:val="0"/>
      <w:marRight w:val="0"/>
      <w:marTop w:val="0"/>
      <w:marBottom w:val="0"/>
      <w:divBdr>
        <w:top w:val="none" w:sz="0" w:space="0" w:color="auto"/>
        <w:left w:val="none" w:sz="0" w:space="0" w:color="auto"/>
        <w:bottom w:val="none" w:sz="0" w:space="0" w:color="auto"/>
        <w:right w:val="none" w:sz="0" w:space="0" w:color="auto"/>
      </w:divBdr>
    </w:div>
    <w:div w:id="1051080688">
      <w:bodyDiv w:val="1"/>
      <w:marLeft w:val="0"/>
      <w:marRight w:val="0"/>
      <w:marTop w:val="0"/>
      <w:marBottom w:val="0"/>
      <w:divBdr>
        <w:top w:val="none" w:sz="0" w:space="0" w:color="auto"/>
        <w:left w:val="none" w:sz="0" w:space="0" w:color="auto"/>
        <w:bottom w:val="none" w:sz="0" w:space="0" w:color="auto"/>
        <w:right w:val="none" w:sz="0" w:space="0" w:color="auto"/>
      </w:divBdr>
    </w:div>
    <w:div w:id="1051803255">
      <w:bodyDiv w:val="1"/>
      <w:marLeft w:val="0"/>
      <w:marRight w:val="0"/>
      <w:marTop w:val="0"/>
      <w:marBottom w:val="0"/>
      <w:divBdr>
        <w:top w:val="none" w:sz="0" w:space="0" w:color="auto"/>
        <w:left w:val="none" w:sz="0" w:space="0" w:color="auto"/>
        <w:bottom w:val="none" w:sz="0" w:space="0" w:color="auto"/>
        <w:right w:val="none" w:sz="0" w:space="0" w:color="auto"/>
      </w:divBdr>
    </w:div>
    <w:div w:id="1056078503">
      <w:bodyDiv w:val="1"/>
      <w:marLeft w:val="0"/>
      <w:marRight w:val="0"/>
      <w:marTop w:val="0"/>
      <w:marBottom w:val="0"/>
      <w:divBdr>
        <w:top w:val="none" w:sz="0" w:space="0" w:color="auto"/>
        <w:left w:val="none" w:sz="0" w:space="0" w:color="auto"/>
        <w:bottom w:val="none" w:sz="0" w:space="0" w:color="auto"/>
        <w:right w:val="none" w:sz="0" w:space="0" w:color="auto"/>
      </w:divBdr>
    </w:div>
    <w:div w:id="1061367341">
      <w:bodyDiv w:val="1"/>
      <w:marLeft w:val="0"/>
      <w:marRight w:val="0"/>
      <w:marTop w:val="0"/>
      <w:marBottom w:val="0"/>
      <w:divBdr>
        <w:top w:val="none" w:sz="0" w:space="0" w:color="auto"/>
        <w:left w:val="none" w:sz="0" w:space="0" w:color="auto"/>
        <w:bottom w:val="none" w:sz="0" w:space="0" w:color="auto"/>
        <w:right w:val="none" w:sz="0" w:space="0" w:color="auto"/>
      </w:divBdr>
    </w:div>
    <w:div w:id="1061830390">
      <w:bodyDiv w:val="1"/>
      <w:marLeft w:val="0"/>
      <w:marRight w:val="0"/>
      <w:marTop w:val="0"/>
      <w:marBottom w:val="0"/>
      <w:divBdr>
        <w:top w:val="none" w:sz="0" w:space="0" w:color="auto"/>
        <w:left w:val="none" w:sz="0" w:space="0" w:color="auto"/>
        <w:bottom w:val="none" w:sz="0" w:space="0" w:color="auto"/>
        <w:right w:val="none" w:sz="0" w:space="0" w:color="auto"/>
      </w:divBdr>
    </w:div>
    <w:div w:id="1074665227">
      <w:bodyDiv w:val="1"/>
      <w:marLeft w:val="0"/>
      <w:marRight w:val="0"/>
      <w:marTop w:val="0"/>
      <w:marBottom w:val="0"/>
      <w:divBdr>
        <w:top w:val="none" w:sz="0" w:space="0" w:color="auto"/>
        <w:left w:val="none" w:sz="0" w:space="0" w:color="auto"/>
        <w:bottom w:val="none" w:sz="0" w:space="0" w:color="auto"/>
        <w:right w:val="none" w:sz="0" w:space="0" w:color="auto"/>
      </w:divBdr>
    </w:div>
    <w:div w:id="1078675877">
      <w:bodyDiv w:val="1"/>
      <w:marLeft w:val="0"/>
      <w:marRight w:val="0"/>
      <w:marTop w:val="0"/>
      <w:marBottom w:val="0"/>
      <w:divBdr>
        <w:top w:val="none" w:sz="0" w:space="0" w:color="auto"/>
        <w:left w:val="none" w:sz="0" w:space="0" w:color="auto"/>
        <w:bottom w:val="none" w:sz="0" w:space="0" w:color="auto"/>
        <w:right w:val="none" w:sz="0" w:space="0" w:color="auto"/>
      </w:divBdr>
      <w:divsChild>
        <w:div w:id="1866823790">
          <w:marLeft w:val="0"/>
          <w:marRight w:val="0"/>
          <w:marTop w:val="0"/>
          <w:marBottom w:val="0"/>
          <w:divBdr>
            <w:top w:val="none" w:sz="0" w:space="0" w:color="auto"/>
            <w:left w:val="none" w:sz="0" w:space="0" w:color="auto"/>
            <w:bottom w:val="none" w:sz="0" w:space="0" w:color="auto"/>
            <w:right w:val="none" w:sz="0" w:space="0" w:color="auto"/>
          </w:divBdr>
          <w:divsChild>
            <w:div w:id="1256599605">
              <w:marLeft w:val="0"/>
              <w:marRight w:val="0"/>
              <w:marTop w:val="0"/>
              <w:marBottom w:val="0"/>
              <w:divBdr>
                <w:top w:val="none" w:sz="0" w:space="0" w:color="auto"/>
                <w:left w:val="none" w:sz="0" w:space="0" w:color="auto"/>
                <w:bottom w:val="none" w:sz="0" w:space="0" w:color="auto"/>
                <w:right w:val="none" w:sz="0" w:space="0" w:color="auto"/>
              </w:divBdr>
              <w:divsChild>
                <w:div w:id="1719159955">
                  <w:marLeft w:val="0"/>
                  <w:marRight w:val="0"/>
                  <w:marTop w:val="0"/>
                  <w:marBottom w:val="0"/>
                  <w:divBdr>
                    <w:top w:val="none" w:sz="0" w:space="0" w:color="auto"/>
                    <w:left w:val="none" w:sz="0" w:space="0" w:color="auto"/>
                    <w:bottom w:val="none" w:sz="0" w:space="0" w:color="auto"/>
                    <w:right w:val="none" w:sz="0" w:space="0" w:color="auto"/>
                  </w:divBdr>
                  <w:divsChild>
                    <w:div w:id="2057461612">
                      <w:marLeft w:val="0"/>
                      <w:marRight w:val="0"/>
                      <w:marTop w:val="0"/>
                      <w:marBottom w:val="0"/>
                      <w:divBdr>
                        <w:top w:val="none" w:sz="0" w:space="0" w:color="auto"/>
                        <w:left w:val="none" w:sz="0" w:space="0" w:color="auto"/>
                        <w:bottom w:val="none" w:sz="0" w:space="0" w:color="auto"/>
                        <w:right w:val="none" w:sz="0" w:space="0" w:color="auto"/>
                      </w:divBdr>
                      <w:divsChild>
                        <w:div w:id="1579633712">
                          <w:marLeft w:val="0"/>
                          <w:marRight w:val="0"/>
                          <w:marTop w:val="0"/>
                          <w:marBottom w:val="0"/>
                          <w:divBdr>
                            <w:top w:val="none" w:sz="0" w:space="0" w:color="auto"/>
                            <w:left w:val="none" w:sz="0" w:space="0" w:color="auto"/>
                            <w:bottom w:val="none" w:sz="0" w:space="0" w:color="auto"/>
                            <w:right w:val="none" w:sz="0" w:space="0" w:color="auto"/>
                          </w:divBdr>
                          <w:divsChild>
                            <w:div w:id="17968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238124">
      <w:bodyDiv w:val="1"/>
      <w:marLeft w:val="0"/>
      <w:marRight w:val="0"/>
      <w:marTop w:val="0"/>
      <w:marBottom w:val="0"/>
      <w:divBdr>
        <w:top w:val="none" w:sz="0" w:space="0" w:color="auto"/>
        <w:left w:val="none" w:sz="0" w:space="0" w:color="auto"/>
        <w:bottom w:val="none" w:sz="0" w:space="0" w:color="auto"/>
        <w:right w:val="none" w:sz="0" w:space="0" w:color="auto"/>
      </w:divBdr>
    </w:div>
    <w:div w:id="1089080700">
      <w:bodyDiv w:val="1"/>
      <w:marLeft w:val="0"/>
      <w:marRight w:val="0"/>
      <w:marTop w:val="0"/>
      <w:marBottom w:val="0"/>
      <w:divBdr>
        <w:top w:val="none" w:sz="0" w:space="0" w:color="auto"/>
        <w:left w:val="none" w:sz="0" w:space="0" w:color="auto"/>
        <w:bottom w:val="none" w:sz="0" w:space="0" w:color="auto"/>
        <w:right w:val="none" w:sz="0" w:space="0" w:color="auto"/>
      </w:divBdr>
    </w:div>
    <w:div w:id="1091663398">
      <w:bodyDiv w:val="1"/>
      <w:marLeft w:val="0"/>
      <w:marRight w:val="0"/>
      <w:marTop w:val="0"/>
      <w:marBottom w:val="0"/>
      <w:divBdr>
        <w:top w:val="none" w:sz="0" w:space="0" w:color="auto"/>
        <w:left w:val="none" w:sz="0" w:space="0" w:color="auto"/>
        <w:bottom w:val="none" w:sz="0" w:space="0" w:color="auto"/>
        <w:right w:val="none" w:sz="0" w:space="0" w:color="auto"/>
      </w:divBdr>
    </w:div>
    <w:div w:id="1102460215">
      <w:bodyDiv w:val="1"/>
      <w:marLeft w:val="0"/>
      <w:marRight w:val="0"/>
      <w:marTop w:val="0"/>
      <w:marBottom w:val="0"/>
      <w:divBdr>
        <w:top w:val="none" w:sz="0" w:space="0" w:color="auto"/>
        <w:left w:val="none" w:sz="0" w:space="0" w:color="auto"/>
        <w:bottom w:val="none" w:sz="0" w:space="0" w:color="auto"/>
        <w:right w:val="none" w:sz="0" w:space="0" w:color="auto"/>
      </w:divBdr>
    </w:div>
    <w:div w:id="1105613822">
      <w:bodyDiv w:val="1"/>
      <w:marLeft w:val="0"/>
      <w:marRight w:val="0"/>
      <w:marTop w:val="0"/>
      <w:marBottom w:val="0"/>
      <w:divBdr>
        <w:top w:val="none" w:sz="0" w:space="0" w:color="auto"/>
        <w:left w:val="none" w:sz="0" w:space="0" w:color="auto"/>
        <w:bottom w:val="none" w:sz="0" w:space="0" w:color="auto"/>
        <w:right w:val="none" w:sz="0" w:space="0" w:color="auto"/>
      </w:divBdr>
    </w:div>
    <w:div w:id="1119422143">
      <w:bodyDiv w:val="1"/>
      <w:marLeft w:val="0"/>
      <w:marRight w:val="0"/>
      <w:marTop w:val="0"/>
      <w:marBottom w:val="0"/>
      <w:divBdr>
        <w:top w:val="none" w:sz="0" w:space="0" w:color="auto"/>
        <w:left w:val="none" w:sz="0" w:space="0" w:color="auto"/>
        <w:bottom w:val="none" w:sz="0" w:space="0" w:color="auto"/>
        <w:right w:val="none" w:sz="0" w:space="0" w:color="auto"/>
      </w:divBdr>
    </w:div>
    <w:div w:id="1125855421">
      <w:bodyDiv w:val="1"/>
      <w:marLeft w:val="0"/>
      <w:marRight w:val="0"/>
      <w:marTop w:val="0"/>
      <w:marBottom w:val="0"/>
      <w:divBdr>
        <w:top w:val="none" w:sz="0" w:space="0" w:color="auto"/>
        <w:left w:val="none" w:sz="0" w:space="0" w:color="auto"/>
        <w:bottom w:val="none" w:sz="0" w:space="0" w:color="auto"/>
        <w:right w:val="none" w:sz="0" w:space="0" w:color="auto"/>
      </w:divBdr>
    </w:div>
    <w:div w:id="1139036355">
      <w:bodyDiv w:val="1"/>
      <w:marLeft w:val="0"/>
      <w:marRight w:val="0"/>
      <w:marTop w:val="0"/>
      <w:marBottom w:val="0"/>
      <w:divBdr>
        <w:top w:val="none" w:sz="0" w:space="0" w:color="auto"/>
        <w:left w:val="none" w:sz="0" w:space="0" w:color="auto"/>
        <w:bottom w:val="none" w:sz="0" w:space="0" w:color="auto"/>
        <w:right w:val="none" w:sz="0" w:space="0" w:color="auto"/>
      </w:divBdr>
    </w:div>
    <w:div w:id="1140850710">
      <w:bodyDiv w:val="1"/>
      <w:marLeft w:val="0"/>
      <w:marRight w:val="0"/>
      <w:marTop w:val="0"/>
      <w:marBottom w:val="0"/>
      <w:divBdr>
        <w:top w:val="none" w:sz="0" w:space="0" w:color="auto"/>
        <w:left w:val="none" w:sz="0" w:space="0" w:color="auto"/>
        <w:bottom w:val="none" w:sz="0" w:space="0" w:color="auto"/>
        <w:right w:val="none" w:sz="0" w:space="0" w:color="auto"/>
      </w:divBdr>
    </w:div>
    <w:div w:id="1148475343">
      <w:bodyDiv w:val="1"/>
      <w:marLeft w:val="0"/>
      <w:marRight w:val="0"/>
      <w:marTop w:val="0"/>
      <w:marBottom w:val="0"/>
      <w:divBdr>
        <w:top w:val="none" w:sz="0" w:space="0" w:color="auto"/>
        <w:left w:val="none" w:sz="0" w:space="0" w:color="auto"/>
        <w:bottom w:val="none" w:sz="0" w:space="0" w:color="auto"/>
        <w:right w:val="none" w:sz="0" w:space="0" w:color="auto"/>
      </w:divBdr>
    </w:div>
    <w:div w:id="1148477081">
      <w:bodyDiv w:val="1"/>
      <w:marLeft w:val="0"/>
      <w:marRight w:val="0"/>
      <w:marTop w:val="0"/>
      <w:marBottom w:val="0"/>
      <w:divBdr>
        <w:top w:val="none" w:sz="0" w:space="0" w:color="auto"/>
        <w:left w:val="none" w:sz="0" w:space="0" w:color="auto"/>
        <w:bottom w:val="none" w:sz="0" w:space="0" w:color="auto"/>
        <w:right w:val="none" w:sz="0" w:space="0" w:color="auto"/>
      </w:divBdr>
    </w:div>
    <w:div w:id="1155336182">
      <w:bodyDiv w:val="1"/>
      <w:marLeft w:val="0"/>
      <w:marRight w:val="0"/>
      <w:marTop w:val="0"/>
      <w:marBottom w:val="0"/>
      <w:divBdr>
        <w:top w:val="none" w:sz="0" w:space="0" w:color="auto"/>
        <w:left w:val="none" w:sz="0" w:space="0" w:color="auto"/>
        <w:bottom w:val="none" w:sz="0" w:space="0" w:color="auto"/>
        <w:right w:val="none" w:sz="0" w:space="0" w:color="auto"/>
      </w:divBdr>
    </w:div>
    <w:div w:id="1155490794">
      <w:bodyDiv w:val="1"/>
      <w:marLeft w:val="0"/>
      <w:marRight w:val="0"/>
      <w:marTop w:val="0"/>
      <w:marBottom w:val="0"/>
      <w:divBdr>
        <w:top w:val="none" w:sz="0" w:space="0" w:color="auto"/>
        <w:left w:val="none" w:sz="0" w:space="0" w:color="auto"/>
        <w:bottom w:val="none" w:sz="0" w:space="0" w:color="auto"/>
        <w:right w:val="none" w:sz="0" w:space="0" w:color="auto"/>
      </w:divBdr>
    </w:div>
    <w:div w:id="1167402786">
      <w:bodyDiv w:val="1"/>
      <w:marLeft w:val="0"/>
      <w:marRight w:val="0"/>
      <w:marTop w:val="0"/>
      <w:marBottom w:val="0"/>
      <w:divBdr>
        <w:top w:val="none" w:sz="0" w:space="0" w:color="auto"/>
        <w:left w:val="none" w:sz="0" w:space="0" w:color="auto"/>
        <w:bottom w:val="none" w:sz="0" w:space="0" w:color="auto"/>
        <w:right w:val="none" w:sz="0" w:space="0" w:color="auto"/>
      </w:divBdr>
    </w:div>
    <w:div w:id="1183784218">
      <w:bodyDiv w:val="1"/>
      <w:marLeft w:val="0"/>
      <w:marRight w:val="0"/>
      <w:marTop w:val="0"/>
      <w:marBottom w:val="0"/>
      <w:divBdr>
        <w:top w:val="none" w:sz="0" w:space="0" w:color="auto"/>
        <w:left w:val="none" w:sz="0" w:space="0" w:color="auto"/>
        <w:bottom w:val="none" w:sz="0" w:space="0" w:color="auto"/>
        <w:right w:val="none" w:sz="0" w:space="0" w:color="auto"/>
      </w:divBdr>
    </w:div>
    <w:div w:id="1193029639">
      <w:bodyDiv w:val="1"/>
      <w:marLeft w:val="0"/>
      <w:marRight w:val="0"/>
      <w:marTop w:val="0"/>
      <w:marBottom w:val="0"/>
      <w:divBdr>
        <w:top w:val="none" w:sz="0" w:space="0" w:color="auto"/>
        <w:left w:val="none" w:sz="0" w:space="0" w:color="auto"/>
        <w:bottom w:val="none" w:sz="0" w:space="0" w:color="auto"/>
        <w:right w:val="none" w:sz="0" w:space="0" w:color="auto"/>
      </w:divBdr>
    </w:div>
    <w:div w:id="1205407921">
      <w:bodyDiv w:val="1"/>
      <w:marLeft w:val="0"/>
      <w:marRight w:val="0"/>
      <w:marTop w:val="0"/>
      <w:marBottom w:val="0"/>
      <w:divBdr>
        <w:top w:val="none" w:sz="0" w:space="0" w:color="auto"/>
        <w:left w:val="none" w:sz="0" w:space="0" w:color="auto"/>
        <w:bottom w:val="none" w:sz="0" w:space="0" w:color="auto"/>
        <w:right w:val="none" w:sz="0" w:space="0" w:color="auto"/>
      </w:divBdr>
    </w:div>
    <w:div w:id="1210843670">
      <w:bodyDiv w:val="1"/>
      <w:marLeft w:val="0"/>
      <w:marRight w:val="0"/>
      <w:marTop w:val="0"/>
      <w:marBottom w:val="0"/>
      <w:divBdr>
        <w:top w:val="none" w:sz="0" w:space="0" w:color="auto"/>
        <w:left w:val="none" w:sz="0" w:space="0" w:color="auto"/>
        <w:bottom w:val="none" w:sz="0" w:space="0" w:color="auto"/>
        <w:right w:val="none" w:sz="0" w:space="0" w:color="auto"/>
      </w:divBdr>
    </w:div>
    <w:div w:id="1212154805">
      <w:bodyDiv w:val="1"/>
      <w:marLeft w:val="0"/>
      <w:marRight w:val="0"/>
      <w:marTop w:val="0"/>
      <w:marBottom w:val="0"/>
      <w:divBdr>
        <w:top w:val="none" w:sz="0" w:space="0" w:color="auto"/>
        <w:left w:val="none" w:sz="0" w:space="0" w:color="auto"/>
        <w:bottom w:val="none" w:sz="0" w:space="0" w:color="auto"/>
        <w:right w:val="none" w:sz="0" w:space="0" w:color="auto"/>
      </w:divBdr>
    </w:div>
    <w:div w:id="1246719082">
      <w:bodyDiv w:val="1"/>
      <w:marLeft w:val="0"/>
      <w:marRight w:val="0"/>
      <w:marTop w:val="0"/>
      <w:marBottom w:val="0"/>
      <w:divBdr>
        <w:top w:val="none" w:sz="0" w:space="0" w:color="auto"/>
        <w:left w:val="none" w:sz="0" w:space="0" w:color="auto"/>
        <w:bottom w:val="none" w:sz="0" w:space="0" w:color="auto"/>
        <w:right w:val="none" w:sz="0" w:space="0" w:color="auto"/>
      </w:divBdr>
    </w:div>
    <w:div w:id="1252466296">
      <w:bodyDiv w:val="1"/>
      <w:marLeft w:val="0"/>
      <w:marRight w:val="0"/>
      <w:marTop w:val="0"/>
      <w:marBottom w:val="0"/>
      <w:divBdr>
        <w:top w:val="none" w:sz="0" w:space="0" w:color="auto"/>
        <w:left w:val="none" w:sz="0" w:space="0" w:color="auto"/>
        <w:bottom w:val="none" w:sz="0" w:space="0" w:color="auto"/>
        <w:right w:val="none" w:sz="0" w:space="0" w:color="auto"/>
      </w:divBdr>
    </w:div>
    <w:div w:id="1255630015">
      <w:bodyDiv w:val="1"/>
      <w:marLeft w:val="0"/>
      <w:marRight w:val="0"/>
      <w:marTop w:val="0"/>
      <w:marBottom w:val="0"/>
      <w:divBdr>
        <w:top w:val="none" w:sz="0" w:space="0" w:color="auto"/>
        <w:left w:val="none" w:sz="0" w:space="0" w:color="auto"/>
        <w:bottom w:val="none" w:sz="0" w:space="0" w:color="auto"/>
        <w:right w:val="none" w:sz="0" w:space="0" w:color="auto"/>
      </w:divBdr>
    </w:div>
    <w:div w:id="1257054088">
      <w:bodyDiv w:val="1"/>
      <w:marLeft w:val="0"/>
      <w:marRight w:val="0"/>
      <w:marTop w:val="0"/>
      <w:marBottom w:val="0"/>
      <w:divBdr>
        <w:top w:val="none" w:sz="0" w:space="0" w:color="auto"/>
        <w:left w:val="none" w:sz="0" w:space="0" w:color="auto"/>
        <w:bottom w:val="none" w:sz="0" w:space="0" w:color="auto"/>
        <w:right w:val="none" w:sz="0" w:space="0" w:color="auto"/>
      </w:divBdr>
    </w:div>
    <w:div w:id="1261792345">
      <w:bodyDiv w:val="1"/>
      <w:marLeft w:val="0"/>
      <w:marRight w:val="0"/>
      <w:marTop w:val="0"/>
      <w:marBottom w:val="0"/>
      <w:divBdr>
        <w:top w:val="none" w:sz="0" w:space="0" w:color="auto"/>
        <w:left w:val="none" w:sz="0" w:space="0" w:color="auto"/>
        <w:bottom w:val="none" w:sz="0" w:space="0" w:color="auto"/>
        <w:right w:val="none" w:sz="0" w:space="0" w:color="auto"/>
      </w:divBdr>
    </w:div>
    <w:div w:id="1282884569">
      <w:bodyDiv w:val="1"/>
      <w:marLeft w:val="0"/>
      <w:marRight w:val="0"/>
      <w:marTop w:val="0"/>
      <w:marBottom w:val="0"/>
      <w:divBdr>
        <w:top w:val="none" w:sz="0" w:space="0" w:color="auto"/>
        <w:left w:val="none" w:sz="0" w:space="0" w:color="auto"/>
        <w:bottom w:val="none" w:sz="0" w:space="0" w:color="auto"/>
        <w:right w:val="none" w:sz="0" w:space="0" w:color="auto"/>
      </w:divBdr>
    </w:div>
    <w:div w:id="1284651787">
      <w:bodyDiv w:val="1"/>
      <w:marLeft w:val="0"/>
      <w:marRight w:val="0"/>
      <w:marTop w:val="0"/>
      <w:marBottom w:val="0"/>
      <w:divBdr>
        <w:top w:val="none" w:sz="0" w:space="0" w:color="auto"/>
        <w:left w:val="none" w:sz="0" w:space="0" w:color="auto"/>
        <w:bottom w:val="none" w:sz="0" w:space="0" w:color="auto"/>
        <w:right w:val="none" w:sz="0" w:space="0" w:color="auto"/>
      </w:divBdr>
    </w:div>
    <w:div w:id="1288973276">
      <w:bodyDiv w:val="1"/>
      <w:marLeft w:val="0"/>
      <w:marRight w:val="0"/>
      <w:marTop w:val="0"/>
      <w:marBottom w:val="0"/>
      <w:divBdr>
        <w:top w:val="none" w:sz="0" w:space="0" w:color="auto"/>
        <w:left w:val="none" w:sz="0" w:space="0" w:color="auto"/>
        <w:bottom w:val="none" w:sz="0" w:space="0" w:color="auto"/>
        <w:right w:val="none" w:sz="0" w:space="0" w:color="auto"/>
      </w:divBdr>
    </w:div>
    <w:div w:id="1303585567">
      <w:bodyDiv w:val="1"/>
      <w:marLeft w:val="0"/>
      <w:marRight w:val="0"/>
      <w:marTop w:val="0"/>
      <w:marBottom w:val="0"/>
      <w:divBdr>
        <w:top w:val="none" w:sz="0" w:space="0" w:color="auto"/>
        <w:left w:val="none" w:sz="0" w:space="0" w:color="auto"/>
        <w:bottom w:val="none" w:sz="0" w:space="0" w:color="auto"/>
        <w:right w:val="none" w:sz="0" w:space="0" w:color="auto"/>
      </w:divBdr>
    </w:div>
    <w:div w:id="1325622011">
      <w:bodyDiv w:val="1"/>
      <w:marLeft w:val="0"/>
      <w:marRight w:val="0"/>
      <w:marTop w:val="0"/>
      <w:marBottom w:val="0"/>
      <w:divBdr>
        <w:top w:val="none" w:sz="0" w:space="0" w:color="auto"/>
        <w:left w:val="none" w:sz="0" w:space="0" w:color="auto"/>
        <w:bottom w:val="none" w:sz="0" w:space="0" w:color="auto"/>
        <w:right w:val="none" w:sz="0" w:space="0" w:color="auto"/>
      </w:divBdr>
    </w:div>
    <w:div w:id="1363626141">
      <w:bodyDiv w:val="1"/>
      <w:marLeft w:val="0"/>
      <w:marRight w:val="0"/>
      <w:marTop w:val="0"/>
      <w:marBottom w:val="0"/>
      <w:divBdr>
        <w:top w:val="none" w:sz="0" w:space="0" w:color="auto"/>
        <w:left w:val="none" w:sz="0" w:space="0" w:color="auto"/>
        <w:bottom w:val="none" w:sz="0" w:space="0" w:color="auto"/>
        <w:right w:val="none" w:sz="0" w:space="0" w:color="auto"/>
      </w:divBdr>
    </w:div>
    <w:div w:id="1371956636">
      <w:bodyDiv w:val="1"/>
      <w:marLeft w:val="0"/>
      <w:marRight w:val="0"/>
      <w:marTop w:val="0"/>
      <w:marBottom w:val="0"/>
      <w:divBdr>
        <w:top w:val="none" w:sz="0" w:space="0" w:color="auto"/>
        <w:left w:val="none" w:sz="0" w:space="0" w:color="auto"/>
        <w:bottom w:val="none" w:sz="0" w:space="0" w:color="auto"/>
        <w:right w:val="none" w:sz="0" w:space="0" w:color="auto"/>
      </w:divBdr>
    </w:div>
    <w:div w:id="1393891493">
      <w:bodyDiv w:val="1"/>
      <w:marLeft w:val="0"/>
      <w:marRight w:val="0"/>
      <w:marTop w:val="0"/>
      <w:marBottom w:val="0"/>
      <w:divBdr>
        <w:top w:val="none" w:sz="0" w:space="0" w:color="auto"/>
        <w:left w:val="none" w:sz="0" w:space="0" w:color="auto"/>
        <w:bottom w:val="none" w:sz="0" w:space="0" w:color="auto"/>
        <w:right w:val="none" w:sz="0" w:space="0" w:color="auto"/>
      </w:divBdr>
    </w:div>
    <w:div w:id="1397165207">
      <w:bodyDiv w:val="1"/>
      <w:marLeft w:val="0"/>
      <w:marRight w:val="0"/>
      <w:marTop w:val="0"/>
      <w:marBottom w:val="0"/>
      <w:divBdr>
        <w:top w:val="none" w:sz="0" w:space="0" w:color="auto"/>
        <w:left w:val="none" w:sz="0" w:space="0" w:color="auto"/>
        <w:bottom w:val="none" w:sz="0" w:space="0" w:color="auto"/>
        <w:right w:val="none" w:sz="0" w:space="0" w:color="auto"/>
      </w:divBdr>
    </w:div>
    <w:div w:id="1399016043">
      <w:bodyDiv w:val="1"/>
      <w:marLeft w:val="0"/>
      <w:marRight w:val="0"/>
      <w:marTop w:val="0"/>
      <w:marBottom w:val="0"/>
      <w:divBdr>
        <w:top w:val="none" w:sz="0" w:space="0" w:color="auto"/>
        <w:left w:val="none" w:sz="0" w:space="0" w:color="auto"/>
        <w:bottom w:val="none" w:sz="0" w:space="0" w:color="auto"/>
        <w:right w:val="none" w:sz="0" w:space="0" w:color="auto"/>
      </w:divBdr>
    </w:div>
    <w:div w:id="1400782795">
      <w:bodyDiv w:val="1"/>
      <w:marLeft w:val="0"/>
      <w:marRight w:val="0"/>
      <w:marTop w:val="0"/>
      <w:marBottom w:val="0"/>
      <w:divBdr>
        <w:top w:val="none" w:sz="0" w:space="0" w:color="auto"/>
        <w:left w:val="none" w:sz="0" w:space="0" w:color="auto"/>
        <w:bottom w:val="none" w:sz="0" w:space="0" w:color="auto"/>
        <w:right w:val="none" w:sz="0" w:space="0" w:color="auto"/>
      </w:divBdr>
    </w:div>
    <w:div w:id="1416785928">
      <w:bodyDiv w:val="1"/>
      <w:marLeft w:val="0"/>
      <w:marRight w:val="0"/>
      <w:marTop w:val="0"/>
      <w:marBottom w:val="0"/>
      <w:divBdr>
        <w:top w:val="none" w:sz="0" w:space="0" w:color="auto"/>
        <w:left w:val="none" w:sz="0" w:space="0" w:color="auto"/>
        <w:bottom w:val="none" w:sz="0" w:space="0" w:color="auto"/>
        <w:right w:val="none" w:sz="0" w:space="0" w:color="auto"/>
      </w:divBdr>
    </w:div>
    <w:div w:id="1423187559">
      <w:bodyDiv w:val="1"/>
      <w:marLeft w:val="0"/>
      <w:marRight w:val="0"/>
      <w:marTop w:val="0"/>
      <w:marBottom w:val="0"/>
      <w:divBdr>
        <w:top w:val="none" w:sz="0" w:space="0" w:color="auto"/>
        <w:left w:val="none" w:sz="0" w:space="0" w:color="auto"/>
        <w:bottom w:val="none" w:sz="0" w:space="0" w:color="auto"/>
        <w:right w:val="none" w:sz="0" w:space="0" w:color="auto"/>
      </w:divBdr>
    </w:div>
    <w:div w:id="1432703398">
      <w:bodyDiv w:val="1"/>
      <w:marLeft w:val="0"/>
      <w:marRight w:val="0"/>
      <w:marTop w:val="0"/>
      <w:marBottom w:val="0"/>
      <w:divBdr>
        <w:top w:val="none" w:sz="0" w:space="0" w:color="auto"/>
        <w:left w:val="none" w:sz="0" w:space="0" w:color="auto"/>
        <w:bottom w:val="none" w:sz="0" w:space="0" w:color="auto"/>
        <w:right w:val="none" w:sz="0" w:space="0" w:color="auto"/>
      </w:divBdr>
    </w:div>
    <w:div w:id="1484928994">
      <w:bodyDiv w:val="1"/>
      <w:marLeft w:val="0"/>
      <w:marRight w:val="0"/>
      <w:marTop w:val="0"/>
      <w:marBottom w:val="0"/>
      <w:divBdr>
        <w:top w:val="none" w:sz="0" w:space="0" w:color="auto"/>
        <w:left w:val="none" w:sz="0" w:space="0" w:color="auto"/>
        <w:bottom w:val="none" w:sz="0" w:space="0" w:color="auto"/>
        <w:right w:val="none" w:sz="0" w:space="0" w:color="auto"/>
      </w:divBdr>
    </w:div>
    <w:div w:id="1495415471">
      <w:bodyDiv w:val="1"/>
      <w:marLeft w:val="0"/>
      <w:marRight w:val="0"/>
      <w:marTop w:val="0"/>
      <w:marBottom w:val="0"/>
      <w:divBdr>
        <w:top w:val="none" w:sz="0" w:space="0" w:color="auto"/>
        <w:left w:val="none" w:sz="0" w:space="0" w:color="auto"/>
        <w:bottom w:val="none" w:sz="0" w:space="0" w:color="auto"/>
        <w:right w:val="none" w:sz="0" w:space="0" w:color="auto"/>
      </w:divBdr>
    </w:div>
    <w:div w:id="1499613614">
      <w:bodyDiv w:val="1"/>
      <w:marLeft w:val="0"/>
      <w:marRight w:val="0"/>
      <w:marTop w:val="0"/>
      <w:marBottom w:val="0"/>
      <w:divBdr>
        <w:top w:val="none" w:sz="0" w:space="0" w:color="auto"/>
        <w:left w:val="none" w:sz="0" w:space="0" w:color="auto"/>
        <w:bottom w:val="none" w:sz="0" w:space="0" w:color="auto"/>
        <w:right w:val="none" w:sz="0" w:space="0" w:color="auto"/>
      </w:divBdr>
    </w:div>
    <w:div w:id="1503278572">
      <w:bodyDiv w:val="1"/>
      <w:marLeft w:val="0"/>
      <w:marRight w:val="0"/>
      <w:marTop w:val="0"/>
      <w:marBottom w:val="0"/>
      <w:divBdr>
        <w:top w:val="none" w:sz="0" w:space="0" w:color="auto"/>
        <w:left w:val="none" w:sz="0" w:space="0" w:color="auto"/>
        <w:bottom w:val="none" w:sz="0" w:space="0" w:color="auto"/>
        <w:right w:val="none" w:sz="0" w:space="0" w:color="auto"/>
      </w:divBdr>
    </w:div>
    <w:div w:id="1508251562">
      <w:bodyDiv w:val="1"/>
      <w:marLeft w:val="0"/>
      <w:marRight w:val="0"/>
      <w:marTop w:val="0"/>
      <w:marBottom w:val="0"/>
      <w:divBdr>
        <w:top w:val="none" w:sz="0" w:space="0" w:color="auto"/>
        <w:left w:val="none" w:sz="0" w:space="0" w:color="auto"/>
        <w:bottom w:val="none" w:sz="0" w:space="0" w:color="auto"/>
        <w:right w:val="none" w:sz="0" w:space="0" w:color="auto"/>
      </w:divBdr>
    </w:div>
    <w:div w:id="1516841019">
      <w:bodyDiv w:val="1"/>
      <w:marLeft w:val="0"/>
      <w:marRight w:val="0"/>
      <w:marTop w:val="0"/>
      <w:marBottom w:val="0"/>
      <w:divBdr>
        <w:top w:val="none" w:sz="0" w:space="0" w:color="auto"/>
        <w:left w:val="none" w:sz="0" w:space="0" w:color="auto"/>
        <w:bottom w:val="none" w:sz="0" w:space="0" w:color="auto"/>
        <w:right w:val="none" w:sz="0" w:space="0" w:color="auto"/>
      </w:divBdr>
    </w:div>
    <w:div w:id="1530946935">
      <w:bodyDiv w:val="1"/>
      <w:marLeft w:val="0"/>
      <w:marRight w:val="0"/>
      <w:marTop w:val="0"/>
      <w:marBottom w:val="0"/>
      <w:divBdr>
        <w:top w:val="none" w:sz="0" w:space="0" w:color="auto"/>
        <w:left w:val="none" w:sz="0" w:space="0" w:color="auto"/>
        <w:bottom w:val="none" w:sz="0" w:space="0" w:color="auto"/>
        <w:right w:val="none" w:sz="0" w:space="0" w:color="auto"/>
      </w:divBdr>
    </w:div>
    <w:div w:id="1535196794">
      <w:bodyDiv w:val="1"/>
      <w:marLeft w:val="0"/>
      <w:marRight w:val="0"/>
      <w:marTop w:val="0"/>
      <w:marBottom w:val="0"/>
      <w:divBdr>
        <w:top w:val="none" w:sz="0" w:space="0" w:color="auto"/>
        <w:left w:val="none" w:sz="0" w:space="0" w:color="auto"/>
        <w:bottom w:val="none" w:sz="0" w:space="0" w:color="auto"/>
        <w:right w:val="none" w:sz="0" w:space="0" w:color="auto"/>
      </w:divBdr>
    </w:div>
    <w:div w:id="1549879952">
      <w:bodyDiv w:val="1"/>
      <w:marLeft w:val="0"/>
      <w:marRight w:val="0"/>
      <w:marTop w:val="0"/>
      <w:marBottom w:val="0"/>
      <w:divBdr>
        <w:top w:val="none" w:sz="0" w:space="0" w:color="auto"/>
        <w:left w:val="none" w:sz="0" w:space="0" w:color="auto"/>
        <w:bottom w:val="none" w:sz="0" w:space="0" w:color="auto"/>
        <w:right w:val="none" w:sz="0" w:space="0" w:color="auto"/>
      </w:divBdr>
    </w:div>
    <w:div w:id="1552497674">
      <w:bodyDiv w:val="1"/>
      <w:marLeft w:val="0"/>
      <w:marRight w:val="0"/>
      <w:marTop w:val="0"/>
      <w:marBottom w:val="0"/>
      <w:divBdr>
        <w:top w:val="none" w:sz="0" w:space="0" w:color="auto"/>
        <w:left w:val="none" w:sz="0" w:space="0" w:color="auto"/>
        <w:bottom w:val="none" w:sz="0" w:space="0" w:color="auto"/>
        <w:right w:val="none" w:sz="0" w:space="0" w:color="auto"/>
      </w:divBdr>
    </w:div>
    <w:div w:id="1594632708">
      <w:bodyDiv w:val="1"/>
      <w:marLeft w:val="0"/>
      <w:marRight w:val="0"/>
      <w:marTop w:val="0"/>
      <w:marBottom w:val="0"/>
      <w:divBdr>
        <w:top w:val="none" w:sz="0" w:space="0" w:color="auto"/>
        <w:left w:val="none" w:sz="0" w:space="0" w:color="auto"/>
        <w:bottom w:val="none" w:sz="0" w:space="0" w:color="auto"/>
        <w:right w:val="none" w:sz="0" w:space="0" w:color="auto"/>
      </w:divBdr>
    </w:div>
    <w:div w:id="1597396104">
      <w:bodyDiv w:val="1"/>
      <w:marLeft w:val="0"/>
      <w:marRight w:val="0"/>
      <w:marTop w:val="0"/>
      <w:marBottom w:val="0"/>
      <w:divBdr>
        <w:top w:val="none" w:sz="0" w:space="0" w:color="auto"/>
        <w:left w:val="none" w:sz="0" w:space="0" w:color="auto"/>
        <w:bottom w:val="none" w:sz="0" w:space="0" w:color="auto"/>
        <w:right w:val="none" w:sz="0" w:space="0" w:color="auto"/>
      </w:divBdr>
    </w:div>
    <w:div w:id="1610310666">
      <w:bodyDiv w:val="1"/>
      <w:marLeft w:val="0"/>
      <w:marRight w:val="0"/>
      <w:marTop w:val="0"/>
      <w:marBottom w:val="0"/>
      <w:divBdr>
        <w:top w:val="none" w:sz="0" w:space="0" w:color="auto"/>
        <w:left w:val="none" w:sz="0" w:space="0" w:color="auto"/>
        <w:bottom w:val="none" w:sz="0" w:space="0" w:color="auto"/>
        <w:right w:val="none" w:sz="0" w:space="0" w:color="auto"/>
      </w:divBdr>
    </w:div>
    <w:div w:id="1613170144">
      <w:bodyDiv w:val="1"/>
      <w:marLeft w:val="0"/>
      <w:marRight w:val="0"/>
      <w:marTop w:val="0"/>
      <w:marBottom w:val="0"/>
      <w:divBdr>
        <w:top w:val="none" w:sz="0" w:space="0" w:color="auto"/>
        <w:left w:val="none" w:sz="0" w:space="0" w:color="auto"/>
        <w:bottom w:val="none" w:sz="0" w:space="0" w:color="auto"/>
        <w:right w:val="none" w:sz="0" w:space="0" w:color="auto"/>
      </w:divBdr>
    </w:div>
    <w:div w:id="1616131968">
      <w:bodyDiv w:val="1"/>
      <w:marLeft w:val="0"/>
      <w:marRight w:val="0"/>
      <w:marTop w:val="0"/>
      <w:marBottom w:val="0"/>
      <w:divBdr>
        <w:top w:val="none" w:sz="0" w:space="0" w:color="auto"/>
        <w:left w:val="none" w:sz="0" w:space="0" w:color="auto"/>
        <w:bottom w:val="none" w:sz="0" w:space="0" w:color="auto"/>
        <w:right w:val="none" w:sz="0" w:space="0" w:color="auto"/>
      </w:divBdr>
    </w:div>
    <w:div w:id="1620407079">
      <w:bodyDiv w:val="1"/>
      <w:marLeft w:val="0"/>
      <w:marRight w:val="0"/>
      <w:marTop w:val="0"/>
      <w:marBottom w:val="0"/>
      <w:divBdr>
        <w:top w:val="none" w:sz="0" w:space="0" w:color="auto"/>
        <w:left w:val="none" w:sz="0" w:space="0" w:color="auto"/>
        <w:bottom w:val="none" w:sz="0" w:space="0" w:color="auto"/>
        <w:right w:val="none" w:sz="0" w:space="0" w:color="auto"/>
      </w:divBdr>
    </w:div>
    <w:div w:id="1622345225">
      <w:bodyDiv w:val="1"/>
      <w:marLeft w:val="0"/>
      <w:marRight w:val="0"/>
      <w:marTop w:val="0"/>
      <w:marBottom w:val="0"/>
      <w:divBdr>
        <w:top w:val="none" w:sz="0" w:space="0" w:color="auto"/>
        <w:left w:val="none" w:sz="0" w:space="0" w:color="auto"/>
        <w:bottom w:val="none" w:sz="0" w:space="0" w:color="auto"/>
        <w:right w:val="none" w:sz="0" w:space="0" w:color="auto"/>
      </w:divBdr>
    </w:div>
    <w:div w:id="1623417010">
      <w:bodyDiv w:val="1"/>
      <w:marLeft w:val="0"/>
      <w:marRight w:val="0"/>
      <w:marTop w:val="0"/>
      <w:marBottom w:val="0"/>
      <w:divBdr>
        <w:top w:val="none" w:sz="0" w:space="0" w:color="auto"/>
        <w:left w:val="none" w:sz="0" w:space="0" w:color="auto"/>
        <w:bottom w:val="none" w:sz="0" w:space="0" w:color="auto"/>
        <w:right w:val="none" w:sz="0" w:space="0" w:color="auto"/>
      </w:divBdr>
    </w:div>
    <w:div w:id="1633516176">
      <w:bodyDiv w:val="1"/>
      <w:marLeft w:val="0"/>
      <w:marRight w:val="0"/>
      <w:marTop w:val="0"/>
      <w:marBottom w:val="0"/>
      <w:divBdr>
        <w:top w:val="none" w:sz="0" w:space="0" w:color="auto"/>
        <w:left w:val="none" w:sz="0" w:space="0" w:color="auto"/>
        <w:bottom w:val="none" w:sz="0" w:space="0" w:color="auto"/>
        <w:right w:val="none" w:sz="0" w:space="0" w:color="auto"/>
      </w:divBdr>
    </w:div>
    <w:div w:id="1634016193">
      <w:bodyDiv w:val="1"/>
      <w:marLeft w:val="0"/>
      <w:marRight w:val="0"/>
      <w:marTop w:val="0"/>
      <w:marBottom w:val="0"/>
      <w:divBdr>
        <w:top w:val="none" w:sz="0" w:space="0" w:color="auto"/>
        <w:left w:val="none" w:sz="0" w:space="0" w:color="auto"/>
        <w:bottom w:val="none" w:sz="0" w:space="0" w:color="auto"/>
        <w:right w:val="none" w:sz="0" w:space="0" w:color="auto"/>
      </w:divBdr>
    </w:div>
    <w:div w:id="1646006236">
      <w:bodyDiv w:val="1"/>
      <w:marLeft w:val="0"/>
      <w:marRight w:val="0"/>
      <w:marTop w:val="0"/>
      <w:marBottom w:val="0"/>
      <w:divBdr>
        <w:top w:val="none" w:sz="0" w:space="0" w:color="auto"/>
        <w:left w:val="none" w:sz="0" w:space="0" w:color="auto"/>
        <w:bottom w:val="none" w:sz="0" w:space="0" w:color="auto"/>
        <w:right w:val="none" w:sz="0" w:space="0" w:color="auto"/>
      </w:divBdr>
    </w:div>
    <w:div w:id="1649286774">
      <w:bodyDiv w:val="1"/>
      <w:marLeft w:val="0"/>
      <w:marRight w:val="0"/>
      <w:marTop w:val="0"/>
      <w:marBottom w:val="0"/>
      <w:divBdr>
        <w:top w:val="none" w:sz="0" w:space="0" w:color="auto"/>
        <w:left w:val="none" w:sz="0" w:space="0" w:color="auto"/>
        <w:bottom w:val="none" w:sz="0" w:space="0" w:color="auto"/>
        <w:right w:val="none" w:sz="0" w:space="0" w:color="auto"/>
      </w:divBdr>
    </w:div>
    <w:div w:id="1657875852">
      <w:bodyDiv w:val="1"/>
      <w:marLeft w:val="0"/>
      <w:marRight w:val="0"/>
      <w:marTop w:val="0"/>
      <w:marBottom w:val="0"/>
      <w:divBdr>
        <w:top w:val="none" w:sz="0" w:space="0" w:color="auto"/>
        <w:left w:val="none" w:sz="0" w:space="0" w:color="auto"/>
        <w:bottom w:val="none" w:sz="0" w:space="0" w:color="auto"/>
        <w:right w:val="none" w:sz="0" w:space="0" w:color="auto"/>
      </w:divBdr>
    </w:div>
    <w:div w:id="1673609069">
      <w:bodyDiv w:val="1"/>
      <w:marLeft w:val="0"/>
      <w:marRight w:val="0"/>
      <w:marTop w:val="0"/>
      <w:marBottom w:val="0"/>
      <w:divBdr>
        <w:top w:val="none" w:sz="0" w:space="0" w:color="auto"/>
        <w:left w:val="none" w:sz="0" w:space="0" w:color="auto"/>
        <w:bottom w:val="none" w:sz="0" w:space="0" w:color="auto"/>
        <w:right w:val="none" w:sz="0" w:space="0" w:color="auto"/>
      </w:divBdr>
    </w:div>
    <w:div w:id="1680959152">
      <w:bodyDiv w:val="1"/>
      <w:marLeft w:val="0"/>
      <w:marRight w:val="0"/>
      <w:marTop w:val="0"/>
      <w:marBottom w:val="0"/>
      <w:divBdr>
        <w:top w:val="none" w:sz="0" w:space="0" w:color="auto"/>
        <w:left w:val="none" w:sz="0" w:space="0" w:color="auto"/>
        <w:bottom w:val="none" w:sz="0" w:space="0" w:color="auto"/>
        <w:right w:val="none" w:sz="0" w:space="0" w:color="auto"/>
      </w:divBdr>
    </w:div>
    <w:div w:id="1688873011">
      <w:bodyDiv w:val="1"/>
      <w:marLeft w:val="0"/>
      <w:marRight w:val="0"/>
      <w:marTop w:val="0"/>
      <w:marBottom w:val="0"/>
      <w:divBdr>
        <w:top w:val="none" w:sz="0" w:space="0" w:color="auto"/>
        <w:left w:val="none" w:sz="0" w:space="0" w:color="auto"/>
        <w:bottom w:val="none" w:sz="0" w:space="0" w:color="auto"/>
        <w:right w:val="none" w:sz="0" w:space="0" w:color="auto"/>
      </w:divBdr>
    </w:div>
    <w:div w:id="1691372383">
      <w:bodyDiv w:val="1"/>
      <w:marLeft w:val="0"/>
      <w:marRight w:val="0"/>
      <w:marTop w:val="0"/>
      <w:marBottom w:val="0"/>
      <w:divBdr>
        <w:top w:val="none" w:sz="0" w:space="0" w:color="auto"/>
        <w:left w:val="none" w:sz="0" w:space="0" w:color="auto"/>
        <w:bottom w:val="none" w:sz="0" w:space="0" w:color="auto"/>
        <w:right w:val="none" w:sz="0" w:space="0" w:color="auto"/>
      </w:divBdr>
    </w:div>
    <w:div w:id="1699240034">
      <w:bodyDiv w:val="1"/>
      <w:marLeft w:val="0"/>
      <w:marRight w:val="0"/>
      <w:marTop w:val="0"/>
      <w:marBottom w:val="0"/>
      <w:divBdr>
        <w:top w:val="none" w:sz="0" w:space="0" w:color="auto"/>
        <w:left w:val="none" w:sz="0" w:space="0" w:color="auto"/>
        <w:bottom w:val="none" w:sz="0" w:space="0" w:color="auto"/>
        <w:right w:val="none" w:sz="0" w:space="0" w:color="auto"/>
      </w:divBdr>
    </w:div>
    <w:div w:id="1701391658">
      <w:bodyDiv w:val="1"/>
      <w:marLeft w:val="0"/>
      <w:marRight w:val="0"/>
      <w:marTop w:val="0"/>
      <w:marBottom w:val="0"/>
      <w:divBdr>
        <w:top w:val="none" w:sz="0" w:space="0" w:color="auto"/>
        <w:left w:val="none" w:sz="0" w:space="0" w:color="auto"/>
        <w:bottom w:val="none" w:sz="0" w:space="0" w:color="auto"/>
        <w:right w:val="none" w:sz="0" w:space="0" w:color="auto"/>
      </w:divBdr>
    </w:div>
    <w:div w:id="1742603283">
      <w:bodyDiv w:val="1"/>
      <w:marLeft w:val="0"/>
      <w:marRight w:val="0"/>
      <w:marTop w:val="0"/>
      <w:marBottom w:val="0"/>
      <w:divBdr>
        <w:top w:val="none" w:sz="0" w:space="0" w:color="auto"/>
        <w:left w:val="none" w:sz="0" w:space="0" w:color="auto"/>
        <w:bottom w:val="none" w:sz="0" w:space="0" w:color="auto"/>
        <w:right w:val="none" w:sz="0" w:space="0" w:color="auto"/>
      </w:divBdr>
    </w:div>
    <w:div w:id="1746802278">
      <w:bodyDiv w:val="1"/>
      <w:marLeft w:val="0"/>
      <w:marRight w:val="0"/>
      <w:marTop w:val="0"/>
      <w:marBottom w:val="0"/>
      <w:divBdr>
        <w:top w:val="none" w:sz="0" w:space="0" w:color="auto"/>
        <w:left w:val="none" w:sz="0" w:space="0" w:color="auto"/>
        <w:bottom w:val="none" w:sz="0" w:space="0" w:color="auto"/>
        <w:right w:val="none" w:sz="0" w:space="0" w:color="auto"/>
      </w:divBdr>
    </w:div>
    <w:div w:id="1755204052">
      <w:bodyDiv w:val="1"/>
      <w:marLeft w:val="0"/>
      <w:marRight w:val="0"/>
      <w:marTop w:val="0"/>
      <w:marBottom w:val="0"/>
      <w:divBdr>
        <w:top w:val="none" w:sz="0" w:space="0" w:color="auto"/>
        <w:left w:val="none" w:sz="0" w:space="0" w:color="auto"/>
        <w:bottom w:val="none" w:sz="0" w:space="0" w:color="auto"/>
        <w:right w:val="none" w:sz="0" w:space="0" w:color="auto"/>
      </w:divBdr>
    </w:div>
    <w:div w:id="1808737667">
      <w:bodyDiv w:val="1"/>
      <w:marLeft w:val="0"/>
      <w:marRight w:val="0"/>
      <w:marTop w:val="0"/>
      <w:marBottom w:val="0"/>
      <w:divBdr>
        <w:top w:val="none" w:sz="0" w:space="0" w:color="auto"/>
        <w:left w:val="none" w:sz="0" w:space="0" w:color="auto"/>
        <w:bottom w:val="none" w:sz="0" w:space="0" w:color="auto"/>
        <w:right w:val="none" w:sz="0" w:space="0" w:color="auto"/>
      </w:divBdr>
    </w:div>
    <w:div w:id="1812168204">
      <w:bodyDiv w:val="1"/>
      <w:marLeft w:val="0"/>
      <w:marRight w:val="0"/>
      <w:marTop w:val="0"/>
      <w:marBottom w:val="0"/>
      <w:divBdr>
        <w:top w:val="none" w:sz="0" w:space="0" w:color="auto"/>
        <w:left w:val="none" w:sz="0" w:space="0" w:color="auto"/>
        <w:bottom w:val="none" w:sz="0" w:space="0" w:color="auto"/>
        <w:right w:val="none" w:sz="0" w:space="0" w:color="auto"/>
      </w:divBdr>
    </w:div>
    <w:div w:id="1814366149">
      <w:bodyDiv w:val="1"/>
      <w:marLeft w:val="0"/>
      <w:marRight w:val="0"/>
      <w:marTop w:val="0"/>
      <w:marBottom w:val="0"/>
      <w:divBdr>
        <w:top w:val="none" w:sz="0" w:space="0" w:color="auto"/>
        <w:left w:val="none" w:sz="0" w:space="0" w:color="auto"/>
        <w:bottom w:val="none" w:sz="0" w:space="0" w:color="auto"/>
        <w:right w:val="none" w:sz="0" w:space="0" w:color="auto"/>
      </w:divBdr>
    </w:div>
    <w:div w:id="1837718756">
      <w:bodyDiv w:val="1"/>
      <w:marLeft w:val="0"/>
      <w:marRight w:val="0"/>
      <w:marTop w:val="0"/>
      <w:marBottom w:val="0"/>
      <w:divBdr>
        <w:top w:val="none" w:sz="0" w:space="0" w:color="auto"/>
        <w:left w:val="none" w:sz="0" w:space="0" w:color="auto"/>
        <w:bottom w:val="none" w:sz="0" w:space="0" w:color="auto"/>
        <w:right w:val="none" w:sz="0" w:space="0" w:color="auto"/>
      </w:divBdr>
    </w:div>
    <w:div w:id="1853185523">
      <w:bodyDiv w:val="1"/>
      <w:marLeft w:val="0"/>
      <w:marRight w:val="0"/>
      <w:marTop w:val="0"/>
      <w:marBottom w:val="0"/>
      <w:divBdr>
        <w:top w:val="none" w:sz="0" w:space="0" w:color="auto"/>
        <w:left w:val="none" w:sz="0" w:space="0" w:color="auto"/>
        <w:bottom w:val="none" w:sz="0" w:space="0" w:color="auto"/>
        <w:right w:val="none" w:sz="0" w:space="0" w:color="auto"/>
      </w:divBdr>
    </w:div>
    <w:div w:id="1860192487">
      <w:bodyDiv w:val="1"/>
      <w:marLeft w:val="0"/>
      <w:marRight w:val="0"/>
      <w:marTop w:val="0"/>
      <w:marBottom w:val="0"/>
      <w:divBdr>
        <w:top w:val="none" w:sz="0" w:space="0" w:color="auto"/>
        <w:left w:val="none" w:sz="0" w:space="0" w:color="auto"/>
        <w:bottom w:val="none" w:sz="0" w:space="0" w:color="auto"/>
        <w:right w:val="none" w:sz="0" w:space="0" w:color="auto"/>
      </w:divBdr>
    </w:div>
    <w:div w:id="1878152663">
      <w:bodyDiv w:val="1"/>
      <w:marLeft w:val="0"/>
      <w:marRight w:val="0"/>
      <w:marTop w:val="0"/>
      <w:marBottom w:val="0"/>
      <w:divBdr>
        <w:top w:val="none" w:sz="0" w:space="0" w:color="auto"/>
        <w:left w:val="none" w:sz="0" w:space="0" w:color="auto"/>
        <w:bottom w:val="none" w:sz="0" w:space="0" w:color="auto"/>
        <w:right w:val="none" w:sz="0" w:space="0" w:color="auto"/>
      </w:divBdr>
    </w:div>
    <w:div w:id="1888031102">
      <w:bodyDiv w:val="1"/>
      <w:marLeft w:val="0"/>
      <w:marRight w:val="0"/>
      <w:marTop w:val="0"/>
      <w:marBottom w:val="0"/>
      <w:divBdr>
        <w:top w:val="none" w:sz="0" w:space="0" w:color="auto"/>
        <w:left w:val="none" w:sz="0" w:space="0" w:color="auto"/>
        <w:bottom w:val="none" w:sz="0" w:space="0" w:color="auto"/>
        <w:right w:val="none" w:sz="0" w:space="0" w:color="auto"/>
      </w:divBdr>
    </w:div>
    <w:div w:id="1908417465">
      <w:bodyDiv w:val="1"/>
      <w:marLeft w:val="0"/>
      <w:marRight w:val="0"/>
      <w:marTop w:val="0"/>
      <w:marBottom w:val="0"/>
      <w:divBdr>
        <w:top w:val="none" w:sz="0" w:space="0" w:color="auto"/>
        <w:left w:val="none" w:sz="0" w:space="0" w:color="auto"/>
        <w:bottom w:val="none" w:sz="0" w:space="0" w:color="auto"/>
        <w:right w:val="none" w:sz="0" w:space="0" w:color="auto"/>
      </w:divBdr>
    </w:div>
    <w:div w:id="1937668411">
      <w:bodyDiv w:val="1"/>
      <w:marLeft w:val="0"/>
      <w:marRight w:val="0"/>
      <w:marTop w:val="0"/>
      <w:marBottom w:val="0"/>
      <w:divBdr>
        <w:top w:val="none" w:sz="0" w:space="0" w:color="auto"/>
        <w:left w:val="none" w:sz="0" w:space="0" w:color="auto"/>
        <w:bottom w:val="none" w:sz="0" w:space="0" w:color="auto"/>
        <w:right w:val="none" w:sz="0" w:space="0" w:color="auto"/>
      </w:divBdr>
    </w:div>
    <w:div w:id="1951624007">
      <w:bodyDiv w:val="1"/>
      <w:marLeft w:val="0"/>
      <w:marRight w:val="0"/>
      <w:marTop w:val="0"/>
      <w:marBottom w:val="0"/>
      <w:divBdr>
        <w:top w:val="none" w:sz="0" w:space="0" w:color="auto"/>
        <w:left w:val="none" w:sz="0" w:space="0" w:color="auto"/>
        <w:bottom w:val="none" w:sz="0" w:space="0" w:color="auto"/>
        <w:right w:val="none" w:sz="0" w:space="0" w:color="auto"/>
      </w:divBdr>
    </w:div>
    <w:div w:id="1970895744">
      <w:bodyDiv w:val="1"/>
      <w:marLeft w:val="0"/>
      <w:marRight w:val="0"/>
      <w:marTop w:val="0"/>
      <w:marBottom w:val="0"/>
      <w:divBdr>
        <w:top w:val="none" w:sz="0" w:space="0" w:color="auto"/>
        <w:left w:val="none" w:sz="0" w:space="0" w:color="auto"/>
        <w:bottom w:val="none" w:sz="0" w:space="0" w:color="auto"/>
        <w:right w:val="none" w:sz="0" w:space="0" w:color="auto"/>
      </w:divBdr>
    </w:div>
    <w:div w:id="1981113732">
      <w:bodyDiv w:val="1"/>
      <w:marLeft w:val="0"/>
      <w:marRight w:val="0"/>
      <w:marTop w:val="0"/>
      <w:marBottom w:val="0"/>
      <w:divBdr>
        <w:top w:val="none" w:sz="0" w:space="0" w:color="auto"/>
        <w:left w:val="none" w:sz="0" w:space="0" w:color="auto"/>
        <w:bottom w:val="none" w:sz="0" w:space="0" w:color="auto"/>
        <w:right w:val="none" w:sz="0" w:space="0" w:color="auto"/>
      </w:divBdr>
    </w:div>
    <w:div w:id="1989435274">
      <w:bodyDiv w:val="1"/>
      <w:marLeft w:val="0"/>
      <w:marRight w:val="0"/>
      <w:marTop w:val="0"/>
      <w:marBottom w:val="0"/>
      <w:divBdr>
        <w:top w:val="none" w:sz="0" w:space="0" w:color="auto"/>
        <w:left w:val="none" w:sz="0" w:space="0" w:color="auto"/>
        <w:bottom w:val="none" w:sz="0" w:space="0" w:color="auto"/>
        <w:right w:val="none" w:sz="0" w:space="0" w:color="auto"/>
      </w:divBdr>
    </w:div>
    <w:div w:id="2007896887">
      <w:bodyDiv w:val="1"/>
      <w:marLeft w:val="0"/>
      <w:marRight w:val="0"/>
      <w:marTop w:val="0"/>
      <w:marBottom w:val="0"/>
      <w:divBdr>
        <w:top w:val="none" w:sz="0" w:space="0" w:color="auto"/>
        <w:left w:val="none" w:sz="0" w:space="0" w:color="auto"/>
        <w:bottom w:val="none" w:sz="0" w:space="0" w:color="auto"/>
        <w:right w:val="none" w:sz="0" w:space="0" w:color="auto"/>
      </w:divBdr>
    </w:div>
    <w:div w:id="2012371197">
      <w:bodyDiv w:val="1"/>
      <w:marLeft w:val="0"/>
      <w:marRight w:val="0"/>
      <w:marTop w:val="0"/>
      <w:marBottom w:val="0"/>
      <w:divBdr>
        <w:top w:val="none" w:sz="0" w:space="0" w:color="auto"/>
        <w:left w:val="none" w:sz="0" w:space="0" w:color="auto"/>
        <w:bottom w:val="none" w:sz="0" w:space="0" w:color="auto"/>
        <w:right w:val="none" w:sz="0" w:space="0" w:color="auto"/>
      </w:divBdr>
    </w:div>
    <w:div w:id="2012442634">
      <w:bodyDiv w:val="1"/>
      <w:marLeft w:val="0"/>
      <w:marRight w:val="0"/>
      <w:marTop w:val="0"/>
      <w:marBottom w:val="0"/>
      <w:divBdr>
        <w:top w:val="none" w:sz="0" w:space="0" w:color="auto"/>
        <w:left w:val="none" w:sz="0" w:space="0" w:color="auto"/>
        <w:bottom w:val="none" w:sz="0" w:space="0" w:color="auto"/>
        <w:right w:val="none" w:sz="0" w:space="0" w:color="auto"/>
      </w:divBdr>
    </w:div>
    <w:div w:id="2024747676">
      <w:bodyDiv w:val="1"/>
      <w:marLeft w:val="0"/>
      <w:marRight w:val="0"/>
      <w:marTop w:val="0"/>
      <w:marBottom w:val="0"/>
      <w:divBdr>
        <w:top w:val="none" w:sz="0" w:space="0" w:color="auto"/>
        <w:left w:val="none" w:sz="0" w:space="0" w:color="auto"/>
        <w:bottom w:val="none" w:sz="0" w:space="0" w:color="auto"/>
        <w:right w:val="none" w:sz="0" w:space="0" w:color="auto"/>
      </w:divBdr>
    </w:div>
    <w:div w:id="2026398029">
      <w:bodyDiv w:val="1"/>
      <w:marLeft w:val="0"/>
      <w:marRight w:val="0"/>
      <w:marTop w:val="0"/>
      <w:marBottom w:val="0"/>
      <w:divBdr>
        <w:top w:val="none" w:sz="0" w:space="0" w:color="auto"/>
        <w:left w:val="none" w:sz="0" w:space="0" w:color="auto"/>
        <w:bottom w:val="none" w:sz="0" w:space="0" w:color="auto"/>
        <w:right w:val="none" w:sz="0" w:space="0" w:color="auto"/>
      </w:divBdr>
    </w:div>
    <w:div w:id="2037415935">
      <w:bodyDiv w:val="1"/>
      <w:marLeft w:val="0"/>
      <w:marRight w:val="0"/>
      <w:marTop w:val="0"/>
      <w:marBottom w:val="0"/>
      <w:divBdr>
        <w:top w:val="none" w:sz="0" w:space="0" w:color="auto"/>
        <w:left w:val="none" w:sz="0" w:space="0" w:color="auto"/>
        <w:bottom w:val="none" w:sz="0" w:space="0" w:color="auto"/>
        <w:right w:val="none" w:sz="0" w:space="0" w:color="auto"/>
      </w:divBdr>
    </w:div>
    <w:div w:id="2040816142">
      <w:bodyDiv w:val="1"/>
      <w:marLeft w:val="0"/>
      <w:marRight w:val="0"/>
      <w:marTop w:val="0"/>
      <w:marBottom w:val="0"/>
      <w:divBdr>
        <w:top w:val="none" w:sz="0" w:space="0" w:color="auto"/>
        <w:left w:val="none" w:sz="0" w:space="0" w:color="auto"/>
        <w:bottom w:val="none" w:sz="0" w:space="0" w:color="auto"/>
        <w:right w:val="none" w:sz="0" w:space="0" w:color="auto"/>
      </w:divBdr>
    </w:div>
    <w:div w:id="2054426091">
      <w:bodyDiv w:val="1"/>
      <w:marLeft w:val="0"/>
      <w:marRight w:val="0"/>
      <w:marTop w:val="0"/>
      <w:marBottom w:val="0"/>
      <w:divBdr>
        <w:top w:val="none" w:sz="0" w:space="0" w:color="auto"/>
        <w:left w:val="none" w:sz="0" w:space="0" w:color="auto"/>
        <w:bottom w:val="none" w:sz="0" w:space="0" w:color="auto"/>
        <w:right w:val="none" w:sz="0" w:space="0" w:color="auto"/>
      </w:divBdr>
    </w:div>
    <w:div w:id="2071805632">
      <w:bodyDiv w:val="1"/>
      <w:marLeft w:val="0"/>
      <w:marRight w:val="0"/>
      <w:marTop w:val="0"/>
      <w:marBottom w:val="0"/>
      <w:divBdr>
        <w:top w:val="none" w:sz="0" w:space="0" w:color="auto"/>
        <w:left w:val="none" w:sz="0" w:space="0" w:color="auto"/>
        <w:bottom w:val="none" w:sz="0" w:space="0" w:color="auto"/>
        <w:right w:val="none" w:sz="0" w:space="0" w:color="auto"/>
      </w:divBdr>
    </w:div>
    <w:div w:id="2075733820">
      <w:bodyDiv w:val="1"/>
      <w:marLeft w:val="0"/>
      <w:marRight w:val="0"/>
      <w:marTop w:val="0"/>
      <w:marBottom w:val="0"/>
      <w:divBdr>
        <w:top w:val="none" w:sz="0" w:space="0" w:color="auto"/>
        <w:left w:val="none" w:sz="0" w:space="0" w:color="auto"/>
        <w:bottom w:val="none" w:sz="0" w:space="0" w:color="auto"/>
        <w:right w:val="none" w:sz="0" w:space="0" w:color="auto"/>
      </w:divBdr>
    </w:div>
    <w:div w:id="2088451341">
      <w:bodyDiv w:val="1"/>
      <w:marLeft w:val="0"/>
      <w:marRight w:val="0"/>
      <w:marTop w:val="0"/>
      <w:marBottom w:val="0"/>
      <w:divBdr>
        <w:top w:val="none" w:sz="0" w:space="0" w:color="auto"/>
        <w:left w:val="none" w:sz="0" w:space="0" w:color="auto"/>
        <w:bottom w:val="none" w:sz="0" w:space="0" w:color="auto"/>
        <w:right w:val="none" w:sz="0" w:space="0" w:color="auto"/>
      </w:divBdr>
    </w:div>
    <w:div w:id="2120100035">
      <w:bodyDiv w:val="1"/>
      <w:marLeft w:val="0"/>
      <w:marRight w:val="0"/>
      <w:marTop w:val="0"/>
      <w:marBottom w:val="0"/>
      <w:divBdr>
        <w:top w:val="none" w:sz="0" w:space="0" w:color="auto"/>
        <w:left w:val="none" w:sz="0" w:space="0" w:color="auto"/>
        <w:bottom w:val="none" w:sz="0" w:space="0" w:color="auto"/>
        <w:right w:val="none" w:sz="0" w:space="0" w:color="auto"/>
      </w:divBdr>
    </w:div>
    <w:div w:id="2126845460">
      <w:bodyDiv w:val="1"/>
      <w:marLeft w:val="0"/>
      <w:marRight w:val="0"/>
      <w:marTop w:val="0"/>
      <w:marBottom w:val="0"/>
      <w:divBdr>
        <w:top w:val="none" w:sz="0" w:space="0" w:color="auto"/>
        <w:left w:val="none" w:sz="0" w:space="0" w:color="auto"/>
        <w:bottom w:val="none" w:sz="0" w:space="0" w:color="auto"/>
        <w:right w:val="none" w:sz="0" w:space="0" w:color="auto"/>
      </w:divBdr>
    </w:div>
    <w:div w:id="21314352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diagramLayout" Target="diagrams/layout1.xml"/><Relationship Id="rId47" Type="http://schemas.openxmlformats.org/officeDocument/2006/relationships/hyperlink" Target="https://www.iea.org/reports/data-centres-and-data-transmission-networks" TargetMode="External"/><Relationship Id="rId50" Type="http://schemas.openxmlformats.org/officeDocument/2006/relationships/hyperlink" Target="https://doi.org/10.1080/09613210701475753"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4.xml"/><Relationship Id="rId11" Type="http://schemas.openxmlformats.org/officeDocument/2006/relationships/footer" Target="footer2.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image" Target="media/image5.png"/><Relationship Id="rId45" Type="http://schemas.microsoft.com/office/2007/relationships/diagramDrawing" Target="diagrams/drawing1.xml"/><Relationship Id="rId53" Type="http://schemas.openxmlformats.org/officeDocument/2006/relationships/image" Target="media/image6.png"/><Relationship Id="rId58" Type="http://schemas.openxmlformats.org/officeDocument/2006/relationships/image" Target="media/image8.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4.xml"/><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diagramQuickStyle" Target="diagrams/quickStyle1.xml"/><Relationship Id="rId48" Type="http://schemas.openxmlformats.org/officeDocument/2006/relationships/hyperlink" Target="https://sdgs.un.org/es/goals" TargetMode="External"/><Relationship Id="rId56" Type="http://schemas.openxmlformats.org/officeDocument/2006/relationships/footer" Target="footer3.xml"/><Relationship Id="rId8" Type="http://schemas.openxmlformats.org/officeDocument/2006/relationships/header" Target="header1.xml"/><Relationship Id="rId51" Type="http://schemas.openxmlformats.org/officeDocument/2006/relationships/hyperlink" Target="https://unglobalcompact.org/library/1151"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hyperlink" Target="https://ahrefs.com/writing-tools/sentence-rewriter" TargetMode="External"/><Relationship Id="rId59" Type="http://schemas.openxmlformats.org/officeDocument/2006/relationships/image" Target="media/image9.png"/><Relationship Id="rId20" Type="http://schemas.openxmlformats.org/officeDocument/2006/relationships/chart" Target="charts/chart5.xml"/><Relationship Id="rId41" Type="http://schemas.openxmlformats.org/officeDocument/2006/relationships/diagramData" Target="diagrams/data1.xm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hyperlink" Target="https://docs.lib.purdue.edu/cgi/viewcontent.cgi?article=2129&amp;context=cib-conferences" TargetMode="External"/><Relationship Id="rId57" Type="http://schemas.openxmlformats.org/officeDocument/2006/relationships/footer" Target="footer4.xml"/><Relationship Id="rId10" Type="http://schemas.openxmlformats.org/officeDocument/2006/relationships/footer" Target="footer1.xml"/><Relationship Id="rId31" Type="http://schemas.openxmlformats.org/officeDocument/2006/relationships/chart" Target="charts/chart16.xml"/><Relationship Id="rId44" Type="http://schemas.openxmlformats.org/officeDocument/2006/relationships/diagramColors" Target="diagrams/colors1.xml"/><Relationship Id="rId52" Type="http://schemas.openxmlformats.org/officeDocument/2006/relationships/hyperlink" Target="https://www.unglobalcompact.org/what-is-gc/mission/principl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8F176EDF-9604-4A04-8ED0-EECD0FAA208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A55-496B-AB55-07D13681E747}"/>
                </c:ext>
              </c:extLst>
            </c:dLbl>
            <c:dLbl>
              <c:idx val="1"/>
              <c:tx>
                <c:rich>
                  <a:bodyPr/>
                  <a:lstStyle/>
                  <a:p>
                    <a:fld id="{2A2048A1-C619-457A-8694-86AC97D57D17}"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A55-496B-AB55-07D13681E747}"/>
                </c:ext>
              </c:extLst>
            </c:dLbl>
            <c:dLbl>
              <c:idx val="2"/>
              <c:tx>
                <c:rich>
                  <a:bodyPr/>
                  <a:lstStyle/>
                  <a:p>
                    <a:fld id="{0E4BC9E9-9929-4C75-A069-C9D73462721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A55-496B-AB55-07D13681E747}"/>
                </c:ext>
              </c:extLst>
            </c:dLbl>
            <c:dLbl>
              <c:idx val="3"/>
              <c:tx>
                <c:rich>
                  <a:bodyPr/>
                  <a:lstStyle/>
                  <a:p>
                    <a:fld id="{5C4B4C2F-8A13-4814-A260-5A3910FD7CA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A55-496B-AB55-07D13681E7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Hoja2!$E$4:$E$7</c:f>
              <c:strCache>
                <c:ptCount val="4"/>
                <c:pt idx="0">
                  <c:v>Contratista eléctrico</c:v>
                </c:pt>
                <c:pt idx="1">
                  <c:v>Dueño/cliente</c:v>
                </c:pt>
                <c:pt idx="2">
                  <c:v>Otro</c:v>
                </c:pt>
                <c:pt idx="3">
                  <c:v>Contratista general</c:v>
                </c:pt>
              </c:strCache>
            </c:strRef>
          </c:cat>
          <c:val>
            <c:numRef>
              <c:f>Hoja2!$F$4:$F$7</c:f>
              <c:numCache>
                <c:formatCode>0</c:formatCode>
                <c:ptCount val="4"/>
                <c:pt idx="0">
                  <c:v>57.89473684210526</c:v>
                </c:pt>
                <c:pt idx="1">
                  <c:v>26.315789473684209</c:v>
                </c:pt>
                <c:pt idx="2">
                  <c:v>10.526315789473685</c:v>
                </c:pt>
                <c:pt idx="3">
                  <c:v>5.2631578947368425</c:v>
                </c:pt>
              </c:numCache>
            </c:numRef>
          </c:val>
          <c:extLst>
            <c:ext xmlns:c16="http://schemas.microsoft.com/office/drawing/2014/chart" uri="{C3380CC4-5D6E-409C-BE32-E72D297353CC}">
              <c16:uniqueId val="{00000004-0A55-496B-AB55-07D13681E747}"/>
            </c:ext>
          </c:extLst>
        </c:ser>
        <c:dLbls>
          <c:dLblPos val="outEnd"/>
          <c:showLegendKey val="0"/>
          <c:showVal val="1"/>
          <c:showCatName val="0"/>
          <c:showSerName val="0"/>
          <c:showPercent val="0"/>
          <c:showBubbleSize val="0"/>
        </c:dLbls>
        <c:gapWidth val="219"/>
        <c:overlap val="-27"/>
        <c:axId val="753985384"/>
        <c:axId val="753986824"/>
      </c:barChart>
      <c:catAx>
        <c:axId val="753985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3986824"/>
        <c:crosses val="autoZero"/>
        <c:auto val="1"/>
        <c:lblAlgn val="ctr"/>
        <c:lblOffset val="100"/>
        <c:noMultiLvlLbl val="0"/>
      </c:catAx>
      <c:valAx>
        <c:axId val="753986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3985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44-4D7D-A949-32CE0D4370EE}"/>
                </c:ext>
              </c:extLst>
            </c:dLbl>
            <c:dLbl>
              <c:idx val="1"/>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344-4D7D-A949-32CE0D4370EE}"/>
                </c:ext>
              </c:extLst>
            </c:dLbl>
            <c:dLbl>
              <c:idx val="2"/>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344-4D7D-A949-32CE0D4370EE}"/>
                </c:ext>
              </c:extLst>
            </c:dLbl>
            <c:dLbl>
              <c:idx val="3"/>
              <c:tx>
                <c:rich>
                  <a:bodyPr/>
                  <a:lstStyle/>
                  <a:p>
                    <a:fld id="{8D104586-23CB-4F42-8C04-9B4844500FD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344-4D7D-A949-32CE0D4370EE}"/>
                </c:ext>
              </c:extLst>
            </c:dLbl>
            <c:dLbl>
              <c:idx val="4"/>
              <c:tx>
                <c:rich>
                  <a:bodyPr/>
                  <a:lstStyle/>
                  <a:p>
                    <a:fld id="{B930F8DC-FDC4-4364-918D-B0CD7434622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344-4D7D-A949-32CE0D4370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Hoja2!$E$92:$E$96</c:f>
              <c:strCache>
                <c:ptCount val="5"/>
                <c:pt idx="0">
                  <c:v>Nunca</c:v>
                </c:pt>
                <c:pt idx="1">
                  <c:v>Rara vez</c:v>
                </c:pt>
                <c:pt idx="2">
                  <c:v>A veces</c:v>
                </c:pt>
                <c:pt idx="3">
                  <c:v>Casi siempre</c:v>
                </c:pt>
                <c:pt idx="4">
                  <c:v>Siempre</c:v>
                </c:pt>
              </c:strCache>
            </c:strRef>
          </c:cat>
          <c:val>
            <c:numRef>
              <c:f>Hoja2!$F$92:$F$96</c:f>
              <c:numCache>
                <c:formatCode>0</c:formatCode>
                <c:ptCount val="5"/>
                <c:pt idx="0">
                  <c:v>10.526315789473685</c:v>
                </c:pt>
                <c:pt idx="1">
                  <c:v>26.315789473684209</c:v>
                </c:pt>
                <c:pt idx="2">
                  <c:v>26.315789473684209</c:v>
                </c:pt>
                <c:pt idx="3">
                  <c:v>10.526315789473685</c:v>
                </c:pt>
                <c:pt idx="4">
                  <c:v>26.315789473684209</c:v>
                </c:pt>
              </c:numCache>
            </c:numRef>
          </c:val>
          <c:extLst>
            <c:ext xmlns:c16="http://schemas.microsoft.com/office/drawing/2014/chart" uri="{C3380CC4-5D6E-409C-BE32-E72D297353CC}">
              <c16:uniqueId val="{00000005-1344-4D7D-A949-32CE0D4370EE}"/>
            </c:ext>
          </c:extLst>
        </c:ser>
        <c:dLbls>
          <c:dLblPos val="outEnd"/>
          <c:showLegendKey val="0"/>
          <c:showVal val="1"/>
          <c:showCatName val="0"/>
          <c:showSerName val="0"/>
          <c:showPercent val="0"/>
          <c:showBubbleSize val="0"/>
        </c:dLbls>
        <c:gapWidth val="219"/>
        <c:overlap val="-27"/>
        <c:axId val="765127064"/>
        <c:axId val="765127784"/>
      </c:barChart>
      <c:catAx>
        <c:axId val="765127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127784"/>
        <c:crosses val="autoZero"/>
        <c:auto val="1"/>
        <c:lblAlgn val="ctr"/>
        <c:lblOffset val="100"/>
        <c:noMultiLvlLbl val="0"/>
      </c:catAx>
      <c:valAx>
        <c:axId val="765127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127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07A8DD06-42A6-4942-908F-908003561A3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6DF-45F8-80CD-5D1EE1B88574}"/>
                </c:ext>
              </c:extLst>
            </c:dLbl>
            <c:dLbl>
              <c:idx val="1"/>
              <c:tx>
                <c:rich>
                  <a:bodyPr/>
                  <a:lstStyle/>
                  <a:p>
                    <a:fld id="{D2BACD2D-5EFE-4732-84C3-423215BAFA3B}"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6DF-45F8-80CD-5D1EE1B88574}"/>
                </c:ext>
              </c:extLst>
            </c:dLbl>
            <c:dLbl>
              <c:idx val="2"/>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DF-45F8-80CD-5D1EE1B88574}"/>
                </c:ext>
              </c:extLst>
            </c:dLbl>
            <c:dLbl>
              <c:idx val="3"/>
              <c:tx>
                <c:rich>
                  <a:bodyPr/>
                  <a:lstStyle/>
                  <a:p>
                    <a:fld id="{ABC1B4F3-608C-4270-A3C7-D9E56E04D1BC}"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6DF-45F8-80CD-5D1EE1B885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Hoja2!$E$104:$E$107</c:f>
              <c:strCache>
                <c:ptCount val="4"/>
                <c:pt idx="0">
                  <c:v>Rara vez</c:v>
                </c:pt>
                <c:pt idx="1">
                  <c:v>A veces</c:v>
                </c:pt>
                <c:pt idx="2">
                  <c:v>Casi siempre</c:v>
                </c:pt>
                <c:pt idx="3">
                  <c:v>Siempre</c:v>
                </c:pt>
              </c:strCache>
            </c:strRef>
          </c:cat>
          <c:val>
            <c:numRef>
              <c:f>Hoja2!$F$104:$F$107</c:f>
              <c:numCache>
                <c:formatCode>0</c:formatCode>
                <c:ptCount val="4"/>
                <c:pt idx="0">
                  <c:v>10.526315789473685</c:v>
                </c:pt>
                <c:pt idx="1">
                  <c:v>31.578947368421051</c:v>
                </c:pt>
                <c:pt idx="2">
                  <c:v>26.315789473684209</c:v>
                </c:pt>
                <c:pt idx="3">
                  <c:v>31.578947368421051</c:v>
                </c:pt>
              </c:numCache>
            </c:numRef>
          </c:val>
          <c:extLst>
            <c:ext xmlns:c16="http://schemas.microsoft.com/office/drawing/2014/chart" uri="{C3380CC4-5D6E-409C-BE32-E72D297353CC}">
              <c16:uniqueId val="{00000004-F6DF-45F8-80CD-5D1EE1B88574}"/>
            </c:ext>
          </c:extLst>
        </c:ser>
        <c:dLbls>
          <c:dLblPos val="outEnd"/>
          <c:showLegendKey val="0"/>
          <c:showVal val="1"/>
          <c:showCatName val="0"/>
          <c:showSerName val="0"/>
          <c:showPercent val="0"/>
          <c:showBubbleSize val="0"/>
        </c:dLbls>
        <c:gapWidth val="219"/>
        <c:overlap val="-27"/>
        <c:axId val="904608096"/>
        <c:axId val="904606296"/>
      </c:barChart>
      <c:catAx>
        <c:axId val="90460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606296"/>
        <c:crosses val="autoZero"/>
        <c:auto val="1"/>
        <c:lblAlgn val="ctr"/>
        <c:lblOffset val="100"/>
        <c:noMultiLvlLbl val="0"/>
      </c:catAx>
      <c:valAx>
        <c:axId val="904606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60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Hoja2!$E$104:$E$107</c:f>
              <c:strCache>
                <c:ptCount val="4"/>
                <c:pt idx="0">
                  <c:v>Rara vez</c:v>
                </c:pt>
                <c:pt idx="1">
                  <c:v>A veces</c:v>
                </c:pt>
                <c:pt idx="2">
                  <c:v>Casi siempre</c:v>
                </c:pt>
                <c:pt idx="3">
                  <c:v>Siempre</c:v>
                </c:pt>
              </c:strCache>
            </c:strRef>
          </c:cat>
          <c:val>
            <c:numRef>
              <c:f>Hoja2!$F$104:$F$107</c:f>
              <c:numCache>
                <c:formatCode>0</c:formatCode>
                <c:ptCount val="4"/>
                <c:pt idx="0">
                  <c:v>10.526315789473685</c:v>
                </c:pt>
                <c:pt idx="1">
                  <c:v>31.578947368421051</c:v>
                </c:pt>
                <c:pt idx="2">
                  <c:v>26.315789473684209</c:v>
                </c:pt>
                <c:pt idx="3">
                  <c:v>31.578947368421051</c:v>
                </c:pt>
              </c:numCache>
            </c:numRef>
          </c:val>
          <c:extLst>
            <c:ext xmlns:c16="http://schemas.microsoft.com/office/drawing/2014/chart" uri="{C3380CC4-5D6E-409C-BE32-E72D297353CC}">
              <c16:uniqueId val="{00000000-042A-42FE-B5C0-FDBB65795F81}"/>
            </c:ext>
          </c:extLst>
        </c:ser>
        <c:dLbls>
          <c:dLblPos val="outEnd"/>
          <c:showLegendKey val="0"/>
          <c:showVal val="1"/>
          <c:showCatName val="0"/>
          <c:showSerName val="0"/>
          <c:showPercent val="0"/>
          <c:showBubbleSize val="0"/>
        </c:dLbls>
        <c:gapWidth val="219"/>
        <c:overlap val="-27"/>
        <c:axId val="904608096"/>
        <c:axId val="904606296"/>
      </c:barChart>
      <c:catAx>
        <c:axId val="90460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606296"/>
        <c:crosses val="autoZero"/>
        <c:auto val="1"/>
        <c:lblAlgn val="ctr"/>
        <c:lblOffset val="100"/>
        <c:noMultiLvlLbl val="0"/>
      </c:catAx>
      <c:valAx>
        <c:axId val="904606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60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Hoja2!$E$114:$E$118</c:f>
              <c:strCache>
                <c:ptCount val="5"/>
                <c:pt idx="0">
                  <c:v>Nunca</c:v>
                </c:pt>
                <c:pt idx="1">
                  <c:v>Rara vez</c:v>
                </c:pt>
                <c:pt idx="2">
                  <c:v>A veces</c:v>
                </c:pt>
                <c:pt idx="3">
                  <c:v>Casi siempre</c:v>
                </c:pt>
                <c:pt idx="4">
                  <c:v>Siempre</c:v>
                </c:pt>
              </c:strCache>
            </c:strRef>
          </c:cat>
          <c:val>
            <c:numRef>
              <c:f>Hoja2!$F$114:$F$118</c:f>
              <c:numCache>
                <c:formatCode>0</c:formatCode>
                <c:ptCount val="5"/>
                <c:pt idx="0">
                  <c:v>47.368421052631582</c:v>
                </c:pt>
                <c:pt idx="1">
                  <c:v>10.526315789473685</c:v>
                </c:pt>
                <c:pt idx="2">
                  <c:v>21.05263157894737</c:v>
                </c:pt>
                <c:pt idx="3">
                  <c:v>10.526315789473685</c:v>
                </c:pt>
                <c:pt idx="4">
                  <c:v>10.526315789473685</c:v>
                </c:pt>
              </c:numCache>
            </c:numRef>
          </c:val>
          <c:extLst>
            <c:ext xmlns:c16="http://schemas.microsoft.com/office/drawing/2014/chart" uri="{C3380CC4-5D6E-409C-BE32-E72D297353CC}">
              <c16:uniqueId val="{00000000-E758-43D2-AE6F-66A5FB60654B}"/>
            </c:ext>
          </c:extLst>
        </c:ser>
        <c:dLbls>
          <c:dLblPos val="outEnd"/>
          <c:showLegendKey val="0"/>
          <c:showVal val="1"/>
          <c:showCatName val="0"/>
          <c:showSerName val="0"/>
          <c:showPercent val="0"/>
          <c:showBubbleSize val="0"/>
        </c:dLbls>
        <c:gapWidth val="219"/>
        <c:overlap val="-27"/>
        <c:axId val="843758160"/>
        <c:axId val="843758520"/>
      </c:barChart>
      <c:catAx>
        <c:axId val="84375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758520"/>
        <c:crosses val="autoZero"/>
        <c:auto val="1"/>
        <c:lblAlgn val="ctr"/>
        <c:lblOffset val="100"/>
        <c:noMultiLvlLbl val="0"/>
      </c:catAx>
      <c:valAx>
        <c:axId val="843758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758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Hoja2!$E$125:$E$129</c:f>
              <c:strCache>
                <c:ptCount val="5"/>
                <c:pt idx="0">
                  <c:v>Nunca</c:v>
                </c:pt>
                <c:pt idx="1">
                  <c:v>Rara vez</c:v>
                </c:pt>
                <c:pt idx="2">
                  <c:v>A veces</c:v>
                </c:pt>
                <c:pt idx="3">
                  <c:v>Casi siempre</c:v>
                </c:pt>
                <c:pt idx="4">
                  <c:v>Siempre</c:v>
                </c:pt>
              </c:strCache>
            </c:strRef>
          </c:cat>
          <c:val>
            <c:numRef>
              <c:f>Hoja2!$F$125:$F$129</c:f>
              <c:numCache>
                <c:formatCode>0</c:formatCode>
                <c:ptCount val="5"/>
                <c:pt idx="0">
                  <c:v>21.05263157894737</c:v>
                </c:pt>
                <c:pt idx="1">
                  <c:v>36.842105263157897</c:v>
                </c:pt>
                <c:pt idx="2">
                  <c:v>5.2631578947368425</c:v>
                </c:pt>
                <c:pt idx="3">
                  <c:v>10.526315789473685</c:v>
                </c:pt>
                <c:pt idx="4">
                  <c:v>26.315789473684209</c:v>
                </c:pt>
              </c:numCache>
            </c:numRef>
          </c:val>
          <c:extLst>
            <c:ext xmlns:c16="http://schemas.microsoft.com/office/drawing/2014/chart" uri="{C3380CC4-5D6E-409C-BE32-E72D297353CC}">
              <c16:uniqueId val="{00000000-99B5-48D6-8197-9304E759C225}"/>
            </c:ext>
          </c:extLst>
        </c:ser>
        <c:dLbls>
          <c:dLblPos val="outEnd"/>
          <c:showLegendKey val="0"/>
          <c:showVal val="1"/>
          <c:showCatName val="0"/>
          <c:showSerName val="0"/>
          <c:showPercent val="0"/>
          <c:showBubbleSize val="0"/>
        </c:dLbls>
        <c:gapWidth val="219"/>
        <c:overlap val="-27"/>
        <c:axId val="710754504"/>
        <c:axId val="710752344"/>
      </c:barChart>
      <c:catAx>
        <c:axId val="71075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752344"/>
        <c:crosses val="autoZero"/>
        <c:auto val="1"/>
        <c:lblAlgn val="ctr"/>
        <c:lblOffset val="100"/>
        <c:noMultiLvlLbl val="0"/>
      </c:catAx>
      <c:valAx>
        <c:axId val="710752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754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Hoja2!$E$137:$E$141</c:f>
              <c:strCache>
                <c:ptCount val="5"/>
                <c:pt idx="0">
                  <c:v>Nunca</c:v>
                </c:pt>
                <c:pt idx="1">
                  <c:v>Rara vez</c:v>
                </c:pt>
                <c:pt idx="2">
                  <c:v>A veces</c:v>
                </c:pt>
                <c:pt idx="3">
                  <c:v>Casi siempre</c:v>
                </c:pt>
                <c:pt idx="4">
                  <c:v>Siempre</c:v>
                </c:pt>
              </c:strCache>
            </c:strRef>
          </c:cat>
          <c:val>
            <c:numRef>
              <c:f>Hoja2!$F$137:$F$141</c:f>
              <c:numCache>
                <c:formatCode>0</c:formatCode>
                <c:ptCount val="5"/>
                <c:pt idx="0">
                  <c:v>15.789473684210526</c:v>
                </c:pt>
                <c:pt idx="1">
                  <c:v>5.2631578947368425</c:v>
                </c:pt>
                <c:pt idx="2">
                  <c:v>21.05263157894737</c:v>
                </c:pt>
                <c:pt idx="3">
                  <c:v>21.05263157894737</c:v>
                </c:pt>
                <c:pt idx="4">
                  <c:v>36.842105263157897</c:v>
                </c:pt>
              </c:numCache>
            </c:numRef>
          </c:val>
          <c:extLst>
            <c:ext xmlns:c16="http://schemas.microsoft.com/office/drawing/2014/chart" uri="{C3380CC4-5D6E-409C-BE32-E72D297353CC}">
              <c16:uniqueId val="{00000000-88FE-436E-86F8-7D75EFF61325}"/>
            </c:ext>
          </c:extLst>
        </c:ser>
        <c:dLbls>
          <c:dLblPos val="outEnd"/>
          <c:showLegendKey val="0"/>
          <c:showVal val="1"/>
          <c:showCatName val="0"/>
          <c:showSerName val="0"/>
          <c:showPercent val="0"/>
          <c:showBubbleSize val="0"/>
        </c:dLbls>
        <c:gapWidth val="219"/>
        <c:overlap val="-27"/>
        <c:axId val="904594776"/>
        <c:axId val="904596576"/>
      </c:barChart>
      <c:catAx>
        <c:axId val="90459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596576"/>
        <c:crosses val="autoZero"/>
        <c:auto val="1"/>
        <c:lblAlgn val="ctr"/>
        <c:lblOffset val="100"/>
        <c:noMultiLvlLbl val="0"/>
      </c:catAx>
      <c:valAx>
        <c:axId val="90459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594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Hoja2!$E$147:$E$151</c:f>
              <c:strCache>
                <c:ptCount val="5"/>
                <c:pt idx="0">
                  <c:v>Nunca</c:v>
                </c:pt>
                <c:pt idx="1">
                  <c:v>Rara vez</c:v>
                </c:pt>
                <c:pt idx="2">
                  <c:v>A veces</c:v>
                </c:pt>
                <c:pt idx="3">
                  <c:v>Casi siempre</c:v>
                </c:pt>
                <c:pt idx="4">
                  <c:v>Siempre</c:v>
                </c:pt>
              </c:strCache>
            </c:strRef>
          </c:cat>
          <c:val>
            <c:numRef>
              <c:f>Hoja2!$F$147:$F$151</c:f>
              <c:numCache>
                <c:formatCode>0</c:formatCode>
                <c:ptCount val="5"/>
                <c:pt idx="0">
                  <c:v>5.2631578947368425</c:v>
                </c:pt>
                <c:pt idx="1">
                  <c:v>31.578947368421051</c:v>
                </c:pt>
                <c:pt idx="2">
                  <c:v>10.526315789473685</c:v>
                </c:pt>
                <c:pt idx="3">
                  <c:v>21.05263157894737</c:v>
                </c:pt>
                <c:pt idx="4">
                  <c:v>31.578947368421051</c:v>
                </c:pt>
              </c:numCache>
            </c:numRef>
          </c:val>
          <c:extLst>
            <c:ext xmlns:c16="http://schemas.microsoft.com/office/drawing/2014/chart" uri="{C3380CC4-5D6E-409C-BE32-E72D297353CC}">
              <c16:uniqueId val="{00000000-B58D-41CA-B77F-82D84A3AFF19}"/>
            </c:ext>
          </c:extLst>
        </c:ser>
        <c:dLbls>
          <c:dLblPos val="outEnd"/>
          <c:showLegendKey val="0"/>
          <c:showVal val="1"/>
          <c:showCatName val="0"/>
          <c:showSerName val="0"/>
          <c:showPercent val="0"/>
          <c:showBubbleSize val="0"/>
        </c:dLbls>
        <c:gapWidth val="219"/>
        <c:overlap val="-27"/>
        <c:axId val="848415960"/>
        <c:axId val="848414880"/>
      </c:barChart>
      <c:catAx>
        <c:axId val="84841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14880"/>
        <c:crosses val="autoZero"/>
        <c:auto val="1"/>
        <c:lblAlgn val="ctr"/>
        <c:lblOffset val="100"/>
        <c:noMultiLvlLbl val="0"/>
      </c:catAx>
      <c:valAx>
        <c:axId val="848414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415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Hoja2!$E$158:$E$160</c:f>
              <c:strCache>
                <c:ptCount val="3"/>
                <c:pt idx="0">
                  <c:v>A veces</c:v>
                </c:pt>
                <c:pt idx="1">
                  <c:v>Casi siempre</c:v>
                </c:pt>
                <c:pt idx="2">
                  <c:v>Siempre</c:v>
                </c:pt>
              </c:strCache>
            </c:strRef>
          </c:cat>
          <c:val>
            <c:numRef>
              <c:f>Hoja2!$F$158:$F$160</c:f>
              <c:numCache>
                <c:formatCode>0</c:formatCode>
                <c:ptCount val="3"/>
                <c:pt idx="0">
                  <c:v>52.631578947368418</c:v>
                </c:pt>
                <c:pt idx="1">
                  <c:v>26.315789473684209</c:v>
                </c:pt>
                <c:pt idx="2">
                  <c:v>21.05263157894737</c:v>
                </c:pt>
              </c:numCache>
            </c:numRef>
          </c:val>
          <c:extLst>
            <c:ext xmlns:c16="http://schemas.microsoft.com/office/drawing/2014/chart" uri="{C3380CC4-5D6E-409C-BE32-E72D297353CC}">
              <c16:uniqueId val="{00000000-D62A-425A-9464-4F153A17B8B4}"/>
            </c:ext>
          </c:extLst>
        </c:ser>
        <c:dLbls>
          <c:dLblPos val="outEnd"/>
          <c:showLegendKey val="0"/>
          <c:showVal val="1"/>
          <c:showCatName val="0"/>
          <c:showSerName val="0"/>
          <c:showPercent val="0"/>
          <c:showBubbleSize val="0"/>
        </c:dLbls>
        <c:gapWidth val="219"/>
        <c:overlap val="-27"/>
        <c:axId val="908166120"/>
        <c:axId val="908167200"/>
      </c:barChart>
      <c:catAx>
        <c:axId val="908166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67200"/>
        <c:crosses val="autoZero"/>
        <c:auto val="1"/>
        <c:lblAlgn val="ctr"/>
        <c:lblOffset val="100"/>
        <c:noMultiLvlLbl val="0"/>
      </c:catAx>
      <c:valAx>
        <c:axId val="90816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66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Hoja2!$E$167:$E$171</c:f>
              <c:strCache>
                <c:ptCount val="5"/>
                <c:pt idx="0">
                  <c:v>Nunca</c:v>
                </c:pt>
                <c:pt idx="1">
                  <c:v>Rara vez</c:v>
                </c:pt>
                <c:pt idx="2">
                  <c:v>A veces</c:v>
                </c:pt>
                <c:pt idx="3">
                  <c:v>Casi siempre</c:v>
                </c:pt>
                <c:pt idx="4">
                  <c:v>Siempre</c:v>
                </c:pt>
              </c:strCache>
            </c:strRef>
          </c:cat>
          <c:val>
            <c:numRef>
              <c:f>Hoja2!$F$167:$F$171</c:f>
              <c:numCache>
                <c:formatCode>0</c:formatCode>
                <c:ptCount val="5"/>
                <c:pt idx="0">
                  <c:v>5.2631578947368425</c:v>
                </c:pt>
                <c:pt idx="1">
                  <c:v>15.789473684210526</c:v>
                </c:pt>
                <c:pt idx="2">
                  <c:v>31.578947368421051</c:v>
                </c:pt>
                <c:pt idx="3">
                  <c:v>31.578947368421051</c:v>
                </c:pt>
                <c:pt idx="4">
                  <c:v>15.789473684210526</c:v>
                </c:pt>
              </c:numCache>
            </c:numRef>
          </c:val>
          <c:extLst>
            <c:ext xmlns:c16="http://schemas.microsoft.com/office/drawing/2014/chart" uri="{C3380CC4-5D6E-409C-BE32-E72D297353CC}">
              <c16:uniqueId val="{00000000-44DB-4C81-9E5C-BCDD71E3E47F}"/>
            </c:ext>
          </c:extLst>
        </c:ser>
        <c:dLbls>
          <c:dLblPos val="outEnd"/>
          <c:showLegendKey val="0"/>
          <c:showVal val="1"/>
          <c:showCatName val="0"/>
          <c:showSerName val="0"/>
          <c:showPercent val="0"/>
          <c:showBubbleSize val="0"/>
        </c:dLbls>
        <c:gapWidth val="219"/>
        <c:overlap val="-27"/>
        <c:axId val="514405272"/>
        <c:axId val="514411752"/>
      </c:barChart>
      <c:catAx>
        <c:axId val="51440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411752"/>
        <c:crosses val="autoZero"/>
        <c:auto val="1"/>
        <c:lblAlgn val="ctr"/>
        <c:lblOffset val="100"/>
        <c:noMultiLvlLbl val="0"/>
      </c:catAx>
      <c:valAx>
        <c:axId val="514411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405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Hoja2!$E$178:$E$181</c:f>
              <c:strCache>
                <c:ptCount val="4"/>
                <c:pt idx="0">
                  <c:v>Rara vez</c:v>
                </c:pt>
                <c:pt idx="1">
                  <c:v>A veces</c:v>
                </c:pt>
                <c:pt idx="2">
                  <c:v>Casi siempre</c:v>
                </c:pt>
                <c:pt idx="3">
                  <c:v>Siempre</c:v>
                </c:pt>
              </c:strCache>
            </c:strRef>
          </c:cat>
          <c:val>
            <c:numRef>
              <c:f>Hoja2!$F$178:$F$181</c:f>
              <c:numCache>
                <c:formatCode>0</c:formatCode>
                <c:ptCount val="4"/>
                <c:pt idx="0">
                  <c:v>5.2631578947368425</c:v>
                </c:pt>
                <c:pt idx="1">
                  <c:v>36.842105263157897</c:v>
                </c:pt>
                <c:pt idx="2">
                  <c:v>21.05263157894737</c:v>
                </c:pt>
                <c:pt idx="3">
                  <c:v>36.842105263157897</c:v>
                </c:pt>
              </c:numCache>
            </c:numRef>
          </c:val>
          <c:extLst>
            <c:ext xmlns:c16="http://schemas.microsoft.com/office/drawing/2014/chart" uri="{C3380CC4-5D6E-409C-BE32-E72D297353CC}">
              <c16:uniqueId val="{00000000-4430-429D-85D0-95F379D30865}"/>
            </c:ext>
          </c:extLst>
        </c:ser>
        <c:dLbls>
          <c:dLblPos val="outEnd"/>
          <c:showLegendKey val="0"/>
          <c:showVal val="1"/>
          <c:showCatName val="0"/>
          <c:showSerName val="0"/>
          <c:showPercent val="0"/>
          <c:showBubbleSize val="0"/>
        </c:dLbls>
        <c:gapWidth val="219"/>
        <c:overlap val="-27"/>
        <c:axId val="848115512"/>
        <c:axId val="848118752"/>
      </c:barChart>
      <c:catAx>
        <c:axId val="84811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18752"/>
        <c:crosses val="autoZero"/>
        <c:auto val="1"/>
        <c:lblAlgn val="ctr"/>
        <c:lblOffset val="100"/>
        <c:noMultiLvlLbl val="0"/>
      </c:catAx>
      <c:valAx>
        <c:axId val="848118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115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F784A640-E481-43E4-AD9B-CEDB584EA14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F25-4985-8914-D7425BDE54CE}"/>
                </c:ext>
              </c:extLst>
            </c:dLbl>
            <c:dLbl>
              <c:idx val="1"/>
              <c:tx>
                <c:rich>
                  <a:bodyPr/>
                  <a:lstStyle/>
                  <a:p>
                    <a:fld id="{9BCB61A8-F261-45B3-B849-DDF2178F3E2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F25-4985-8914-D7425BDE54CE}"/>
                </c:ext>
              </c:extLst>
            </c:dLbl>
            <c:dLbl>
              <c:idx val="2"/>
              <c:tx>
                <c:rich>
                  <a:bodyPr/>
                  <a:lstStyle/>
                  <a:p>
                    <a:fld id="{B9AECAB9-8028-4020-994A-EC44D6D38ACC}"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F25-4985-8914-D7425BDE54CE}"/>
                </c:ext>
              </c:extLst>
            </c:dLbl>
            <c:dLbl>
              <c:idx val="3"/>
              <c:tx>
                <c:rich>
                  <a:bodyPr/>
                  <a:lstStyle/>
                  <a:p>
                    <a:fld id="{F0CB0EA5-8316-48A1-AA54-8DB9F7AFA58A}" type="VALUE">
                      <a:rPr lang="en-US"/>
                      <a:pPr/>
                      <a:t>[VALUE]</a:t>
                    </a:fld>
                    <a:r>
                      <a:rPr lang="en-US"/>
                      <a:t>5</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F25-4985-8914-D7425BDE54CE}"/>
                </c:ext>
              </c:extLst>
            </c:dLbl>
            <c:dLbl>
              <c:idx val="4"/>
              <c:tx>
                <c:rich>
                  <a:bodyPr/>
                  <a:lstStyle/>
                  <a:p>
                    <a:fld id="{4982DBA0-E10A-4A92-950D-7C9EC3C6F55D}" type="VALUE">
                      <a:rPr lang="en-US"/>
                      <a:pPr/>
                      <a:t>[VALUE]</a:t>
                    </a:fld>
                    <a:r>
                      <a:rPr lang="en-US"/>
                      <a:t>5</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F25-4985-8914-D7425BDE54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Hoja2!$E$12:$E$16</c:f>
              <c:strCache>
                <c:ptCount val="5"/>
                <c:pt idx="0">
                  <c:v>Administración</c:v>
                </c:pt>
                <c:pt idx="1">
                  <c:v>Superintendente o supervisor</c:v>
                </c:pt>
                <c:pt idx="2">
                  <c:v>Técnico del campo</c:v>
                </c:pt>
                <c:pt idx="3">
                  <c:v>Otro</c:v>
                </c:pt>
                <c:pt idx="4">
                  <c:v>Ingeniero</c:v>
                </c:pt>
              </c:strCache>
            </c:strRef>
          </c:cat>
          <c:val>
            <c:numRef>
              <c:f>Hoja2!$F$12:$F$16</c:f>
              <c:numCache>
                <c:formatCode>0</c:formatCode>
                <c:ptCount val="5"/>
                <c:pt idx="0">
                  <c:v>52.631578947368418</c:v>
                </c:pt>
                <c:pt idx="1">
                  <c:v>15.789473684210526</c:v>
                </c:pt>
                <c:pt idx="2">
                  <c:v>15.789473684210526</c:v>
                </c:pt>
                <c:pt idx="3">
                  <c:v>10.526315789473685</c:v>
                </c:pt>
                <c:pt idx="4">
                  <c:v>5.2631578947368425</c:v>
                </c:pt>
              </c:numCache>
            </c:numRef>
          </c:val>
          <c:extLst>
            <c:ext xmlns:c16="http://schemas.microsoft.com/office/drawing/2014/chart" uri="{C3380CC4-5D6E-409C-BE32-E72D297353CC}">
              <c16:uniqueId val="{00000005-2F25-4985-8914-D7425BDE54CE}"/>
            </c:ext>
          </c:extLst>
        </c:ser>
        <c:dLbls>
          <c:dLblPos val="outEnd"/>
          <c:showLegendKey val="0"/>
          <c:showVal val="1"/>
          <c:showCatName val="0"/>
          <c:showSerName val="0"/>
          <c:showPercent val="0"/>
          <c:showBubbleSize val="0"/>
        </c:dLbls>
        <c:gapWidth val="219"/>
        <c:overlap val="-27"/>
        <c:axId val="840736600"/>
        <c:axId val="840736960"/>
      </c:barChart>
      <c:catAx>
        <c:axId val="84073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736960"/>
        <c:crosses val="autoZero"/>
        <c:auto val="1"/>
        <c:lblAlgn val="ctr"/>
        <c:lblOffset val="100"/>
        <c:noMultiLvlLbl val="0"/>
      </c:catAx>
      <c:valAx>
        <c:axId val="840736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736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Hoja2!$E$188:$E$192</c:f>
              <c:strCache>
                <c:ptCount val="5"/>
                <c:pt idx="0">
                  <c:v>Nunca</c:v>
                </c:pt>
                <c:pt idx="1">
                  <c:v>Rara vez</c:v>
                </c:pt>
                <c:pt idx="2">
                  <c:v>A veces</c:v>
                </c:pt>
                <c:pt idx="3">
                  <c:v>Casi siempre</c:v>
                </c:pt>
                <c:pt idx="4">
                  <c:v>Siempre</c:v>
                </c:pt>
              </c:strCache>
            </c:strRef>
          </c:cat>
          <c:val>
            <c:numRef>
              <c:f>Hoja2!$F$188:$F$192</c:f>
              <c:numCache>
                <c:formatCode>0</c:formatCode>
                <c:ptCount val="5"/>
                <c:pt idx="0">
                  <c:v>5.2631578947368425</c:v>
                </c:pt>
                <c:pt idx="1">
                  <c:v>26.315789473684209</c:v>
                </c:pt>
                <c:pt idx="2">
                  <c:v>15.789473684210526</c:v>
                </c:pt>
                <c:pt idx="3">
                  <c:v>26.315789473684209</c:v>
                </c:pt>
                <c:pt idx="4">
                  <c:v>26.315789473684209</c:v>
                </c:pt>
              </c:numCache>
            </c:numRef>
          </c:val>
          <c:extLst>
            <c:ext xmlns:c16="http://schemas.microsoft.com/office/drawing/2014/chart" uri="{C3380CC4-5D6E-409C-BE32-E72D297353CC}">
              <c16:uniqueId val="{00000000-6E9B-4D97-A373-AB22759CC88E}"/>
            </c:ext>
          </c:extLst>
        </c:ser>
        <c:dLbls>
          <c:dLblPos val="outEnd"/>
          <c:showLegendKey val="0"/>
          <c:showVal val="1"/>
          <c:showCatName val="0"/>
          <c:showSerName val="0"/>
          <c:showPercent val="0"/>
          <c:showBubbleSize val="0"/>
        </c:dLbls>
        <c:gapWidth val="219"/>
        <c:overlap val="-27"/>
        <c:axId val="906815920"/>
        <c:axId val="906809800"/>
      </c:barChart>
      <c:catAx>
        <c:axId val="90681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809800"/>
        <c:crosses val="autoZero"/>
        <c:auto val="1"/>
        <c:lblAlgn val="ctr"/>
        <c:lblOffset val="100"/>
        <c:noMultiLvlLbl val="0"/>
      </c:catAx>
      <c:valAx>
        <c:axId val="906809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815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Hoja2!$E$198:$E$202</c:f>
              <c:strCache>
                <c:ptCount val="5"/>
                <c:pt idx="0">
                  <c:v>Nunca</c:v>
                </c:pt>
                <c:pt idx="1">
                  <c:v>Rara vez</c:v>
                </c:pt>
                <c:pt idx="2">
                  <c:v>A veces</c:v>
                </c:pt>
                <c:pt idx="3">
                  <c:v>Casi siempre</c:v>
                </c:pt>
                <c:pt idx="4">
                  <c:v>Siempre</c:v>
                </c:pt>
              </c:strCache>
            </c:strRef>
          </c:cat>
          <c:val>
            <c:numRef>
              <c:f>Hoja2!$F$198:$F$202</c:f>
              <c:numCache>
                <c:formatCode>0</c:formatCode>
                <c:ptCount val="5"/>
                <c:pt idx="0">
                  <c:v>21.05263157894737</c:v>
                </c:pt>
                <c:pt idx="1">
                  <c:v>21.05263157894737</c:v>
                </c:pt>
                <c:pt idx="2">
                  <c:v>21.05263157894737</c:v>
                </c:pt>
                <c:pt idx="3">
                  <c:v>15.789473684210526</c:v>
                </c:pt>
                <c:pt idx="4">
                  <c:v>21.05263157894737</c:v>
                </c:pt>
              </c:numCache>
            </c:numRef>
          </c:val>
          <c:extLst>
            <c:ext xmlns:c16="http://schemas.microsoft.com/office/drawing/2014/chart" uri="{C3380CC4-5D6E-409C-BE32-E72D297353CC}">
              <c16:uniqueId val="{00000000-09EB-4603-AF03-2A5A14422F4E}"/>
            </c:ext>
          </c:extLst>
        </c:ser>
        <c:dLbls>
          <c:dLblPos val="outEnd"/>
          <c:showLegendKey val="0"/>
          <c:showVal val="1"/>
          <c:showCatName val="0"/>
          <c:showSerName val="0"/>
          <c:showPercent val="0"/>
          <c:showBubbleSize val="0"/>
        </c:dLbls>
        <c:gapWidth val="219"/>
        <c:overlap val="-27"/>
        <c:axId val="931621032"/>
        <c:axId val="931620312"/>
      </c:barChart>
      <c:catAx>
        <c:axId val="931621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20312"/>
        <c:crosses val="autoZero"/>
        <c:auto val="1"/>
        <c:lblAlgn val="ctr"/>
        <c:lblOffset val="100"/>
        <c:noMultiLvlLbl val="0"/>
      </c:catAx>
      <c:valAx>
        <c:axId val="931620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21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Hoja2!$E$209:$E$213</c:f>
              <c:strCache>
                <c:ptCount val="5"/>
                <c:pt idx="0">
                  <c:v>Nunca</c:v>
                </c:pt>
                <c:pt idx="1">
                  <c:v>Rara vez</c:v>
                </c:pt>
                <c:pt idx="2">
                  <c:v>A veces</c:v>
                </c:pt>
                <c:pt idx="3">
                  <c:v>Casi siempre</c:v>
                </c:pt>
                <c:pt idx="4">
                  <c:v>Siempre</c:v>
                </c:pt>
              </c:strCache>
            </c:strRef>
          </c:cat>
          <c:val>
            <c:numRef>
              <c:f>Hoja2!$F$209:$F$213</c:f>
              <c:numCache>
                <c:formatCode>0</c:formatCode>
                <c:ptCount val="5"/>
                <c:pt idx="0">
                  <c:v>5.2631578947368425</c:v>
                </c:pt>
                <c:pt idx="1">
                  <c:v>15.789473684210526</c:v>
                </c:pt>
                <c:pt idx="2">
                  <c:v>31.578947368421051</c:v>
                </c:pt>
                <c:pt idx="3">
                  <c:v>21.05263157894737</c:v>
                </c:pt>
                <c:pt idx="4">
                  <c:v>26.315789473684209</c:v>
                </c:pt>
              </c:numCache>
            </c:numRef>
          </c:val>
          <c:extLst>
            <c:ext xmlns:c16="http://schemas.microsoft.com/office/drawing/2014/chart" uri="{C3380CC4-5D6E-409C-BE32-E72D297353CC}">
              <c16:uniqueId val="{00000000-458C-44AA-971B-C3A2082B733A}"/>
            </c:ext>
          </c:extLst>
        </c:ser>
        <c:dLbls>
          <c:dLblPos val="outEnd"/>
          <c:showLegendKey val="0"/>
          <c:showVal val="1"/>
          <c:showCatName val="0"/>
          <c:showSerName val="0"/>
          <c:showPercent val="0"/>
          <c:showBubbleSize val="0"/>
        </c:dLbls>
        <c:gapWidth val="219"/>
        <c:overlap val="-27"/>
        <c:axId val="721244096"/>
        <c:axId val="931619232"/>
      </c:barChart>
      <c:catAx>
        <c:axId val="72124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19232"/>
        <c:crosses val="autoZero"/>
        <c:auto val="1"/>
        <c:lblAlgn val="ctr"/>
        <c:lblOffset val="100"/>
        <c:noMultiLvlLbl val="0"/>
      </c:catAx>
      <c:valAx>
        <c:axId val="931619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4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Hoja2!$E$220:$E$224</c:f>
              <c:strCache>
                <c:ptCount val="5"/>
                <c:pt idx="0">
                  <c:v>Nunca</c:v>
                </c:pt>
                <c:pt idx="1">
                  <c:v>Rara vez</c:v>
                </c:pt>
                <c:pt idx="2">
                  <c:v>A veces</c:v>
                </c:pt>
                <c:pt idx="3">
                  <c:v>Casi siempre</c:v>
                </c:pt>
                <c:pt idx="4">
                  <c:v>Siempre</c:v>
                </c:pt>
              </c:strCache>
            </c:strRef>
          </c:cat>
          <c:val>
            <c:numRef>
              <c:f>Hoja2!$F$220:$F$224</c:f>
              <c:numCache>
                <c:formatCode>0</c:formatCode>
                <c:ptCount val="5"/>
                <c:pt idx="0">
                  <c:v>15.789473684210526</c:v>
                </c:pt>
                <c:pt idx="1">
                  <c:v>36.842105263157897</c:v>
                </c:pt>
                <c:pt idx="2">
                  <c:v>10.526315789473685</c:v>
                </c:pt>
                <c:pt idx="3">
                  <c:v>15.789473684210526</c:v>
                </c:pt>
                <c:pt idx="4">
                  <c:v>21.05263157894737</c:v>
                </c:pt>
              </c:numCache>
            </c:numRef>
          </c:val>
          <c:extLst>
            <c:ext xmlns:c16="http://schemas.microsoft.com/office/drawing/2014/chart" uri="{C3380CC4-5D6E-409C-BE32-E72D297353CC}">
              <c16:uniqueId val="{00000000-C574-4A11-8B47-69A3D0461839}"/>
            </c:ext>
          </c:extLst>
        </c:ser>
        <c:dLbls>
          <c:dLblPos val="outEnd"/>
          <c:showLegendKey val="0"/>
          <c:showVal val="1"/>
          <c:showCatName val="0"/>
          <c:showSerName val="0"/>
          <c:showPercent val="0"/>
          <c:showBubbleSize val="0"/>
        </c:dLbls>
        <c:gapWidth val="219"/>
        <c:overlap val="-27"/>
        <c:axId val="906813400"/>
        <c:axId val="516256368"/>
      </c:barChart>
      <c:catAx>
        <c:axId val="90681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256368"/>
        <c:crosses val="autoZero"/>
        <c:auto val="1"/>
        <c:lblAlgn val="ctr"/>
        <c:lblOffset val="100"/>
        <c:noMultiLvlLbl val="0"/>
      </c:catAx>
      <c:valAx>
        <c:axId val="516256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813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Hoja2!$E$231:$E$233</c:f>
              <c:strCache>
                <c:ptCount val="3"/>
                <c:pt idx="0">
                  <c:v>A veces</c:v>
                </c:pt>
                <c:pt idx="1">
                  <c:v>Casi siempre</c:v>
                </c:pt>
                <c:pt idx="2">
                  <c:v>Siempre</c:v>
                </c:pt>
              </c:strCache>
            </c:strRef>
          </c:cat>
          <c:val>
            <c:numRef>
              <c:f>Hoja2!$F$231:$F$233</c:f>
              <c:numCache>
                <c:formatCode>0</c:formatCode>
                <c:ptCount val="3"/>
                <c:pt idx="0">
                  <c:v>5.2631578947368425</c:v>
                </c:pt>
                <c:pt idx="1">
                  <c:v>26.315789473684209</c:v>
                </c:pt>
                <c:pt idx="2">
                  <c:v>68.421052631578945</c:v>
                </c:pt>
              </c:numCache>
            </c:numRef>
          </c:val>
          <c:extLst>
            <c:ext xmlns:c16="http://schemas.microsoft.com/office/drawing/2014/chart" uri="{C3380CC4-5D6E-409C-BE32-E72D297353CC}">
              <c16:uniqueId val="{00000000-3196-445E-8CD5-26BA272010C9}"/>
            </c:ext>
          </c:extLst>
        </c:ser>
        <c:dLbls>
          <c:dLblPos val="outEnd"/>
          <c:showLegendKey val="0"/>
          <c:showVal val="1"/>
          <c:showCatName val="0"/>
          <c:showSerName val="0"/>
          <c:showPercent val="0"/>
          <c:showBubbleSize val="0"/>
        </c:dLbls>
        <c:gapWidth val="219"/>
        <c:overlap val="-27"/>
        <c:axId val="765125624"/>
        <c:axId val="765125984"/>
      </c:barChart>
      <c:catAx>
        <c:axId val="765125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125984"/>
        <c:crosses val="autoZero"/>
        <c:auto val="1"/>
        <c:lblAlgn val="ctr"/>
        <c:lblOffset val="100"/>
        <c:noMultiLvlLbl val="0"/>
      </c:catAx>
      <c:valAx>
        <c:axId val="76512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125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00-4EB6-9408-C40C1FE2E8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00-4EB6-9408-C40C1FE2E8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00-4EB6-9408-C40C1FE2E8A7}"/>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C700-4EB6-9408-C40C1FE2E8A7}"/>
                </c:ext>
              </c:extLst>
            </c:dLbl>
            <c:dLbl>
              <c:idx val="1"/>
              <c:layout>
                <c:manualLayout>
                  <c:x val="-0.19293635170603685"/>
                  <c:y val="-0.33970217264508595"/>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00-4EB6-9408-C40C1FE2E8A7}"/>
                </c:ext>
              </c:extLst>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5-C700-4EB6-9408-C40C1FE2E8A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Hoja2!$E$21:$E$23</c:f>
              <c:strCache>
                <c:ptCount val="3"/>
                <c:pt idx="0">
                  <c:v>De 3 a 5 años</c:v>
                </c:pt>
                <c:pt idx="1">
                  <c:v>De 6 a 10 años</c:v>
                </c:pt>
                <c:pt idx="2">
                  <c:v>Más de 10 años</c:v>
                </c:pt>
              </c:strCache>
            </c:strRef>
          </c:cat>
          <c:val>
            <c:numRef>
              <c:f>Hoja2!$F$21:$F$23</c:f>
              <c:numCache>
                <c:formatCode>0</c:formatCode>
                <c:ptCount val="3"/>
                <c:pt idx="0">
                  <c:v>31.578947368421051</c:v>
                </c:pt>
                <c:pt idx="1">
                  <c:v>15.789473684210526</c:v>
                </c:pt>
                <c:pt idx="2">
                  <c:v>52.631578947368418</c:v>
                </c:pt>
              </c:numCache>
            </c:numRef>
          </c:val>
          <c:extLst>
            <c:ext xmlns:c16="http://schemas.microsoft.com/office/drawing/2014/chart" uri="{C3380CC4-5D6E-409C-BE32-E72D297353CC}">
              <c16:uniqueId val="{00000006-C700-4EB6-9408-C40C1FE2E8A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7DF36DE1-7927-4C23-B59B-842C7D521CF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244-46AB-9CC7-87488A487A36}"/>
                </c:ext>
              </c:extLst>
            </c:dLbl>
            <c:dLbl>
              <c:idx val="1"/>
              <c:tx>
                <c:rich>
                  <a:bodyPr/>
                  <a:lstStyle/>
                  <a:p>
                    <a:fld id="{8F0116FC-F4EB-47FB-B24C-958C2F2269EE}"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244-46AB-9CC7-87488A487A36}"/>
                </c:ext>
              </c:extLst>
            </c:dLbl>
            <c:dLbl>
              <c:idx val="2"/>
              <c:tx>
                <c:rich>
                  <a:bodyPr/>
                  <a:lstStyle/>
                  <a:p>
                    <a:fld id="{4CE601DF-6DD5-47D2-97D3-CC6AC586FC5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244-46AB-9CC7-87488A487A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Hoja2!$E$28:$E$30</c:f>
              <c:strCache>
                <c:ptCount val="3"/>
                <c:pt idx="0">
                  <c:v>Rara vez</c:v>
                </c:pt>
                <c:pt idx="1">
                  <c:v>A veces</c:v>
                </c:pt>
                <c:pt idx="2">
                  <c:v>Casi siempre</c:v>
                </c:pt>
              </c:strCache>
            </c:strRef>
          </c:cat>
          <c:val>
            <c:numRef>
              <c:f>Hoja2!$F$28:$F$30</c:f>
              <c:numCache>
                <c:formatCode>0</c:formatCode>
                <c:ptCount val="3"/>
                <c:pt idx="0">
                  <c:v>10.526315789473685</c:v>
                </c:pt>
                <c:pt idx="1">
                  <c:v>31.578947368421051</c:v>
                </c:pt>
                <c:pt idx="2">
                  <c:v>31.578947368421051</c:v>
                </c:pt>
              </c:numCache>
            </c:numRef>
          </c:val>
          <c:extLst>
            <c:ext xmlns:c16="http://schemas.microsoft.com/office/drawing/2014/chart" uri="{C3380CC4-5D6E-409C-BE32-E72D297353CC}">
              <c16:uniqueId val="{00000003-C244-46AB-9CC7-87488A487A36}"/>
            </c:ext>
          </c:extLst>
        </c:ser>
        <c:dLbls>
          <c:dLblPos val="outEnd"/>
          <c:showLegendKey val="0"/>
          <c:showVal val="1"/>
          <c:showCatName val="0"/>
          <c:showSerName val="0"/>
          <c:showPercent val="0"/>
          <c:showBubbleSize val="0"/>
        </c:dLbls>
        <c:gapWidth val="219"/>
        <c:overlap val="-27"/>
        <c:axId val="904604856"/>
        <c:axId val="904599096"/>
      </c:barChart>
      <c:catAx>
        <c:axId val="904604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599096"/>
        <c:crosses val="autoZero"/>
        <c:auto val="1"/>
        <c:lblAlgn val="ctr"/>
        <c:lblOffset val="100"/>
        <c:noMultiLvlLbl val="0"/>
      </c:catAx>
      <c:valAx>
        <c:axId val="904599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604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EF0FE8C7-1418-4E2D-95E1-76FF6D657C74}"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217-4E09-943E-A3EC69DCA055}"/>
                </c:ext>
              </c:extLst>
            </c:dLbl>
            <c:dLbl>
              <c:idx val="1"/>
              <c:tx>
                <c:rich>
                  <a:bodyPr/>
                  <a:lstStyle/>
                  <a:p>
                    <a:fld id="{9E15A951-11BE-4534-BA5A-8FA36D85ED50}"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17-4E09-943E-A3EC69DCA055}"/>
                </c:ext>
              </c:extLst>
            </c:dLbl>
            <c:dLbl>
              <c:idx val="2"/>
              <c:tx>
                <c:rich>
                  <a:bodyPr/>
                  <a:lstStyle/>
                  <a:p>
                    <a:fld id="{5C0A07AD-7836-4C3B-89B3-B954B95FC23B}" type="VALUE">
                      <a:rPr lang="en-US"/>
                      <a:pPr/>
                      <a:t>[VALUE]</a:t>
                    </a:fld>
                    <a:r>
                      <a:rPr lang="en-US"/>
                      <a:t>5</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217-4E09-943E-A3EC69DCA055}"/>
                </c:ext>
              </c:extLst>
            </c:dLbl>
            <c:dLbl>
              <c:idx val="3"/>
              <c:tx>
                <c:rich>
                  <a:bodyPr/>
                  <a:lstStyle/>
                  <a:p>
                    <a:fld id="{8C285446-4FCF-482C-8552-64595A722AA3}"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17-4E09-943E-A3EC69DCA055}"/>
                </c:ext>
              </c:extLst>
            </c:dLbl>
            <c:dLbl>
              <c:idx val="4"/>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217-4E09-943E-A3EC69DCA0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Hoja2!$E$37:$E$41</c:f>
              <c:strCache>
                <c:ptCount val="5"/>
                <c:pt idx="0">
                  <c:v>Nunca</c:v>
                </c:pt>
                <c:pt idx="1">
                  <c:v>Rara vez</c:v>
                </c:pt>
                <c:pt idx="2">
                  <c:v>A veces</c:v>
                </c:pt>
                <c:pt idx="3">
                  <c:v>Casi siempre</c:v>
                </c:pt>
                <c:pt idx="4">
                  <c:v>Siempre</c:v>
                </c:pt>
              </c:strCache>
            </c:strRef>
          </c:cat>
          <c:val>
            <c:numRef>
              <c:f>Hoja2!$F$37:$F$41</c:f>
              <c:numCache>
                <c:formatCode>0</c:formatCode>
                <c:ptCount val="5"/>
                <c:pt idx="0">
                  <c:v>5.2631578947368425</c:v>
                </c:pt>
                <c:pt idx="1">
                  <c:v>21.05263157894737</c:v>
                </c:pt>
                <c:pt idx="2">
                  <c:v>21.05263157894737</c:v>
                </c:pt>
                <c:pt idx="3">
                  <c:v>26.315789473684209</c:v>
                </c:pt>
                <c:pt idx="4">
                  <c:v>26.315789473684209</c:v>
                </c:pt>
              </c:numCache>
            </c:numRef>
          </c:val>
          <c:extLst>
            <c:ext xmlns:c16="http://schemas.microsoft.com/office/drawing/2014/chart" uri="{C3380CC4-5D6E-409C-BE32-E72D297353CC}">
              <c16:uniqueId val="{00000005-E217-4E09-943E-A3EC69DCA055}"/>
            </c:ext>
          </c:extLst>
        </c:ser>
        <c:dLbls>
          <c:dLblPos val="outEnd"/>
          <c:showLegendKey val="0"/>
          <c:showVal val="1"/>
          <c:showCatName val="0"/>
          <c:showSerName val="0"/>
          <c:showPercent val="0"/>
          <c:showBubbleSize val="0"/>
        </c:dLbls>
        <c:gapWidth val="219"/>
        <c:overlap val="-27"/>
        <c:axId val="390442392"/>
        <c:axId val="390443112"/>
      </c:barChart>
      <c:catAx>
        <c:axId val="390442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443112"/>
        <c:crosses val="autoZero"/>
        <c:auto val="1"/>
        <c:lblAlgn val="ctr"/>
        <c:lblOffset val="100"/>
        <c:noMultiLvlLbl val="0"/>
      </c:catAx>
      <c:valAx>
        <c:axId val="390443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442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59-4603-8D70-3256DCA4BA82}"/>
                </c:ext>
              </c:extLst>
            </c:dLbl>
            <c:dLbl>
              <c:idx val="1"/>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D59-4603-8D70-3256DCA4BA82}"/>
                </c:ext>
              </c:extLst>
            </c:dLbl>
            <c:dLbl>
              <c:idx val="2"/>
              <c:tx>
                <c:rich>
                  <a:bodyPr/>
                  <a:lstStyle/>
                  <a:p>
                    <a:fld id="{8A104FFF-07CC-430B-BC9F-0C32B9DC850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D59-4603-8D70-3256DCA4BA82}"/>
                </c:ext>
              </c:extLst>
            </c:dLbl>
            <c:dLbl>
              <c:idx val="3"/>
              <c:tx>
                <c:rich>
                  <a:bodyPr/>
                  <a:lstStyle/>
                  <a:p>
                    <a:fld id="{FD3D124C-E062-4851-B582-53E0B76556A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D59-4603-8D70-3256DCA4BA82}"/>
                </c:ext>
              </c:extLst>
            </c:dLbl>
            <c:dLbl>
              <c:idx val="4"/>
              <c:tx>
                <c:rich>
                  <a:bodyPr/>
                  <a:lstStyle/>
                  <a:p>
                    <a:fld id="{5F7F29C9-ADC2-4AA7-AE3B-5FC2912A72B7}"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D59-4603-8D70-3256DCA4BA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Hoja2!$E$48:$E$52</c:f>
              <c:strCache>
                <c:ptCount val="5"/>
                <c:pt idx="0">
                  <c:v>Nunca</c:v>
                </c:pt>
                <c:pt idx="1">
                  <c:v>Rara vez</c:v>
                </c:pt>
                <c:pt idx="2">
                  <c:v>A veces</c:v>
                </c:pt>
                <c:pt idx="3">
                  <c:v>Casi siempre</c:v>
                </c:pt>
                <c:pt idx="4">
                  <c:v>Siempre</c:v>
                </c:pt>
              </c:strCache>
            </c:strRef>
          </c:cat>
          <c:val>
            <c:numRef>
              <c:f>Hoja2!$F$48:$F$52</c:f>
              <c:numCache>
                <c:formatCode>0</c:formatCode>
                <c:ptCount val="5"/>
                <c:pt idx="0">
                  <c:v>5.2631578947368425</c:v>
                </c:pt>
                <c:pt idx="1">
                  <c:v>15.789473684210526</c:v>
                </c:pt>
                <c:pt idx="2">
                  <c:v>21.05263157894737</c:v>
                </c:pt>
                <c:pt idx="3">
                  <c:v>26.315789473684209</c:v>
                </c:pt>
                <c:pt idx="4">
                  <c:v>31.578947368421051</c:v>
                </c:pt>
              </c:numCache>
            </c:numRef>
          </c:val>
          <c:extLst>
            <c:ext xmlns:c16="http://schemas.microsoft.com/office/drawing/2014/chart" uri="{C3380CC4-5D6E-409C-BE32-E72D297353CC}">
              <c16:uniqueId val="{00000005-9D59-4603-8D70-3256DCA4BA82}"/>
            </c:ext>
          </c:extLst>
        </c:ser>
        <c:dLbls>
          <c:dLblPos val="outEnd"/>
          <c:showLegendKey val="0"/>
          <c:showVal val="1"/>
          <c:showCatName val="0"/>
          <c:showSerName val="0"/>
          <c:showPercent val="0"/>
          <c:showBubbleSize val="0"/>
        </c:dLbls>
        <c:gapWidth val="219"/>
        <c:overlap val="-27"/>
        <c:axId val="391826200"/>
        <c:axId val="391831960"/>
      </c:barChart>
      <c:catAx>
        <c:axId val="391826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31960"/>
        <c:crosses val="autoZero"/>
        <c:auto val="1"/>
        <c:lblAlgn val="ctr"/>
        <c:lblOffset val="100"/>
        <c:noMultiLvlLbl val="0"/>
      </c:catAx>
      <c:valAx>
        <c:axId val="391831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26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F96F681F-9DB1-414E-92B0-7DAAB398A27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7BD-4CF1-B99C-A3A7EB8B7A3F}"/>
                </c:ext>
              </c:extLst>
            </c:dLbl>
            <c:dLbl>
              <c:idx val="1"/>
              <c:tx>
                <c:rich>
                  <a:bodyPr/>
                  <a:lstStyle/>
                  <a:p>
                    <a:fld id="{BB0D4670-F4DB-4B4E-9779-C77B5EA6E31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BD-4CF1-B99C-A3A7EB8B7A3F}"/>
                </c:ext>
              </c:extLst>
            </c:dLbl>
            <c:dLbl>
              <c:idx val="2"/>
              <c:tx>
                <c:rich>
                  <a:bodyPr/>
                  <a:lstStyle/>
                  <a:p>
                    <a:fld id="{7026917C-AB8E-4088-A680-57E22C70E13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7BD-4CF1-B99C-A3A7EB8B7A3F}"/>
                </c:ext>
              </c:extLst>
            </c:dLbl>
            <c:dLbl>
              <c:idx val="3"/>
              <c:tx>
                <c:rich>
                  <a:bodyPr/>
                  <a:lstStyle/>
                  <a:p>
                    <a:fld id="{A4A78F44-B401-4DB1-BD31-6406CC74B684}"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7BD-4CF1-B99C-A3A7EB8B7A3F}"/>
                </c:ext>
              </c:extLst>
            </c:dLbl>
            <c:dLbl>
              <c:idx val="4"/>
              <c:tx>
                <c:rich>
                  <a:bodyPr/>
                  <a:lstStyle/>
                  <a:p>
                    <a:fld id="{45EACF92-E622-4A45-BADF-9F7768A0171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7BD-4CF1-B99C-A3A7EB8B7A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Hoja2!$E$59:$E$63</c:f>
              <c:strCache>
                <c:ptCount val="5"/>
                <c:pt idx="0">
                  <c:v>Nunca</c:v>
                </c:pt>
                <c:pt idx="1">
                  <c:v>Rara vez</c:v>
                </c:pt>
                <c:pt idx="2">
                  <c:v>A veces</c:v>
                </c:pt>
                <c:pt idx="3">
                  <c:v>Casi siempre</c:v>
                </c:pt>
                <c:pt idx="4">
                  <c:v>Siempre</c:v>
                </c:pt>
              </c:strCache>
            </c:strRef>
          </c:cat>
          <c:val>
            <c:numRef>
              <c:f>Hoja2!$F$59:$F$63</c:f>
              <c:numCache>
                <c:formatCode>0</c:formatCode>
                <c:ptCount val="5"/>
                <c:pt idx="0">
                  <c:v>10.526315789473685</c:v>
                </c:pt>
                <c:pt idx="1">
                  <c:v>31.578947368421051</c:v>
                </c:pt>
                <c:pt idx="2">
                  <c:v>21.05263157894737</c:v>
                </c:pt>
                <c:pt idx="3">
                  <c:v>15.789473684210526</c:v>
                </c:pt>
                <c:pt idx="4">
                  <c:v>21.05263157894737</c:v>
                </c:pt>
              </c:numCache>
            </c:numRef>
          </c:val>
          <c:extLst>
            <c:ext xmlns:c16="http://schemas.microsoft.com/office/drawing/2014/chart" uri="{C3380CC4-5D6E-409C-BE32-E72D297353CC}">
              <c16:uniqueId val="{00000005-F7BD-4CF1-B99C-A3A7EB8B7A3F}"/>
            </c:ext>
          </c:extLst>
        </c:ser>
        <c:dLbls>
          <c:dLblPos val="outEnd"/>
          <c:showLegendKey val="0"/>
          <c:showVal val="1"/>
          <c:showCatName val="0"/>
          <c:showSerName val="0"/>
          <c:showPercent val="0"/>
          <c:showBubbleSize val="0"/>
        </c:dLbls>
        <c:gapWidth val="219"/>
        <c:overlap val="-27"/>
        <c:axId val="391833040"/>
        <c:axId val="391829800"/>
      </c:barChart>
      <c:catAx>
        <c:axId val="39183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29800"/>
        <c:crosses val="autoZero"/>
        <c:auto val="1"/>
        <c:lblAlgn val="ctr"/>
        <c:lblOffset val="100"/>
        <c:noMultiLvlLbl val="0"/>
      </c:catAx>
      <c:valAx>
        <c:axId val="391829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3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21109019-E1D5-405B-B494-86FBFD73CCE3}"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E4-496F-8842-68B969E8111D}"/>
                </c:ext>
              </c:extLst>
            </c:dLbl>
            <c:dLbl>
              <c:idx val="1"/>
              <c:tx>
                <c:rich>
                  <a:bodyPr/>
                  <a:lstStyle/>
                  <a:p>
                    <a:fld id="{79F747AA-6F28-40F3-9C69-905AD65141D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E4-496F-8842-68B969E8111D}"/>
                </c:ext>
              </c:extLst>
            </c:dLbl>
            <c:dLbl>
              <c:idx val="2"/>
              <c:tx>
                <c:rich>
                  <a:bodyPr/>
                  <a:lstStyle/>
                  <a:p>
                    <a:fld id="{A588D858-6353-4B6A-9E44-12BEA1D1EBAB}"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DE4-496F-8842-68B969E8111D}"/>
                </c:ext>
              </c:extLst>
            </c:dLbl>
            <c:dLbl>
              <c:idx val="3"/>
              <c:tx>
                <c:rich>
                  <a:bodyPr/>
                  <a:lstStyle/>
                  <a:p>
                    <a:fld id="{F4D17BA0-3E29-49A3-83AC-484CD72A9D5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DE4-496F-8842-68B969E8111D}"/>
                </c:ext>
              </c:extLst>
            </c:dLbl>
            <c:dLbl>
              <c:idx val="4"/>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DE4-496F-8842-68B969E811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Hoja2!$E$70:$E$74</c:f>
              <c:strCache>
                <c:ptCount val="5"/>
                <c:pt idx="0">
                  <c:v>Nunca</c:v>
                </c:pt>
                <c:pt idx="1">
                  <c:v>Rara vez</c:v>
                </c:pt>
                <c:pt idx="2">
                  <c:v>A veces</c:v>
                </c:pt>
                <c:pt idx="3">
                  <c:v>Casi siempre</c:v>
                </c:pt>
                <c:pt idx="4">
                  <c:v>Siempre</c:v>
                </c:pt>
              </c:strCache>
            </c:strRef>
          </c:cat>
          <c:val>
            <c:numRef>
              <c:f>Hoja2!$F$70:$F$74</c:f>
              <c:numCache>
                <c:formatCode>0</c:formatCode>
                <c:ptCount val="5"/>
                <c:pt idx="0">
                  <c:v>5.2631578947368425</c:v>
                </c:pt>
                <c:pt idx="1">
                  <c:v>5.2631578947368425</c:v>
                </c:pt>
                <c:pt idx="2">
                  <c:v>21.05263157894737</c:v>
                </c:pt>
                <c:pt idx="3">
                  <c:v>31.578947368421051</c:v>
                </c:pt>
                <c:pt idx="4">
                  <c:v>36.842105263157897</c:v>
                </c:pt>
              </c:numCache>
            </c:numRef>
          </c:val>
          <c:extLst>
            <c:ext xmlns:c16="http://schemas.microsoft.com/office/drawing/2014/chart" uri="{C3380CC4-5D6E-409C-BE32-E72D297353CC}">
              <c16:uniqueId val="{00000005-ADE4-496F-8842-68B969E8111D}"/>
            </c:ext>
          </c:extLst>
        </c:ser>
        <c:dLbls>
          <c:dLblPos val="outEnd"/>
          <c:showLegendKey val="0"/>
          <c:showVal val="1"/>
          <c:showCatName val="0"/>
          <c:showSerName val="0"/>
          <c:showPercent val="0"/>
          <c:showBubbleSize val="0"/>
        </c:dLbls>
        <c:gapWidth val="219"/>
        <c:overlap val="-27"/>
        <c:axId val="721242296"/>
        <c:axId val="721245176"/>
      </c:barChart>
      <c:catAx>
        <c:axId val="721242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45176"/>
        <c:crosses val="autoZero"/>
        <c:auto val="1"/>
        <c:lblAlgn val="ctr"/>
        <c:lblOffset val="100"/>
        <c:noMultiLvlLbl val="0"/>
      </c:catAx>
      <c:valAx>
        <c:axId val="721245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42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3828E230-7DAA-466A-A881-E6509FA5224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808-480F-B270-A3EF4BEE0C98}"/>
                </c:ext>
              </c:extLst>
            </c:dLbl>
            <c:dLbl>
              <c:idx val="1"/>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808-480F-B270-A3EF4BEE0C98}"/>
                </c:ext>
              </c:extLst>
            </c:dLbl>
            <c:dLbl>
              <c:idx val="2"/>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808-480F-B270-A3EF4BEE0C98}"/>
                </c:ext>
              </c:extLst>
            </c:dLbl>
            <c:dLbl>
              <c:idx val="3"/>
              <c:tx>
                <c:rich>
                  <a:bodyPr/>
                  <a:lstStyle/>
                  <a:p>
                    <a:fld id="{FB3A19EE-BFAE-481F-91A7-F18A2306B4D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808-480F-B270-A3EF4BEE0C98}"/>
                </c:ext>
              </c:extLst>
            </c:dLbl>
            <c:dLbl>
              <c:idx val="4"/>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808-480F-B270-A3EF4BEE0C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Hoja2!$E$81:$E$85</c:f>
              <c:strCache>
                <c:ptCount val="5"/>
                <c:pt idx="0">
                  <c:v>Nunca</c:v>
                </c:pt>
                <c:pt idx="1">
                  <c:v>Rara vez</c:v>
                </c:pt>
                <c:pt idx="2">
                  <c:v>A veces</c:v>
                </c:pt>
                <c:pt idx="3">
                  <c:v>Casi siempre</c:v>
                </c:pt>
                <c:pt idx="4">
                  <c:v>Siempre</c:v>
                </c:pt>
              </c:strCache>
            </c:strRef>
          </c:cat>
          <c:val>
            <c:numRef>
              <c:f>Hoja2!$F$81:$F$85</c:f>
              <c:numCache>
                <c:formatCode>0</c:formatCode>
                <c:ptCount val="5"/>
                <c:pt idx="0">
                  <c:v>10.526315789473685</c:v>
                </c:pt>
                <c:pt idx="1">
                  <c:v>21.05263157894737</c:v>
                </c:pt>
                <c:pt idx="2">
                  <c:v>21.05263157894737</c:v>
                </c:pt>
                <c:pt idx="3">
                  <c:v>15.789473684210526</c:v>
                </c:pt>
                <c:pt idx="4">
                  <c:v>31.578947368421051</c:v>
                </c:pt>
              </c:numCache>
            </c:numRef>
          </c:val>
          <c:extLst>
            <c:ext xmlns:c16="http://schemas.microsoft.com/office/drawing/2014/chart" uri="{C3380CC4-5D6E-409C-BE32-E72D297353CC}">
              <c16:uniqueId val="{00000005-0808-480F-B270-A3EF4BEE0C98}"/>
            </c:ext>
          </c:extLst>
        </c:ser>
        <c:dLbls>
          <c:dLblPos val="outEnd"/>
          <c:showLegendKey val="0"/>
          <c:showVal val="1"/>
          <c:showCatName val="0"/>
          <c:showSerName val="0"/>
          <c:showPercent val="0"/>
          <c:showBubbleSize val="0"/>
        </c:dLbls>
        <c:gapWidth val="219"/>
        <c:overlap val="-27"/>
        <c:axId val="514404912"/>
        <c:axId val="514408872"/>
      </c:barChart>
      <c:catAx>
        <c:axId val="51440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408872"/>
        <c:crosses val="autoZero"/>
        <c:auto val="1"/>
        <c:lblAlgn val="ctr"/>
        <c:lblOffset val="100"/>
        <c:noMultiLvlLbl val="0"/>
      </c:catAx>
      <c:valAx>
        <c:axId val="514408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40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F7CC95-865D-465D-AC86-C5B535371AA0}" type="doc">
      <dgm:prSet loTypeId="urn:microsoft.com/office/officeart/2005/8/layout/process5" loCatId="process" qsTypeId="urn:microsoft.com/office/officeart/2005/8/quickstyle/simple1" qsCatId="simple" csTypeId="urn:microsoft.com/office/officeart/2005/8/colors/colorful2" csCatId="colorful" phldr="1"/>
      <dgm:spPr/>
      <dgm:t>
        <a:bodyPr/>
        <a:lstStyle/>
        <a:p>
          <a:endParaRPr lang="en-US"/>
        </a:p>
      </dgm:t>
    </dgm:pt>
    <dgm:pt modelId="{BC39ECBC-F9ED-431A-8B12-8A64F2662979}">
      <dgm:prSet phldrT="[Texto]"/>
      <dgm:spPr>
        <a:xfrm>
          <a:off x="4947" y="479085"/>
          <a:ext cx="1478784" cy="887270"/>
        </a:xfrm>
        <a:prstGeom prst="roundRect">
          <a:avLst>
            <a:gd name="adj" fmla="val 10000"/>
          </a:avLst>
        </a:prstGeom>
        <a:solidFill>
          <a:srgbClr val="E97132">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Diagnóstico ambiental del proyecto</a:t>
          </a:r>
        </a:p>
      </dgm:t>
    </dgm:pt>
    <dgm:pt modelId="{30BC4B35-BD51-4B58-9C7A-083B5392C2E6}" type="parTrans" cxnId="{62B1E5B1-CDE1-4048-82A7-DC5260C1F186}">
      <dgm:prSet/>
      <dgm:spPr/>
      <dgm:t>
        <a:bodyPr/>
        <a:lstStyle/>
        <a:p>
          <a:endParaRPr lang="en-US"/>
        </a:p>
      </dgm:t>
    </dgm:pt>
    <dgm:pt modelId="{4F0B3DD1-339D-430B-8AA5-8E4F88CAD73C}" type="sibTrans" cxnId="{62B1E5B1-CDE1-4048-82A7-DC5260C1F186}">
      <dgm:prSet/>
      <dgm:spPr>
        <a:xfrm>
          <a:off x="1613864" y="739351"/>
          <a:ext cx="313502" cy="366738"/>
        </a:xfrm>
        <a:prstGeom prst="rightArrow">
          <a:avLst>
            <a:gd name="adj1" fmla="val 60000"/>
            <a:gd name="adj2" fmla="val 50000"/>
          </a:avLst>
        </a:prstGeom>
        <a:solidFill>
          <a:srgbClr val="E97132">
            <a:hueOff val="0"/>
            <a:satOff val="0"/>
            <a:lumOff val="0"/>
            <a:alphaOff val="0"/>
          </a:srgbClr>
        </a:solidFill>
        <a:ln>
          <a:noFill/>
        </a:ln>
        <a:effectLst/>
      </dgm:spPr>
      <dgm:t>
        <a:bodyPr/>
        <a:lstStyle/>
        <a:p>
          <a:pPr>
            <a:buNone/>
          </a:pPr>
          <a:endParaRPr lang="en-US">
            <a:solidFill>
              <a:sysClr val="window" lastClr="FFFFFF"/>
            </a:solidFill>
            <a:latin typeface="Aptos" panose="02110004020202020204"/>
            <a:ea typeface="+mn-ea"/>
            <a:cs typeface="+mn-cs"/>
          </a:endParaRPr>
        </a:p>
      </dgm:t>
    </dgm:pt>
    <dgm:pt modelId="{5F83F793-A4B1-4929-8511-A4F607645BCC}">
      <dgm:prSet/>
      <dgm:spPr>
        <a:xfrm>
          <a:off x="2075245" y="479085"/>
          <a:ext cx="1478784" cy="887270"/>
        </a:xfrm>
        <a:prstGeom prst="roundRect">
          <a:avLst>
            <a:gd name="adj" fmla="val 10000"/>
          </a:avLst>
        </a:prstGeom>
        <a:solidFill>
          <a:srgbClr val="E97132">
            <a:hueOff val="1610903"/>
            <a:satOff val="-4623"/>
            <a:lumOff val="-7402"/>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Identificación de buenas prácticas sostenibles</a:t>
          </a:r>
        </a:p>
      </dgm:t>
    </dgm:pt>
    <dgm:pt modelId="{03E8694D-3BED-402E-8EB4-797D7475EAA1}" type="parTrans" cxnId="{A86BF7F7-F7B7-4197-A54F-C05FB2BCDECE}">
      <dgm:prSet/>
      <dgm:spPr/>
      <dgm:t>
        <a:bodyPr/>
        <a:lstStyle/>
        <a:p>
          <a:endParaRPr lang="en-US"/>
        </a:p>
      </dgm:t>
    </dgm:pt>
    <dgm:pt modelId="{E7A616FF-44C7-461A-AA90-45B8BB9E736F}" type="sibTrans" cxnId="{A86BF7F7-F7B7-4197-A54F-C05FB2BCDECE}">
      <dgm:prSet/>
      <dgm:spPr>
        <a:xfrm>
          <a:off x="3684162" y="739351"/>
          <a:ext cx="313502" cy="366738"/>
        </a:xfrm>
        <a:prstGeom prst="rightArrow">
          <a:avLst>
            <a:gd name="adj1" fmla="val 60000"/>
            <a:gd name="adj2" fmla="val 50000"/>
          </a:avLst>
        </a:prstGeom>
        <a:solidFill>
          <a:srgbClr val="E97132">
            <a:hueOff val="2147871"/>
            <a:satOff val="-6164"/>
            <a:lumOff val="-9870"/>
            <a:alphaOff val="0"/>
          </a:srgbClr>
        </a:solidFill>
        <a:ln>
          <a:noFill/>
        </a:ln>
        <a:effectLst/>
      </dgm:spPr>
      <dgm:t>
        <a:bodyPr/>
        <a:lstStyle/>
        <a:p>
          <a:pPr>
            <a:buNone/>
          </a:pPr>
          <a:endParaRPr lang="en-US">
            <a:solidFill>
              <a:sysClr val="window" lastClr="FFFFFF"/>
            </a:solidFill>
            <a:latin typeface="Aptos" panose="02110004020202020204"/>
            <a:ea typeface="+mn-ea"/>
            <a:cs typeface="+mn-cs"/>
          </a:endParaRPr>
        </a:p>
      </dgm:t>
    </dgm:pt>
    <dgm:pt modelId="{A0DBC119-8E8C-4627-8FE0-223B0870E1B0}">
      <dgm:prSet/>
      <dgm:spPr>
        <a:xfrm>
          <a:off x="4145543" y="479085"/>
          <a:ext cx="1478784" cy="887270"/>
        </a:xfrm>
        <a:prstGeom prst="roundRect">
          <a:avLst>
            <a:gd name="adj" fmla="val 10000"/>
          </a:avLst>
        </a:prstGeom>
        <a:solidFill>
          <a:srgbClr val="E97132">
            <a:hueOff val="3221807"/>
            <a:satOff val="-9246"/>
            <a:lumOff val="-1480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Lineamientos operativos de gestión sostenible</a:t>
          </a:r>
        </a:p>
      </dgm:t>
    </dgm:pt>
    <dgm:pt modelId="{4A4CA4FE-3C7E-4153-91A9-03D8DDED9B78}" type="parTrans" cxnId="{B3B3796E-8354-427D-865E-780C9225023B}">
      <dgm:prSet/>
      <dgm:spPr/>
      <dgm:t>
        <a:bodyPr/>
        <a:lstStyle/>
        <a:p>
          <a:endParaRPr lang="en-US"/>
        </a:p>
      </dgm:t>
    </dgm:pt>
    <dgm:pt modelId="{048275FF-1D71-46B7-813C-A7571224A01E}" type="sibTrans" cxnId="{B3B3796E-8354-427D-865E-780C9225023B}">
      <dgm:prSet/>
      <dgm:spPr>
        <a:xfrm rot="5400000">
          <a:off x="4728184" y="1469870"/>
          <a:ext cx="313502" cy="366738"/>
        </a:xfrm>
        <a:prstGeom prst="rightArrow">
          <a:avLst>
            <a:gd name="adj1" fmla="val 60000"/>
            <a:gd name="adj2" fmla="val 50000"/>
          </a:avLst>
        </a:prstGeom>
        <a:solidFill>
          <a:srgbClr val="E97132">
            <a:hueOff val="4295743"/>
            <a:satOff val="-12329"/>
            <a:lumOff val="-19739"/>
            <a:alphaOff val="0"/>
          </a:srgbClr>
        </a:solidFill>
        <a:ln>
          <a:noFill/>
        </a:ln>
        <a:effectLst/>
      </dgm:spPr>
      <dgm:t>
        <a:bodyPr/>
        <a:lstStyle/>
        <a:p>
          <a:pPr>
            <a:buNone/>
          </a:pPr>
          <a:endParaRPr lang="en-US">
            <a:solidFill>
              <a:sysClr val="window" lastClr="FFFFFF"/>
            </a:solidFill>
            <a:latin typeface="Aptos" panose="02110004020202020204"/>
            <a:ea typeface="+mn-ea"/>
            <a:cs typeface="+mn-cs"/>
          </a:endParaRPr>
        </a:p>
      </dgm:t>
    </dgm:pt>
    <dgm:pt modelId="{F45E7477-5FDC-44A7-A87F-2FB4E52E87C9}">
      <dgm:prSet/>
      <dgm:spPr>
        <a:xfrm>
          <a:off x="4145543" y="1957869"/>
          <a:ext cx="1478784" cy="887270"/>
        </a:xfrm>
        <a:prstGeom prst="roundRect">
          <a:avLst>
            <a:gd name="adj" fmla="val 10000"/>
          </a:avLst>
        </a:prstGeom>
        <a:solidFill>
          <a:srgbClr val="E97132">
            <a:hueOff val="4832710"/>
            <a:satOff val="-13870"/>
            <a:lumOff val="-22207"/>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Implementación de indicadores (KPI)</a:t>
          </a:r>
        </a:p>
      </dgm:t>
    </dgm:pt>
    <dgm:pt modelId="{47F777FA-E1F3-49BE-B597-D0AB2979BB68}" type="parTrans" cxnId="{5E45C40E-6C80-4069-AACD-1915B7C1AD65}">
      <dgm:prSet/>
      <dgm:spPr/>
      <dgm:t>
        <a:bodyPr/>
        <a:lstStyle/>
        <a:p>
          <a:endParaRPr lang="en-US"/>
        </a:p>
      </dgm:t>
    </dgm:pt>
    <dgm:pt modelId="{51EA5EDA-FD42-48DD-AF78-668B11CAD34B}" type="sibTrans" cxnId="{5E45C40E-6C80-4069-AACD-1915B7C1AD65}">
      <dgm:prSet/>
      <dgm:spPr>
        <a:xfrm rot="10800000">
          <a:off x="3701907" y="2218135"/>
          <a:ext cx="313502" cy="366738"/>
        </a:xfrm>
        <a:prstGeom prst="rightArrow">
          <a:avLst>
            <a:gd name="adj1" fmla="val 60000"/>
            <a:gd name="adj2" fmla="val 50000"/>
          </a:avLst>
        </a:prstGeom>
        <a:solidFill>
          <a:srgbClr val="E97132">
            <a:hueOff val="6443614"/>
            <a:satOff val="-18493"/>
            <a:lumOff val="-29609"/>
            <a:alphaOff val="0"/>
          </a:srgbClr>
        </a:solidFill>
        <a:ln>
          <a:noFill/>
        </a:ln>
        <a:effectLst/>
      </dgm:spPr>
      <dgm:t>
        <a:bodyPr/>
        <a:lstStyle/>
        <a:p>
          <a:pPr>
            <a:buNone/>
          </a:pPr>
          <a:endParaRPr lang="en-US">
            <a:solidFill>
              <a:sysClr val="window" lastClr="FFFFFF"/>
            </a:solidFill>
            <a:latin typeface="Aptos" panose="02110004020202020204"/>
            <a:ea typeface="+mn-ea"/>
            <a:cs typeface="+mn-cs"/>
          </a:endParaRPr>
        </a:p>
      </dgm:t>
    </dgm:pt>
    <dgm:pt modelId="{FF690397-0E1F-4D8D-AC1C-18E71038539E}">
      <dgm:prSet/>
      <dgm:spPr>
        <a:xfrm>
          <a:off x="2075245" y="1957869"/>
          <a:ext cx="1478784" cy="887270"/>
        </a:xfrm>
        <a:prstGeom prst="roundRect">
          <a:avLst>
            <a:gd name="adj" fmla="val 10000"/>
          </a:avLst>
        </a:prstGeom>
        <a:solidFill>
          <a:srgbClr val="E97132">
            <a:hueOff val="6443614"/>
            <a:satOff val="-18493"/>
            <a:lumOff val="-29609"/>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Monitoreo y mejora continua</a:t>
          </a:r>
        </a:p>
      </dgm:t>
    </dgm:pt>
    <dgm:pt modelId="{23A12D1E-97C9-4A5F-B1BB-F48BF1132476}" type="parTrans" cxnId="{20B3F5E9-4E8B-441E-9179-DC68468E7FC2}">
      <dgm:prSet/>
      <dgm:spPr/>
      <dgm:t>
        <a:bodyPr/>
        <a:lstStyle/>
        <a:p>
          <a:endParaRPr lang="en-US"/>
        </a:p>
      </dgm:t>
    </dgm:pt>
    <dgm:pt modelId="{09C6D2D2-7329-405A-B588-F0961011F283}" type="sibTrans" cxnId="{20B3F5E9-4E8B-441E-9179-DC68468E7FC2}">
      <dgm:prSet/>
      <dgm:spPr/>
      <dgm:t>
        <a:bodyPr/>
        <a:lstStyle/>
        <a:p>
          <a:endParaRPr lang="en-US"/>
        </a:p>
      </dgm:t>
    </dgm:pt>
    <dgm:pt modelId="{DB349CF1-3FAC-4A0E-A201-FDBD0A4C9CDA}" type="pres">
      <dgm:prSet presAssocID="{10F7CC95-865D-465D-AC86-C5B535371AA0}" presName="diagram" presStyleCnt="0">
        <dgm:presLayoutVars>
          <dgm:dir/>
          <dgm:resizeHandles val="exact"/>
        </dgm:presLayoutVars>
      </dgm:prSet>
      <dgm:spPr/>
    </dgm:pt>
    <dgm:pt modelId="{288A8A19-C126-4D81-8AD7-AD25173748C8}" type="pres">
      <dgm:prSet presAssocID="{BC39ECBC-F9ED-431A-8B12-8A64F2662979}" presName="node" presStyleLbl="node1" presStyleIdx="0" presStyleCnt="5">
        <dgm:presLayoutVars>
          <dgm:bulletEnabled val="1"/>
        </dgm:presLayoutVars>
      </dgm:prSet>
      <dgm:spPr/>
    </dgm:pt>
    <dgm:pt modelId="{669A31E0-2114-4970-A60E-BAEF207552FC}" type="pres">
      <dgm:prSet presAssocID="{4F0B3DD1-339D-430B-8AA5-8E4F88CAD73C}" presName="sibTrans" presStyleLbl="sibTrans2D1" presStyleIdx="0" presStyleCnt="4"/>
      <dgm:spPr/>
    </dgm:pt>
    <dgm:pt modelId="{FF524233-4C94-4B33-83C8-8487256C6857}" type="pres">
      <dgm:prSet presAssocID="{4F0B3DD1-339D-430B-8AA5-8E4F88CAD73C}" presName="connectorText" presStyleLbl="sibTrans2D1" presStyleIdx="0" presStyleCnt="4"/>
      <dgm:spPr/>
    </dgm:pt>
    <dgm:pt modelId="{466E5ECC-351E-4E76-A3AF-19600800B283}" type="pres">
      <dgm:prSet presAssocID="{5F83F793-A4B1-4929-8511-A4F607645BCC}" presName="node" presStyleLbl="node1" presStyleIdx="1" presStyleCnt="5">
        <dgm:presLayoutVars>
          <dgm:bulletEnabled val="1"/>
        </dgm:presLayoutVars>
      </dgm:prSet>
      <dgm:spPr/>
    </dgm:pt>
    <dgm:pt modelId="{850A53DE-7098-4506-B3B7-05A05D09B4D0}" type="pres">
      <dgm:prSet presAssocID="{E7A616FF-44C7-461A-AA90-45B8BB9E736F}" presName="sibTrans" presStyleLbl="sibTrans2D1" presStyleIdx="1" presStyleCnt="4"/>
      <dgm:spPr/>
    </dgm:pt>
    <dgm:pt modelId="{E759D712-3C2A-406A-95AF-C70FB3536695}" type="pres">
      <dgm:prSet presAssocID="{E7A616FF-44C7-461A-AA90-45B8BB9E736F}" presName="connectorText" presStyleLbl="sibTrans2D1" presStyleIdx="1" presStyleCnt="4"/>
      <dgm:spPr/>
    </dgm:pt>
    <dgm:pt modelId="{55F58FA3-DF69-43EB-9182-3933DC5068D2}" type="pres">
      <dgm:prSet presAssocID="{A0DBC119-8E8C-4627-8FE0-223B0870E1B0}" presName="node" presStyleLbl="node1" presStyleIdx="2" presStyleCnt="5">
        <dgm:presLayoutVars>
          <dgm:bulletEnabled val="1"/>
        </dgm:presLayoutVars>
      </dgm:prSet>
      <dgm:spPr/>
    </dgm:pt>
    <dgm:pt modelId="{E91306BB-72A1-4C0C-9189-724BD58B574E}" type="pres">
      <dgm:prSet presAssocID="{048275FF-1D71-46B7-813C-A7571224A01E}" presName="sibTrans" presStyleLbl="sibTrans2D1" presStyleIdx="2" presStyleCnt="4"/>
      <dgm:spPr/>
    </dgm:pt>
    <dgm:pt modelId="{6E20CD0A-CCEF-4307-9003-CCB4D7A01730}" type="pres">
      <dgm:prSet presAssocID="{048275FF-1D71-46B7-813C-A7571224A01E}" presName="connectorText" presStyleLbl="sibTrans2D1" presStyleIdx="2" presStyleCnt="4"/>
      <dgm:spPr/>
    </dgm:pt>
    <dgm:pt modelId="{E038320B-ABD2-42BD-8EA6-3FA802B87E51}" type="pres">
      <dgm:prSet presAssocID="{F45E7477-5FDC-44A7-A87F-2FB4E52E87C9}" presName="node" presStyleLbl="node1" presStyleIdx="3" presStyleCnt="5">
        <dgm:presLayoutVars>
          <dgm:bulletEnabled val="1"/>
        </dgm:presLayoutVars>
      </dgm:prSet>
      <dgm:spPr/>
    </dgm:pt>
    <dgm:pt modelId="{6DDFE978-E81F-422C-BE48-5C21AA1BA136}" type="pres">
      <dgm:prSet presAssocID="{51EA5EDA-FD42-48DD-AF78-668B11CAD34B}" presName="sibTrans" presStyleLbl="sibTrans2D1" presStyleIdx="3" presStyleCnt="4"/>
      <dgm:spPr/>
    </dgm:pt>
    <dgm:pt modelId="{3AF597AA-3C1D-4DA6-A28A-70AA854DC365}" type="pres">
      <dgm:prSet presAssocID="{51EA5EDA-FD42-48DD-AF78-668B11CAD34B}" presName="connectorText" presStyleLbl="sibTrans2D1" presStyleIdx="3" presStyleCnt="4"/>
      <dgm:spPr/>
    </dgm:pt>
    <dgm:pt modelId="{97C30D66-BF64-424D-81C8-311F58F20AC1}" type="pres">
      <dgm:prSet presAssocID="{FF690397-0E1F-4D8D-AC1C-18E71038539E}" presName="node" presStyleLbl="node1" presStyleIdx="4" presStyleCnt="5">
        <dgm:presLayoutVars>
          <dgm:bulletEnabled val="1"/>
        </dgm:presLayoutVars>
      </dgm:prSet>
      <dgm:spPr/>
    </dgm:pt>
  </dgm:ptLst>
  <dgm:cxnLst>
    <dgm:cxn modelId="{6175280C-D3D0-43E9-865E-E5E9D22839BF}" type="presOf" srcId="{BC39ECBC-F9ED-431A-8B12-8A64F2662979}" destId="{288A8A19-C126-4D81-8AD7-AD25173748C8}" srcOrd="0" destOrd="0" presId="urn:microsoft.com/office/officeart/2005/8/layout/process5"/>
    <dgm:cxn modelId="{5E45C40E-6C80-4069-AACD-1915B7C1AD65}" srcId="{10F7CC95-865D-465D-AC86-C5B535371AA0}" destId="{F45E7477-5FDC-44A7-A87F-2FB4E52E87C9}" srcOrd="3" destOrd="0" parTransId="{47F777FA-E1F3-49BE-B597-D0AB2979BB68}" sibTransId="{51EA5EDA-FD42-48DD-AF78-668B11CAD34B}"/>
    <dgm:cxn modelId="{7847F40E-2CE3-493A-8969-09C7A2D4F3F4}" type="presOf" srcId="{4F0B3DD1-339D-430B-8AA5-8E4F88CAD73C}" destId="{669A31E0-2114-4970-A60E-BAEF207552FC}" srcOrd="0" destOrd="0" presId="urn:microsoft.com/office/officeart/2005/8/layout/process5"/>
    <dgm:cxn modelId="{BED9ED1A-38D4-40C7-A802-3F75CAC0693A}" type="presOf" srcId="{4F0B3DD1-339D-430B-8AA5-8E4F88CAD73C}" destId="{FF524233-4C94-4B33-83C8-8487256C6857}" srcOrd="1" destOrd="0" presId="urn:microsoft.com/office/officeart/2005/8/layout/process5"/>
    <dgm:cxn modelId="{9E966C21-8E84-46AF-A4F2-21B02418CCDC}" type="presOf" srcId="{FF690397-0E1F-4D8D-AC1C-18E71038539E}" destId="{97C30D66-BF64-424D-81C8-311F58F20AC1}" srcOrd="0" destOrd="0" presId="urn:microsoft.com/office/officeart/2005/8/layout/process5"/>
    <dgm:cxn modelId="{1A11BB27-F1D0-49E6-943A-CA8CEAC7A120}" type="presOf" srcId="{51EA5EDA-FD42-48DD-AF78-668B11CAD34B}" destId="{3AF597AA-3C1D-4DA6-A28A-70AA854DC365}" srcOrd="1" destOrd="0" presId="urn:microsoft.com/office/officeart/2005/8/layout/process5"/>
    <dgm:cxn modelId="{D37A212D-5C2C-4E8B-86C8-941EF1483EA3}" type="presOf" srcId="{A0DBC119-8E8C-4627-8FE0-223B0870E1B0}" destId="{55F58FA3-DF69-43EB-9182-3933DC5068D2}" srcOrd="0" destOrd="0" presId="urn:microsoft.com/office/officeart/2005/8/layout/process5"/>
    <dgm:cxn modelId="{5ED0BD65-CBEB-490A-B2EB-657E96F4CBA1}" type="presOf" srcId="{E7A616FF-44C7-461A-AA90-45B8BB9E736F}" destId="{850A53DE-7098-4506-B3B7-05A05D09B4D0}" srcOrd="0" destOrd="0" presId="urn:microsoft.com/office/officeart/2005/8/layout/process5"/>
    <dgm:cxn modelId="{DF688A4B-3CFB-4FC6-BE16-9EADD4545A17}" type="presOf" srcId="{5F83F793-A4B1-4929-8511-A4F607645BCC}" destId="{466E5ECC-351E-4E76-A3AF-19600800B283}" srcOrd="0" destOrd="0" presId="urn:microsoft.com/office/officeart/2005/8/layout/process5"/>
    <dgm:cxn modelId="{B3B3796E-8354-427D-865E-780C9225023B}" srcId="{10F7CC95-865D-465D-AC86-C5B535371AA0}" destId="{A0DBC119-8E8C-4627-8FE0-223B0870E1B0}" srcOrd="2" destOrd="0" parTransId="{4A4CA4FE-3C7E-4153-91A9-03D8DDED9B78}" sibTransId="{048275FF-1D71-46B7-813C-A7571224A01E}"/>
    <dgm:cxn modelId="{B1FD3F51-CCB3-4EE7-A6DD-0C9C3E1AF766}" type="presOf" srcId="{E7A616FF-44C7-461A-AA90-45B8BB9E736F}" destId="{E759D712-3C2A-406A-95AF-C70FB3536695}" srcOrd="1" destOrd="0" presId="urn:microsoft.com/office/officeart/2005/8/layout/process5"/>
    <dgm:cxn modelId="{D5EBF098-96C5-4F7C-A8EC-3EE0A335E42A}" type="presOf" srcId="{F45E7477-5FDC-44A7-A87F-2FB4E52E87C9}" destId="{E038320B-ABD2-42BD-8EA6-3FA802B87E51}" srcOrd="0" destOrd="0" presId="urn:microsoft.com/office/officeart/2005/8/layout/process5"/>
    <dgm:cxn modelId="{62B1E5B1-CDE1-4048-82A7-DC5260C1F186}" srcId="{10F7CC95-865D-465D-AC86-C5B535371AA0}" destId="{BC39ECBC-F9ED-431A-8B12-8A64F2662979}" srcOrd="0" destOrd="0" parTransId="{30BC4B35-BD51-4B58-9C7A-083B5392C2E6}" sibTransId="{4F0B3DD1-339D-430B-8AA5-8E4F88CAD73C}"/>
    <dgm:cxn modelId="{628E84D3-453F-4218-AE8C-12DA5DAEC2A4}" type="presOf" srcId="{51EA5EDA-FD42-48DD-AF78-668B11CAD34B}" destId="{6DDFE978-E81F-422C-BE48-5C21AA1BA136}" srcOrd="0" destOrd="0" presId="urn:microsoft.com/office/officeart/2005/8/layout/process5"/>
    <dgm:cxn modelId="{4B537EDA-B44F-4629-8EB1-D8DA8B038C67}" type="presOf" srcId="{048275FF-1D71-46B7-813C-A7571224A01E}" destId="{E91306BB-72A1-4C0C-9189-724BD58B574E}" srcOrd="0" destOrd="0" presId="urn:microsoft.com/office/officeart/2005/8/layout/process5"/>
    <dgm:cxn modelId="{8595B3E1-85B8-48C8-A50F-D35E0F168732}" type="presOf" srcId="{048275FF-1D71-46B7-813C-A7571224A01E}" destId="{6E20CD0A-CCEF-4307-9003-CCB4D7A01730}" srcOrd="1" destOrd="0" presId="urn:microsoft.com/office/officeart/2005/8/layout/process5"/>
    <dgm:cxn modelId="{20B3F5E9-4E8B-441E-9179-DC68468E7FC2}" srcId="{10F7CC95-865D-465D-AC86-C5B535371AA0}" destId="{FF690397-0E1F-4D8D-AC1C-18E71038539E}" srcOrd="4" destOrd="0" parTransId="{23A12D1E-97C9-4A5F-B1BB-F48BF1132476}" sibTransId="{09C6D2D2-7329-405A-B588-F0961011F283}"/>
    <dgm:cxn modelId="{8662C1F6-EA04-460C-B8A9-F4BEAF00603B}" type="presOf" srcId="{10F7CC95-865D-465D-AC86-C5B535371AA0}" destId="{DB349CF1-3FAC-4A0E-A201-FDBD0A4C9CDA}" srcOrd="0" destOrd="0" presId="urn:microsoft.com/office/officeart/2005/8/layout/process5"/>
    <dgm:cxn modelId="{A86BF7F7-F7B7-4197-A54F-C05FB2BCDECE}" srcId="{10F7CC95-865D-465D-AC86-C5B535371AA0}" destId="{5F83F793-A4B1-4929-8511-A4F607645BCC}" srcOrd="1" destOrd="0" parTransId="{03E8694D-3BED-402E-8EB4-797D7475EAA1}" sibTransId="{E7A616FF-44C7-461A-AA90-45B8BB9E736F}"/>
    <dgm:cxn modelId="{4318A39F-B43C-432C-A26A-6D56671E992E}" type="presParOf" srcId="{DB349CF1-3FAC-4A0E-A201-FDBD0A4C9CDA}" destId="{288A8A19-C126-4D81-8AD7-AD25173748C8}" srcOrd="0" destOrd="0" presId="urn:microsoft.com/office/officeart/2005/8/layout/process5"/>
    <dgm:cxn modelId="{644CE150-3147-4A0B-80D5-FA98A46AE0D5}" type="presParOf" srcId="{DB349CF1-3FAC-4A0E-A201-FDBD0A4C9CDA}" destId="{669A31E0-2114-4970-A60E-BAEF207552FC}" srcOrd="1" destOrd="0" presId="urn:microsoft.com/office/officeart/2005/8/layout/process5"/>
    <dgm:cxn modelId="{78B40D2B-73F8-4F32-A25F-A967916C34A5}" type="presParOf" srcId="{669A31E0-2114-4970-A60E-BAEF207552FC}" destId="{FF524233-4C94-4B33-83C8-8487256C6857}" srcOrd="0" destOrd="0" presId="urn:microsoft.com/office/officeart/2005/8/layout/process5"/>
    <dgm:cxn modelId="{9218555A-2585-4AD2-8351-84D3D22210DD}" type="presParOf" srcId="{DB349CF1-3FAC-4A0E-A201-FDBD0A4C9CDA}" destId="{466E5ECC-351E-4E76-A3AF-19600800B283}" srcOrd="2" destOrd="0" presId="urn:microsoft.com/office/officeart/2005/8/layout/process5"/>
    <dgm:cxn modelId="{94D4F3D0-1791-4CA0-9093-812DE1BB4149}" type="presParOf" srcId="{DB349CF1-3FAC-4A0E-A201-FDBD0A4C9CDA}" destId="{850A53DE-7098-4506-B3B7-05A05D09B4D0}" srcOrd="3" destOrd="0" presId="urn:microsoft.com/office/officeart/2005/8/layout/process5"/>
    <dgm:cxn modelId="{E28F9D1A-BA02-425A-9ADC-C2A4B4959132}" type="presParOf" srcId="{850A53DE-7098-4506-B3B7-05A05D09B4D0}" destId="{E759D712-3C2A-406A-95AF-C70FB3536695}" srcOrd="0" destOrd="0" presId="urn:microsoft.com/office/officeart/2005/8/layout/process5"/>
    <dgm:cxn modelId="{FBD024EC-4E58-47E3-9665-C37B47666DBA}" type="presParOf" srcId="{DB349CF1-3FAC-4A0E-A201-FDBD0A4C9CDA}" destId="{55F58FA3-DF69-43EB-9182-3933DC5068D2}" srcOrd="4" destOrd="0" presId="urn:microsoft.com/office/officeart/2005/8/layout/process5"/>
    <dgm:cxn modelId="{979D7314-C066-4124-A0B7-F282146703D1}" type="presParOf" srcId="{DB349CF1-3FAC-4A0E-A201-FDBD0A4C9CDA}" destId="{E91306BB-72A1-4C0C-9189-724BD58B574E}" srcOrd="5" destOrd="0" presId="urn:microsoft.com/office/officeart/2005/8/layout/process5"/>
    <dgm:cxn modelId="{F578B877-78FA-42A1-B6EB-61D0C4FACE8C}" type="presParOf" srcId="{E91306BB-72A1-4C0C-9189-724BD58B574E}" destId="{6E20CD0A-CCEF-4307-9003-CCB4D7A01730}" srcOrd="0" destOrd="0" presId="urn:microsoft.com/office/officeart/2005/8/layout/process5"/>
    <dgm:cxn modelId="{40CAE0C2-E66F-4885-BEA9-65443594D603}" type="presParOf" srcId="{DB349CF1-3FAC-4A0E-A201-FDBD0A4C9CDA}" destId="{E038320B-ABD2-42BD-8EA6-3FA802B87E51}" srcOrd="6" destOrd="0" presId="urn:microsoft.com/office/officeart/2005/8/layout/process5"/>
    <dgm:cxn modelId="{E0E0031B-DAB1-4A58-8F79-F1C2666D8453}" type="presParOf" srcId="{DB349CF1-3FAC-4A0E-A201-FDBD0A4C9CDA}" destId="{6DDFE978-E81F-422C-BE48-5C21AA1BA136}" srcOrd="7" destOrd="0" presId="urn:microsoft.com/office/officeart/2005/8/layout/process5"/>
    <dgm:cxn modelId="{FE650FC4-B14D-4B37-BC6E-0E28A1BB9BF3}" type="presParOf" srcId="{6DDFE978-E81F-422C-BE48-5C21AA1BA136}" destId="{3AF597AA-3C1D-4DA6-A28A-70AA854DC365}" srcOrd="0" destOrd="0" presId="urn:microsoft.com/office/officeart/2005/8/layout/process5"/>
    <dgm:cxn modelId="{7CF6F580-BE33-4A9A-B3A4-3D0EB6979E45}" type="presParOf" srcId="{DB349CF1-3FAC-4A0E-A201-FDBD0A4C9CDA}" destId="{97C30D66-BF64-424D-81C8-311F58F20AC1}" srcOrd="8" destOrd="0" presId="urn:microsoft.com/office/officeart/2005/8/layout/process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8A8A19-C126-4D81-8AD7-AD25173748C8}">
      <dsp:nvSpPr>
        <dsp:cNvPr id="0" name=""/>
        <dsp:cNvSpPr/>
      </dsp:nvSpPr>
      <dsp:spPr>
        <a:xfrm>
          <a:off x="4947" y="479085"/>
          <a:ext cx="1478784" cy="887270"/>
        </a:xfrm>
        <a:prstGeom prst="roundRect">
          <a:avLst>
            <a:gd name="adj" fmla="val 10000"/>
          </a:avLst>
        </a:prstGeom>
        <a:solidFill>
          <a:srgbClr val="E97132">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Diagnóstico ambiental del proyecto</a:t>
          </a:r>
        </a:p>
      </dsp:txBody>
      <dsp:txXfrm>
        <a:off x="30934" y="505072"/>
        <a:ext cx="1426810" cy="835296"/>
      </dsp:txXfrm>
    </dsp:sp>
    <dsp:sp modelId="{669A31E0-2114-4970-A60E-BAEF207552FC}">
      <dsp:nvSpPr>
        <dsp:cNvPr id="0" name=""/>
        <dsp:cNvSpPr/>
      </dsp:nvSpPr>
      <dsp:spPr>
        <a:xfrm>
          <a:off x="1613864" y="739351"/>
          <a:ext cx="313502" cy="366738"/>
        </a:xfrm>
        <a:prstGeom prst="rightArrow">
          <a:avLst>
            <a:gd name="adj1" fmla="val 60000"/>
            <a:gd name="adj2" fmla="val 50000"/>
          </a:avLst>
        </a:prstGeom>
        <a:solidFill>
          <a:srgbClr val="E9713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Aptos" panose="02110004020202020204"/>
            <a:ea typeface="+mn-ea"/>
            <a:cs typeface="+mn-cs"/>
          </a:endParaRPr>
        </a:p>
      </dsp:txBody>
      <dsp:txXfrm>
        <a:off x="1613864" y="812699"/>
        <a:ext cx="219451" cy="220042"/>
      </dsp:txXfrm>
    </dsp:sp>
    <dsp:sp modelId="{466E5ECC-351E-4E76-A3AF-19600800B283}">
      <dsp:nvSpPr>
        <dsp:cNvPr id="0" name=""/>
        <dsp:cNvSpPr/>
      </dsp:nvSpPr>
      <dsp:spPr>
        <a:xfrm>
          <a:off x="2075245" y="479085"/>
          <a:ext cx="1478784" cy="887270"/>
        </a:xfrm>
        <a:prstGeom prst="roundRect">
          <a:avLst>
            <a:gd name="adj" fmla="val 10000"/>
          </a:avLst>
        </a:prstGeom>
        <a:solidFill>
          <a:srgbClr val="E97132">
            <a:hueOff val="1610903"/>
            <a:satOff val="-4623"/>
            <a:lumOff val="-7402"/>
            <a:alphaOff val="0"/>
          </a:srgbClr>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Identificación de buenas prácticas sostenibles</a:t>
          </a:r>
        </a:p>
      </dsp:txBody>
      <dsp:txXfrm>
        <a:off x="2101232" y="505072"/>
        <a:ext cx="1426810" cy="835296"/>
      </dsp:txXfrm>
    </dsp:sp>
    <dsp:sp modelId="{850A53DE-7098-4506-B3B7-05A05D09B4D0}">
      <dsp:nvSpPr>
        <dsp:cNvPr id="0" name=""/>
        <dsp:cNvSpPr/>
      </dsp:nvSpPr>
      <dsp:spPr>
        <a:xfrm>
          <a:off x="3684162" y="739351"/>
          <a:ext cx="313502" cy="366738"/>
        </a:xfrm>
        <a:prstGeom prst="rightArrow">
          <a:avLst>
            <a:gd name="adj1" fmla="val 60000"/>
            <a:gd name="adj2" fmla="val 50000"/>
          </a:avLst>
        </a:prstGeom>
        <a:solidFill>
          <a:srgbClr val="E97132">
            <a:hueOff val="2147871"/>
            <a:satOff val="-6164"/>
            <a:lumOff val="-987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Aptos" panose="02110004020202020204"/>
            <a:ea typeface="+mn-ea"/>
            <a:cs typeface="+mn-cs"/>
          </a:endParaRPr>
        </a:p>
      </dsp:txBody>
      <dsp:txXfrm>
        <a:off x="3684162" y="812699"/>
        <a:ext cx="219451" cy="220042"/>
      </dsp:txXfrm>
    </dsp:sp>
    <dsp:sp modelId="{55F58FA3-DF69-43EB-9182-3933DC5068D2}">
      <dsp:nvSpPr>
        <dsp:cNvPr id="0" name=""/>
        <dsp:cNvSpPr/>
      </dsp:nvSpPr>
      <dsp:spPr>
        <a:xfrm>
          <a:off x="4145543" y="479085"/>
          <a:ext cx="1478784" cy="887270"/>
        </a:xfrm>
        <a:prstGeom prst="roundRect">
          <a:avLst>
            <a:gd name="adj" fmla="val 10000"/>
          </a:avLst>
        </a:prstGeom>
        <a:solidFill>
          <a:srgbClr val="E97132">
            <a:hueOff val="3221807"/>
            <a:satOff val="-9246"/>
            <a:lumOff val="-14805"/>
            <a:alphaOff val="0"/>
          </a:srgbClr>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Lineamientos operativos de gestión sostenible</a:t>
          </a:r>
        </a:p>
      </dsp:txBody>
      <dsp:txXfrm>
        <a:off x="4171530" y="505072"/>
        <a:ext cx="1426810" cy="835296"/>
      </dsp:txXfrm>
    </dsp:sp>
    <dsp:sp modelId="{E91306BB-72A1-4C0C-9189-724BD58B574E}">
      <dsp:nvSpPr>
        <dsp:cNvPr id="0" name=""/>
        <dsp:cNvSpPr/>
      </dsp:nvSpPr>
      <dsp:spPr>
        <a:xfrm rot="5400000">
          <a:off x="4728184" y="1469870"/>
          <a:ext cx="313502" cy="366738"/>
        </a:xfrm>
        <a:prstGeom prst="rightArrow">
          <a:avLst>
            <a:gd name="adj1" fmla="val 60000"/>
            <a:gd name="adj2" fmla="val 50000"/>
          </a:avLst>
        </a:prstGeom>
        <a:solidFill>
          <a:srgbClr val="E97132">
            <a:hueOff val="4295743"/>
            <a:satOff val="-12329"/>
            <a:lumOff val="-1973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Aptos" panose="02110004020202020204"/>
            <a:ea typeface="+mn-ea"/>
            <a:cs typeface="+mn-cs"/>
          </a:endParaRPr>
        </a:p>
      </dsp:txBody>
      <dsp:txXfrm rot="-5400000">
        <a:off x="4774915" y="1496488"/>
        <a:ext cx="220042" cy="219451"/>
      </dsp:txXfrm>
    </dsp:sp>
    <dsp:sp modelId="{E038320B-ABD2-42BD-8EA6-3FA802B87E51}">
      <dsp:nvSpPr>
        <dsp:cNvPr id="0" name=""/>
        <dsp:cNvSpPr/>
      </dsp:nvSpPr>
      <dsp:spPr>
        <a:xfrm>
          <a:off x="4145543" y="1957869"/>
          <a:ext cx="1478784" cy="887270"/>
        </a:xfrm>
        <a:prstGeom prst="roundRect">
          <a:avLst>
            <a:gd name="adj" fmla="val 10000"/>
          </a:avLst>
        </a:prstGeom>
        <a:solidFill>
          <a:srgbClr val="E97132">
            <a:hueOff val="4832710"/>
            <a:satOff val="-13870"/>
            <a:lumOff val="-22207"/>
            <a:alphaOff val="0"/>
          </a:srgbClr>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Implementación de indicadores (KPI)</a:t>
          </a:r>
        </a:p>
      </dsp:txBody>
      <dsp:txXfrm>
        <a:off x="4171530" y="1983856"/>
        <a:ext cx="1426810" cy="835296"/>
      </dsp:txXfrm>
    </dsp:sp>
    <dsp:sp modelId="{6DDFE978-E81F-422C-BE48-5C21AA1BA136}">
      <dsp:nvSpPr>
        <dsp:cNvPr id="0" name=""/>
        <dsp:cNvSpPr/>
      </dsp:nvSpPr>
      <dsp:spPr>
        <a:xfrm rot="10800000">
          <a:off x="3701907" y="2218135"/>
          <a:ext cx="313502" cy="366738"/>
        </a:xfrm>
        <a:prstGeom prst="rightArrow">
          <a:avLst>
            <a:gd name="adj1" fmla="val 60000"/>
            <a:gd name="adj2" fmla="val 50000"/>
          </a:avLst>
        </a:prstGeom>
        <a:solidFill>
          <a:srgbClr val="E97132">
            <a:hueOff val="6443614"/>
            <a:satOff val="-18493"/>
            <a:lumOff val="-2960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Aptos" panose="02110004020202020204"/>
            <a:ea typeface="+mn-ea"/>
            <a:cs typeface="+mn-cs"/>
          </a:endParaRPr>
        </a:p>
      </dsp:txBody>
      <dsp:txXfrm rot="10800000">
        <a:off x="3795958" y="2291483"/>
        <a:ext cx="219451" cy="220042"/>
      </dsp:txXfrm>
    </dsp:sp>
    <dsp:sp modelId="{97C30D66-BF64-424D-81C8-311F58F20AC1}">
      <dsp:nvSpPr>
        <dsp:cNvPr id="0" name=""/>
        <dsp:cNvSpPr/>
      </dsp:nvSpPr>
      <dsp:spPr>
        <a:xfrm>
          <a:off x="2075245" y="1957869"/>
          <a:ext cx="1478784" cy="887270"/>
        </a:xfrm>
        <a:prstGeom prst="roundRect">
          <a:avLst>
            <a:gd name="adj" fmla="val 10000"/>
          </a:avLst>
        </a:prstGeom>
        <a:solidFill>
          <a:srgbClr val="E97132">
            <a:hueOff val="6443614"/>
            <a:satOff val="-18493"/>
            <a:lumOff val="-29609"/>
            <a:alphaOff val="0"/>
          </a:srgbClr>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Monitoreo y mejora continua</a:t>
          </a:r>
        </a:p>
      </dsp:txBody>
      <dsp:txXfrm>
        <a:off x="2101232" y="1983856"/>
        <a:ext cx="1426810" cy="8352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Metadata/LabelInfo.xml><?xml version="1.0" encoding="utf-8"?>
<clbl:labelList xmlns:clbl="http://schemas.microsoft.com/office/2020/mipLabelMetadata">
  <clbl:label id="{6702bc3e-41ea-47f7-898b-dad51f1b421f}" enabled="0" method="" siteId="{6702bc3e-41ea-47f7-898b-dad51f1b421f}" removed="1"/>
</clbl:labelList>
</file>

<file path=docProps/app.xml><?xml version="1.0" encoding="utf-8"?>
<Properties xmlns="http://schemas.openxmlformats.org/officeDocument/2006/extended-properties" xmlns:vt="http://schemas.openxmlformats.org/officeDocument/2006/docPropsVTypes">
  <Template>Normal</Template>
  <TotalTime>1</TotalTime>
  <Pages>253</Pages>
  <Words>55041</Words>
  <Characters>323643</Characters>
  <Application>Microsoft Office Word</Application>
  <DocSecurity>0</DocSecurity>
  <Lines>7526</Lines>
  <Paragraphs>2868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Universidad de Costa Rica</vt:lpstr>
    </vt:vector>
  </TitlesOfParts>
  <Company/>
  <LinksUpToDate>false</LinksUpToDate>
  <CharactersWithSpaces>375816</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Ana R</dc:creator>
  <cp:keywords/>
  <cp:lastModifiedBy>Ana B Rodriguez</cp:lastModifiedBy>
  <cp:revision>3</cp:revision>
  <cp:lastPrinted>2006-03-17T14:38:00Z</cp:lastPrinted>
  <dcterms:created xsi:type="dcterms:W3CDTF">2026-05-06T21:06:00Z</dcterms:created>
  <dcterms:modified xsi:type="dcterms:W3CDTF">2026-05-06T21:06:00Z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