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62EF" w:rsidRDefault="00F262EF"/>
    <w:p w:rsidR="00F262EF" w:rsidRDefault="00F262EF"/>
    <w:p w:rsidR="00F262EF" w:rsidRDefault="00F262EF"/>
    <w:p w:rsidR="00F262EF" w:rsidRDefault="00F262EF"/>
    <w:p w:rsidR="00F262EF" w:rsidRDefault="00F262EF"/>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7595"/>
        <w:gridCol w:w="801"/>
      </w:tblGrid>
      <w:tr w:rsidR="00F262EF" w:rsidRPr="00F262EF" w:rsidTr="00F262EF">
        <w:trPr>
          <w:tblCellSpacing w:w="15" w:type="dxa"/>
        </w:trPr>
        <w:tc>
          <w:tcPr>
            <w:tcW w:w="5000" w:type="pct"/>
            <w:gridSpan w:val="2"/>
            <w:vAlign w:val="center"/>
            <w:hideMark/>
          </w:tcPr>
          <w:p w:rsidR="00F262EF" w:rsidRPr="00F262EF" w:rsidRDefault="00F262EF" w:rsidP="00F262EF">
            <w:pPr>
              <w:rPr>
                <w:rFonts w:ascii="Times New Roman" w:eastAsia="Times New Roman" w:hAnsi="Times New Roman" w:cs="Times New Roman"/>
                <w:lang w:eastAsia="es-MX"/>
              </w:rPr>
            </w:pPr>
            <w:r w:rsidRPr="00F262EF">
              <w:rPr>
                <w:rFonts w:ascii="Times New Roman" w:eastAsia="Times New Roman" w:hAnsi="Times New Roman" w:cs="Times New Roman"/>
                <w:sz w:val="27"/>
                <w:szCs w:val="27"/>
                <w:lang w:eastAsia="es-MX"/>
              </w:rPr>
              <w:t xml:space="preserve">Deroga Directriz N° 030-P de 12/04/2012 Lineamientos a seguir por el Ministerio de Hacienda y a la Procuraduría General de la República para la atención de medidas alternas que se tramitan en los procedimientos penales por denuncias de delitos tributarios </w:t>
            </w:r>
          </w:p>
        </w:tc>
      </w:tr>
      <w:tr w:rsidR="00F262EF" w:rsidRPr="00F262EF" w:rsidTr="00F262EF">
        <w:trPr>
          <w:tblCellSpacing w:w="15" w:type="dxa"/>
        </w:trPr>
        <w:tc>
          <w:tcPr>
            <w:tcW w:w="0" w:type="auto"/>
            <w:vAlign w:val="center"/>
            <w:hideMark/>
          </w:tcPr>
          <w:p w:rsidR="00F262EF" w:rsidRPr="00F262EF" w:rsidRDefault="00F262EF" w:rsidP="00F262EF">
            <w:pPr>
              <w:spacing w:before="100" w:beforeAutospacing="1"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b/>
                <w:sz w:val="20"/>
                <w:szCs w:val="20"/>
                <w:lang w:val="es-CR" w:eastAsia="es-MX"/>
              </w:rPr>
              <w:t>N° 002-P</w:t>
            </w:r>
          </w:p>
          <w:p w:rsidR="00F262EF" w:rsidRPr="00F262EF" w:rsidRDefault="00F262EF" w:rsidP="00F262EF">
            <w:pPr>
              <w:spacing w:after="240"/>
              <w:rPr>
                <w:rFonts w:ascii="Times New Roman" w:eastAsia="Times New Roman" w:hAnsi="Times New Roman" w:cs="Times New Roman"/>
                <w:sz w:val="20"/>
                <w:szCs w:val="20"/>
                <w:lang w:eastAsia="es-MX"/>
              </w:rPr>
            </w:pPr>
          </w:p>
          <w:p w:rsidR="00F262EF" w:rsidRPr="00F262EF" w:rsidRDefault="00F262EF" w:rsidP="00F262EF">
            <w:pPr>
              <w:jc w:val="center"/>
              <w:rPr>
                <w:rFonts w:ascii="Times New Roman" w:eastAsia="Times New Roman" w:hAnsi="Times New Roman" w:cs="Times New Roman"/>
                <w:sz w:val="20"/>
                <w:szCs w:val="20"/>
                <w:lang w:eastAsia="es-MX"/>
              </w:rPr>
            </w:pPr>
            <w:r w:rsidRPr="00F262EF">
              <w:rPr>
                <w:rFonts w:ascii="Verdana!important" w:eastAsia="Times New Roman" w:hAnsi="Verdana!important" w:cs="Times New Roman"/>
                <w:sz w:val="20"/>
                <w:szCs w:val="20"/>
                <w:lang w:val="es-CR" w:eastAsia="es-MX"/>
              </w:rPr>
              <w:t>EL PRESIDENTE DE LA REPÚBLICA</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En uso de las facultades conferidas por el artículo 26, inciso b) de la Ley General de la Administración Pública; los artículos 1°, 3° y 20 de la Ley Orgánica de la Procuraduría General de la República, los artículos 30 y 36 de Código Procesal Penal, y el artículo 73 del Código Procesal Contencioso Administrativo y 6° de la Ley General de la Administración Pública.</w:t>
            </w:r>
          </w:p>
          <w:p w:rsidR="00F262EF" w:rsidRPr="00F262EF" w:rsidRDefault="00F262EF" w:rsidP="00F262EF">
            <w:pPr>
              <w:spacing w:before="100" w:beforeAutospacing="1" w:after="100" w:afterAutospacing="1"/>
              <w:ind w:firstLine="708"/>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Considerando:</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I.-La Procuraduría General de la República es el órgano superior consultivo, técnico-jurídico, de la Administración Pública, y el representante legal del Estado en las materias propias de su competencia, por lo que mediante Ley N° 6815 se le dotó de independencia funcional y de criterio en el desempeño de sus atribuciones.</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II.-La Ley Orgánica de la Procuraduría General de la Republica, Ley N° 6815, establece en su artículo 3°, como atribuciones de la Procuraduría General de la República, proponer y acordar arreglos o convenios durante la tramitación de cualquier proceso, cuando valore su procedencia y oportunidad.</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III.-El artículo 6° de la Ley General de la Administración Pública regula en nuestro ordenamiento jurídico administrativo el principio de jerarquía de las normas.</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IV.-Sobre dicho principio, la propia Procuraduría General de la República ha indicado que "Las normas de la fuente inferior no pueden modificar ni sustituir a las de la superior. Es el caso de la Constitución frente a la ley y al resto de las normas del orden, y es también el caso de la ley frente al reglamento (...) en caso de contradicción prevalece siempre y necesariamente la ley. (OJ-116-2005 del 8 de agosto del 2005).</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lastRenderedPageBreak/>
              <w:t>V.-La Directriz N° 030-P, impone a la Procuraduría General de la República límites y reglas vía directriz, en cuanto a la potestad de conciliar o aceptar una reparación integral del daño en los delitos de evasión fiscal, por lo que dicha Directriz resulta ilegal, pues con ella no solo contraría las competencias atribuidas por el legislador a la Procuraduría General de la República, sino además se excede en las atribuciones constitucionales otorgadas a la Presidencia de la República en el artículo 139 de la Constitución Política y al Poder Ejecutivo en el artículo 140. Por tanto,</w:t>
            </w:r>
          </w:p>
          <w:p w:rsidR="00F262EF" w:rsidRPr="00F262EF" w:rsidRDefault="00F262EF" w:rsidP="00F262EF">
            <w:pPr>
              <w:spacing w:before="100" w:beforeAutospacing="1" w:after="100" w:afterAutospacing="1"/>
              <w:rPr>
                <w:rFonts w:ascii="Times New Roman" w:eastAsia="Times New Roman" w:hAnsi="Times New Roman" w:cs="Times New Roman"/>
                <w:sz w:val="20"/>
                <w:szCs w:val="20"/>
                <w:lang w:eastAsia="es-MX"/>
              </w:rPr>
            </w:pPr>
            <w:r w:rsidRPr="00F262EF">
              <w:rPr>
                <w:rFonts w:ascii="Verdana!important" w:eastAsia="Times New Roman" w:hAnsi="Verdana!important" w:cs="Times New Roman"/>
                <w:i/>
                <w:iCs/>
                <w:sz w:val="20"/>
                <w:szCs w:val="20"/>
                <w:lang w:val="es-CR" w:eastAsia="es-MX"/>
              </w:rPr>
              <w:t>(Así reformado el considerando anterior mediante directriz N° 004 del 16 de junio del 2014)</w:t>
            </w:r>
          </w:p>
          <w:p w:rsidR="00F262EF" w:rsidRPr="00F262EF" w:rsidRDefault="00F262EF" w:rsidP="00F262EF">
            <w:pPr>
              <w:spacing w:before="100" w:beforeAutospacing="1" w:after="100" w:afterAutospacing="1"/>
              <w:ind w:firstLine="708"/>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SE DEROGA LA DIRECTRIZ N° 030-P</w:t>
            </w:r>
          </w:p>
          <w:p w:rsidR="00F262EF" w:rsidRPr="00F262EF" w:rsidRDefault="00F262EF" w:rsidP="00F262EF">
            <w:pPr>
              <w:spacing w:before="100" w:beforeAutospacing="1" w:after="100" w:afterAutospacing="1"/>
              <w:ind w:firstLine="708"/>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val="es-CR" w:eastAsia="es-MX"/>
              </w:rPr>
              <w:t>Artículo 1º-Derogatoria. Deróguese la Directriz N° 030-P del 12 de abril del 2012, denominada Lineamientos a Seguir por el Ministerio de Hacienda y a la Procuraduría General de la República, para la Atención de Medidas Alternas que se Tramitan en los Procedimientos Penales por Denuncias de Delitos Tributarios, publicada en La Gaceta N° 76, Alcance N° 49, del 19 de abril del 2012.</w:t>
            </w:r>
          </w:p>
          <w:p w:rsidR="00F262EF" w:rsidRPr="00F262EF" w:rsidRDefault="00F262EF" w:rsidP="00F262EF">
            <w:pPr>
              <w:spacing w:before="100" w:beforeAutospacing="1" w:after="100" w:afterAutospacing="1"/>
              <w:ind w:firstLine="708"/>
              <w:rPr>
                <w:rFonts w:ascii="Verdana!important" w:eastAsia="Times New Roman" w:hAnsi="Verdana!important" w:cs="Times New Roman"/>
                <w:sz w:val="20"/>
                <w:szCs w:val="20"/>
                <w:lang w:eastAsia="es-MX"/>
              </w:rPr>
            </w:pPr>
            <w:r w:rsidRPr="00F262EF">
              <w:rPr>
                <w:rFonts w:ascii="Verdana!important" w:eastAsia="Times New Roman" w:hAnsi="Verdana!important" w:cs="Times New Roman"/>
                <w:sz w:val="20"/>
                <w:szCs w:val="20"/>
                <w:lang w:val="es-CR" w:eastAsia="es-MX"/>
              </w:rPr>
              <w:t>Artículo 2º-Vigencia. Rige a partir de su publicación en el Diario Oficial.</w:t>
            </w:r>
          </w:p>
          <w:p w:rsidR="00F262EF" w:rsidRPr="00F262EF" w:rsidRDefault="00F262EF" w:rsidP="00F262EF">
            <w:pPr>
              <w:spacing w:before="100" w:beforeAutospacing="1" w:after="100" w:afterAutospacing="1"/>
              <w:ind w:firstLine="708"/>
              <w:rPr>
                <w:rFonts w:ascii="Verdana!important" w:eastAsia="Times New Roman" w:hAnsi="Verdana!important" w:cs="Times New Roman"/>
                <w:sz w:val="20"/>
                <w:szCs w:val="20"/>
                <w:lang w:eastAsia="es-MX"/>
              </w:rPr>
            </w:pPr>
            <w:r w:rsidRPr="00F262EF">
              <w:rPr>
                <w:rFonts w:ascii="Verdana!important" w:eastAsia="Times New Roman" w:hAnsi="Verdana!important" w:cs="Times New Roman"/>
                <w:sz w:val="20"/>
                <w:szCs w:val="20"/>
                <w:lang w:val="es-CR" w:eastAsia="es-MX"/>
              </w:rPr>
              <w:t>Dada en la Presidencia de la República.-San José, a los veintiocho días del mes de mayo del dos mil catorce.</w:t>
            </w:r>
          </w:p>
          <w:p w:rsidR="00F262EF" w:rsidRPr="00F262EF" w:rsidRDefault="00F262EF" w:rsidP="00F262EF">
            <w:pPr>
              <w:rPr>
                <w:rFonts w:ascii="Verdana!important" w:eastAsia="Times New Roman" w:hAnsi="Verdana!important" w:cs="Times New Roman"/>
                <w:sz w:val="20"/>
                <w:szCs w:val="20"/>
                <w:lang w:eastAsia="es-MX"/>
              </w:rPr>
            </w:pPr>
          </w:p>
        </w:tc>
        <w:tc>
          <w:tcPr>
            <w:tcW w:w="0" w:type="auto"/>
            <w:vAlign w:val="center"/>
            <w:hideMark/>
          </w:tcPr>
          <w:p w:rsidR="00F262EF" w:rsidRPr="00F262EF" w:rsidRDefault="00F262EF" w:rsidP="00F262EF">
            <w:pPr>
              <w:rPr>
                <w:rFonts w:ascii="Times New Roman" w:eastAsia="Times New Roman" w:hAnsi="Times New Roman" w:cs="Times New Roman"/>
                <w:sz w:val="20"/>
                <w:szCs w:val="20"/>
                <w:lang w:eastAsia="es-MX"/>
              </w:rPr>
            </w:pPr>
          </w:p>
        </w:tc>
      </w:tr>
    </w:tbl>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p w:rsidR="00F262EF" w:rsidRDefault="00F262EF"/>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7595"/>
        <w:gridCol w:w="801"/>
      </w:tblGrid>
      <w:tr w:rsidR="00F262EF" w:rsidRPr="00F262EF" w:rsidTr="00F262EF">
        <w:trPr>
          <w:tblCellSpacing w:w="15" w:type="dxa"/>
        </w:trPr>
        <w:tc>
          <w:tcPr>
            <w:tcW w:w="4964" w:type="pct"/>
            <w:gridSpan w:val="2"/>
            <w:vAlign w:val="center"/>
            <w:hideMark/>
          </w:tcPr>
          <w:p w:rsidR="00F262EF" w:rsidRPr="00F262EF" w:rsidRDefault="00F262EF" w:rsidP="00F262EF">
            <w:pPr>
              <w:jc w:val="center"/>
              <w:rPr>
                <w:rFonts w:ascii="Times New Roman" w:eastAsia="Times New Roman" w:hAnsi="Times New Roman" w:cs="Times New Roman"/>
                <w:lang w:eastAsia="es-MX"/>
              </w:rPr>
            </w:pPr>
            <w:r w:rsidRPr="00F262EF">
              <w:rPr>
                <w:rFonts w:ascii="Times New Roman" w:eastAsia="Times New Roman" w:hAnsi="Times New Roman" w:cs="Times New Roman"/>
                <w:sz w:val="27"/>
                <w:szCs w:val="27"/>
                <w:lang w:eastAsia="es-MX"/>
              </w:rPr>
              <w:lastRenderedPageBreak/>
              <w:t xml:space="preserve">Reforma Directriz N° 002-P del 28/05/2014 "Deroga Directriz N° 030-P de 12/04/2012 Lineamientos a seguir por el M. Hac y a la PGR para la atención de medidas alternas que se tramitan en los procedimientos penales por denuncias de delitos tributarios" </w:t>
            </w:r>
          </w:p>
        </w:tc>
      </w:tr>
      <w:tr w:rsidR="00F262EF" w:rsidRPr="00F262EF" w:rsidTr="00F262EF">
        <w:trPr>
          <w:tblCellSpacing w:w="15" w:type="dxa"/>
        </w:trPr>
        <w:tc>
          <w:tcPr>
            <w:tcW w:w="0" w:type="auto"/>
            <w:vAlign w:val="center"/>
            <w:hideMark/>
          </w:tcPr>
          <w:p w:rsidR="00F262EF" w:rsidRPr="00F262EF" w:rsidRDefault="00F262EF" w:rsidP="00F262EF">
            <w:pPr>
              <w:spacing w:before="60"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b/>
                <w:sz w:val="20"/>
                <w:szCs w:val="20"/>
                <w:lang w:eastAsia="es-MX"/>
              </w:rPr>
              <w:t>N° 004-P </w:t>
            </w:r>
          </w:p>
          <w:p w:rsidR="00F262EF" w:rsidRPr="00F262EF" w:rsidRDefault="00F262EF" w:rsidP="00F262EF">
            <w:pPr>
              <w:spacing w:before="60"/>
              <w:jc w:val="center"/>
              <w:rPr>
                <w:rFonts w:ascii="Times New Roman" w:eastAsia="Times New Roman" w:hAnsi="Times New Roman" w:cs="Times New Roman"/>
                <w:sz w:val="20"/>
                <w:szCs w:val="20"/>
                <w:lang w:eastAsia="es-MX"/>
              </w:rPr>
            </w:pPr>
            <w:r w:rsidRPr="00F262EF">
              <w:rPr>
                <w:rFonts w:ascii="Verdana!important" w:eastAsia="Times New Roman" w:hAnsi="Verdana!important" w:cs="Times New Roman"/>
                <w:sz w:val="20"/>
                <w:szCs w:val="20"/>
                <w:lang w:eastAsia="es-MX"/>
              </w:rPr>
              <w:t>EL PRESIDENTE DE LA REPÚBLICA </w:t>
            </w:r>
          </w:p>
          <w:p w:rsidR="00F262EF" w:rsidRPr="00F262EF" w:rsidRDefault="00F262EF" w:rsidP="00F262EF">
            <w:pPr>
              <w:spacing w:before="60"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En uso de facultades conferidas por los artículos 6 y 26, inciso b) de la Ley de General de la Administración Pública; los artículos 1, 3 y 20 de la Ley Orgánica de la Procuraduría General de la República, los artículos 30 y 36 del Código Procesal Penal y el artículo 73 del Código Procesal Contencioso Administrativo.</w:t>
            </w:r>
          </w:p>
          <w:p w:rsidR="00F262EF" w:rsidRPr="00F262EF" w:rsidRDefault="00F262EF" w:rsidP="00F262EF">
            <w:pPr>
              <w:spacing w:after="240"/>
              <w:rPr>
                <w:rFonts w:ascii="Times New Roman" w:eastAsia="Times New Roman" w:hAnsi="Times New Roman" w:cs="Times New Roman"/>
                <w:sz w:val="20"/>
                <w:szCs w:val="20"/>
                <w:lang w:eastAsia="es-MX"/>
              </w:rPr>
            </w:pPr>
          </w:p>
          <w:p w:rsidR="00F262EF" w:rsidRPr="00F262EF" w:rsidRDefault="00F262EF" w:rsidP="00F262EF">
            <w:pPr>
              <w:spacing w:before="60"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i/>
                <w:iCs/>
                <w:sz w:val="20"/>
                <w:szCs w:val="20"/>
                <w:lang w:eastAsia="es-MX"/>
              </w:rPr>
              <w:t xml:space="preserve">Considerando: </w:t>
            </w:r>
          </w:p>
          <w:p w:rsidR="00F262EF" w:rsidRPr="00F262EF" w:rsidRDefault="00F262EF" w:rsidP="00F262EF">
            <w:pPr>
              <w:spacing w:after="240"/>
              <w:rPr>
                <w:rFonts w:ascii="Times New Roman" w:eastAsia="Times New Roman" w:hAnsi="Times New Roman" w:cs="Times New Roman"/>
                <w:sz w:val="20"/>
                <w:szCs w:val="20"/>
                <w:lang w:eastAsia="es-MX"/>
              </w:rPr>
            </w:pPr>
          </w:p>
          <w:p w:rsidR="00F262EF" w:rsidRPr="00F262EF" w:rsidRDefault="00F262EF" w:rsidP="00F262EF">
            <w:pPr>
              <w:spacing w:before="60"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I.-Que mediante Directriz número 002-P de fecha veintiocho de mayo del dos mil catorce, se derogó la Directriz 30-P de fecha doce de abril del dos mil doce, denominada "Lineamientos a seguir por el Ministerio de Hacienda y a la Procuraduría General de la República para la atención de medidas alternas que se tramitan en los procedimientos penales por denuncias de delitos tributarios". </w:t>
            </w:r>
          </w:p>
          <w:p w:rsidR="00F262EF" w:rsidRPr="00F262EF" w:rsidRDefault="00F262EF" w:rsidP="00F262EF">
            <w:pPr>
              <w:spacing w:before="100" w:beforeAutospacing="1"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II.-Que en el Considerando Quinto de la Directriz número 002-P de cita, en la línea 3 se indicó de forma incorrecta, la palabra inconstitucional siendo lo correcto la palabra ilegal. </w:t>
            </w:r>
          </w:p>
          <w:p w:rsidR="00F262EF" w:rsidRPr="00F262EF" w:rsidRDefault="00F262EF" w:rsidP="00F262EF">
            <w:pPr>
              <w:spacing w:before="100" w:beforeAutospacing="1"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 xml:space="preserve">III.-Que en razón de lo anterior, resulta necesario modificar el Considerando Quinto de la Directriz 002-P de cita. </w:t>
            </w:r>
            <w:r w:rsidRPr="00F262EF">
              <w:rPr>
                <w:rFonts w:ascii="Times New Roman" w:eastAsia="Times New Roman" w:hAnsi="Times New Roman" w:cs="Times New Roman"/>
                <w:b/>
                <w:bCs/>
                <w:sz w:val="20"/>
                <w:szCs w:val="20"/>
                <w:lang w:eastAsia="es-MX"/>
              </w:rPr>
              <w:t xml:space="preserve">Por tanto,  </w:t>
            </w:r>
          </w:p>
          <w:p w:rsidR="00F262EF" w:rsidRPr="00F262EF" w:rsidRDefault="00F262EF" w:rsidP="00F262EF">
            <w:pPr>
              <w:spacing w:before="60"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Emite la siguiente, </w:t>
            </w:r>
          </w:p>
          <w:p w:rsidR="00F262EF" w:rsidRPr="00F262EF" w:rsidRDefault="00F262EF" w:rsidP="00F262EF">
            <w:pPr>
              <w:spacing w:before="60"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MODIFICACIÓN AL CONSIDERANDO QUINTO DE LA </w:t>
            </w:r>
          </w:p>
          <w:p w:rsidR="00F262EF" w:rsidRPr="00F262EF" w:rsidRDefault="00F262EF" w:rsidP="00F262EF">
            <w:pPr>
              <w:spacing w:before="100" w:beforeAutospacing="1"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DIRECTRIZ NÚMERO 002-P DE FECHA VEINTIOCHO </w:t>
            </w:r>
          </w:p>
          <w:p w:rsidR="00F262EF" w:rsidRPr="00F262EF" w:rsidRDefault="00F262EF" w:rsidP="00F262EF">
            <w:pPr>
              <w:spacing w:before="100" w:beforeAutospacing="1" w:after="100" w:afterAutospacing="1"/>
              <w:jc w:val="center"/>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t>DE MAYO DEL DOS MIL CATORCE </w:t>
            </w:r>
            <w:r w:rsidRPr="00F262EF">
              <w:rPr>
                <w:rFonts w:ascii="Times New Roman" w:eastAsia="Times New Roman" w:hAnsi="Times New Roman" w:cs="Times New Roman"/>
                <w:sz w:val="20"/>
                <w:szCs w:val="20"/>
                <w:lang w:eastAsia="es-MX"/>
              </w:rPr>
              <w:br/>
            </w:r>
            <w:r w:rsidRPr="00F262EF">
              <w:rPr>
                <w:rFonts w:ascii="Times New Roman" w:eastAsia="Times New Roman" w:hAnsi="Times New Roman" w:cs="Times New Roman"/>
                <w:sz w:val="20"/>
                <w:szCs w:val="20"/>
                <w:lang w:eastAsia="es-MX"/>
              </w:rPr>
              <w:br/>
              <w:t>text-indent:24.0pt'&gt;Artículo 1º-Modifíquese el Considerando Quinto de la Directriz número 002-P de fecha veintiocho de mayo del dos mil catorce, para que se lea: </w:t>
            </w:r>
          </w:p>
          <w:p w:rsidR="00F262EF" w:rsidRPr="00F262EF" w:rsidRDefault="00F262EF" w:rsidP="00F262EF">
            <w:pPr>
              <w:spacing w:after="240"/>
              <w:rPr>
                <w:rFonts w:ascii="Times New Roman" w:eastAsia="Times New Roman" w:hAnsi="Times New Roman" w:cs="Times New Roman"/>
                <w:sz w:val="20"/>
                <w:szCs w:val="20"/>
                <w:lang w:eastAsia="es-MX"/>
              </w:rPr>
            </w:pPr>
          </w:p>
          <w:p w:rsidR="00F262EF" w:rsidRPr="00F262EF" w:rsidRDefault="00F262EF" w:rsidP="00F262EF">
            <w:pPr>
              <w:spacing w:before="60" w:after="100" w:afterAutospacing="1"/>
              <w:ind w:firstLine="480"/>
              <w:rPr>
                <w:rFonts w:ascii="Times New Roman" w:eastAsia="Times New Roman" w:hAnsi="Times New Roman" w:cs="Times New Roman"/>
                <w:sz w:val="20"/>
                <w:szCs w:val="20"/>
                <w:lang w:eastAsia="es-MX"/>
              </w:rPr>
            </w:pPr>
            <w:r w:rsidRPr="00F262EF">
              <w:rPr>
                <w:rFonts w:ascii="Times New Roman" w:eastAsia="Times New Roman" w:hAnsi="Times New Roman" w:cs="Times New Roman"/>
                <w:sz w:val="20"/>
                <w:szCs w:val="20"/>
                <w:lang w:eastAsia="es-MX"/>
              </w:rPr>
              <w:lastRenderedPageBreak/>
              <w:t xml:space="preserve">Quinto. La Directriz N° 030-P, impone a la Procuraduría General de la República límites y reglas vía directriz, en cuanto a la potestad de conciliar o aceptar una reparación integral del daño en los delitos de evasión fiscal, por lo que dicha Directriz resulta ilegal, pues con ella no solo contraría las competencias atribuidas por el legislador a la Procuraduría General de la República, sino además se excede en las atribuciones constitucionales otorgadas a la Presidencia de la República en el artículo 139 de la Constitución Política y al Poder Ejecutivo en el artículo 140. </w:t>
            </w:r>
            <w:r w:rsidRPr="00F262EF">
              <w:rPr>
                <w:rFonts w:ascii="Times New Roman" w:eastAsia="Times New Roman" w:hAnsi="Times New Roman" w:cs="Times New Roman"/>
                <w:sz w:val="20"/>
                <w:szCs w:val="20"/>
                <w:lang w:eastAsia="es-MX"/>
              </w:rPr>
              <w:br/>
            </w:r>
          </w:p>
          <w:p w:rsidR="00F262EF" w:rsidRPr="00F262EF" w:rsidRDefault="00F262EF" w:rsidP="00F262EF">
            <w:pPr>
              <w:spacing w:before="60" w:after="100" w:afterAutospacing="1"/>
              <w:ind w:firstLine="480"/>
              <w:rPr>
                <w:rFonts w:ascii="Verdana!important" w:eastAsia="Times New Roman" w:hAnsi="Verdana!important" w:cs="Times New Roman"/>
                <w:sz w:val="20"/>
                <w:szCs w:val="20"/>
                <w:lang w:eastAsia="es-MX"/>
              </w:rPr>
            </w:pPr>
            <w:r w:rsidRPr="00F262EF">
              <w:rPr>
                <w:rFonts w:ascii="Verdana!important" w:eastAsia="Times New Roman" w:hAnsi="Verdana!important" w:cs="Times New Roman"/>
                <w:sz w:val="20"/>
                <w:szCs w:val="20"/>
                <w:lang w:eastAsia="es-MX"/>
              </w:rPr>
              <w:t xml:space="preserve">Artículo 2º-Los demás extremos de la Directriz número 002- P de fecha veintiocho de mayo del dos mil catorce se mantienen incólumes. </w:t>
            </w:r>
          </w:p>
          <w:p w:rsidR="00F262EF" w:rsidRP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r w:rsidRPr="00F262EF">
              <w:rPr>
                <w:rFonts w:ascii="Verdana!important" w:eastAsia="Times New Roman" w:hAnsi="Verdana!important" w:cs="Times New Roman"/>
                <w:sz w:val="20"/>
                <w:szCs w:val="20"/>
                <w:lang w:eastAsia="es-MX"/>
              </w:rPr>
              <w:t>Artículo 3º-Rige a partir de su publicación. </w:t>
            </w: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val="es-CR" w:eastAsia="es-MX"/>
              </w:rPr>
            </w:pPr>
            <w:r w:rsidRPr="00F262EF">
              <w:rPr>
                <w:rFonts w:ascii="Verdana!important" w:eastAsia="Times New Roman" w:hAnsi="Verdana!important" w:cs="Times New Roman"/>
                <w:sz w:val="20"/>
                <w:szCs w:val="20"/>
                <w:lang w:val="es-CR" w:eastAsia="es-MX"/>
              </w:rPr>
              <w:t>Dada en la Presidencia de la República.-San José, a los dieciséis días del mes de junio del dos mil catorce.</w:t>
            </w: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val="es-CR"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ind w:firstLine="480"/>
              <w:rPr>
                <w:rFonts w:ascii="Verdana!important" w:eastAsia="Times New Roman" w:hAnsi="Verdana!important" w:cs="Times New Roman"/>
                <w:sz w:val="20"/>
                <w:szCs w:val="20"/>
                <w:lang w:eastAsia="es-MX"/>
              </w:rPr>
            </w:pPr>
          </w:p>
          <w:p w:rsidR="00F262EF" w:rsidRDefault="00F262EF" w:rsidP="00F262EF">
            <w:pPr>
              <w:spacing w:before="100" w:beforeAutospacing="1" w:after="100" w:afterAutospacing="1"/>
              <w:rPr>
                <w:rFonts w:ascii="Verdana!important" w:eastAsia="Times New Roman" w:hAnsi="Verdana!important" w:cs="Times New Roman"/>
                <w:sz w:val="20"/>
                <w:szCs w:val="20"/>
                <w:lang w:eastAsia="es-MX"/>
              </w:rPr>
            </w:pPr>
          </w:p>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5659"/>
              <w:gridCol w:w="801"/>
            </w:tblGrid>
            <w:tr w:rsidR="00F262EF" w:rsidTr="00F262EF">
              <w:trPr>
                <w:tblCellSpacing w:w="15" w:type="dxa"/>
              </w:trPr>
              <w:tc>
                <w:tcPr>
                  <w:tcW w:w="5000" w:type="pct"/>
                  <w:gridSpan w:val="2"/>
                  <w:vAlign w:val="center"/>
                  <w:hideMark/>
                </w:tcPr>
                <w:p w:rsidR="00F262EF" w:rsidRDefault="00F262EF" w:rsidP="00F262EF">
                  <w:pPr>
                    <w:jc w:val="center"/>
                  </w:pPr>
                  <w:r>
                    <w:rPr>
                      <w:sz w:val="27"/>
                      <w:szCs w:val="27"/>
                    </w:rPr>
                    <w:lastRenderedPageBreak/>
                    <w:t xml:space="preserve">Lineamientos a seguir por el Ministerio de Hacienda y a la Procuraduría General de la República para la atención de medidas alternas que se tramitan en los procedimientos penales por denuncias de delitos tributarios </w:t>
                  </w:r>
                </w:p>
              </w:tc>
            </w:tr>
            <w:tr w:rsidR="00F262EF" w:rsidTr="00F262EF">
              <w:trPr>
                <w:tblCellSpacing w:w="15" w:type="dxa"/>
              </w:trPr>
              <w:tc>
                <w:tcPr>
                  <w:tcW w:w="0" w:type="auto"/>
                  <w:vAlign w:val="center"/>
                  <w:hideMark/>
                </w:tcPr>
                <w:p w:rsidR="00F262EF" w:rsidRDefault="00F262EF" w:rsidP="00F262EF">
                  <w:pPr>
                    <w:pStyle w:val="default"/>
                    <w:jc w:val="center"/>
                    <w:rPr>
                      <w:sz w:val="20"/>
                      <w:szCs w:val="20"/>
                    </w:rPr>
                  </w:pPr>
                  <w:bookmarkStart w:id="0" w:name="up"/>
                  <w:bookmarkEnd w:id="0"/>
                  <w:r>
                    <w:rPr>
                      <w:rFonts w:ascii="Verdana!important" w:hAnsi="Verdana!important"/>
                      <w:b/>
                      <w:bCs/>
                      <w:sz w:val="20"/>
                      <w:szCs w:val="20"/>
                    </w:rPr>
                    <w:t>Nº 030-P</w:t>
                  </w:r>
                </w:p>
                <w:p w:rsidR="00F262EF" w:rsidRDefault="00F262EF" w:rsidP="00F262EF">
                  <w:pPr>
                    <w:spacing w:after="240"/>
                    <w:rPr>
                      <w:sz w:val="20"/>
                      <w:szCs w:val="20"/>
                    </w:rPr>
                  </w:pPr>
                </w:p>
                <w:p w:rsidR="00F262EF" w:rsidRDefault="00F262EF" w:rsidP="00F262EF">
                  <w:pPr>
                    <w:jc w:val="center"/>
                    <w:rPr>
                      <w:sz w:val="20"/>
                      <w:szCs w:val="20"/>
                    </w:rPr>
                  </w:pPr>
                  <w:r>
                    <w:rPr>
                      <w:rFonts w:ascii="Verdana!important" w:hAnsi="Verdana!important"/>
                      <w:i/>
                      <w:iCs/>
                      <w:sz w:val="20"/>
                      <w:szCs w:val="20"/>
                    </w:rPr>
                    <w:t>(Esta norma fue derogada por el artículo 1° de la directriz N° 002 del 28 de mayo del 2014)</w:t>
                  </w:r>
                </w:p>
                <w:p w:rsidR="00F262EF" w:rsidRDefault="00F262EF" w:rsidP="00F262EF">
                  <w:pPr>
                    <w:pStyle w:val="normal2"/>
                    <w:jc w:val="center"/>
                    <w:rPr>
                      <w:sz w:val="20"/>
                      <w:szCs w:val="20"/>
                    </w:rPr>
                  </w:pPr>
                  <w:r>
                    <w:rPr>
                      <w:rFonts w:ascii="Verdana!important" w:hAnsi="Verdana!important"/>
                      <w:b/>
                      <w:bCs/>
                      <w:sz w:val="20"/>
                      <w:szCs w:val="20"/>
                    </w:rPr>
                    <w:t>LA PRESIDENTA DE LA REPÚBLICA</w:t>
                  </w:r>
                </w:p>
                <w:p w:rsidR="00F262EF" w:rsidRDefault="00F262EF" w:rsidP="00F262EF">
                  <w:pPr>
                    <w:spacing w:after="240"/>
                    <w:rPr>
                      <w:sz w:val="20"/>
                      <w:szCs w:val="20"/>
                    </w:rPr>
                  </w:pPr>
                </w:p>
                <w:p w:rsidR="00F262EF" w:rsidRDefault="00F262EF" w:rsidP="00F262EF">
                  <w:pPr>
                    <w:pStyle w:val="normal2"/>
                    <w:ind w:firstLine="708"/>
                    <w:jc w:val="both"/>
                    <w:rPr>
                      <w:sz w:val="20"/>
                      <w:szCs w:val="20"/>
                    </w:rPr>
                  </w:pPr>
                  <w:r>
                    <w:rPr>
                      <w:rFonts w:ascii="Verdana!important" w:hAnsi="Verdana!important"/>
                      <w:sz w:val="20"/>
                      <w:szCs w:val="20"/>
                    </w:rPr>
                    <w:t xml:space="preserve">En uso de las facultades conferidas por el artículo 26, inciso b) de la Ley General de la Administración Pública; los artículos 3 y 20 de la Ley Orgánica de la Procuraduría General de la República, los artículos 30 y 36 de Código Procesal Penal, y el artículo 73 del Código Procesal Contencioso Administrativo. </w:t>
                  </w:r>
                </w:p>
                <w:p w:rsidR="00F262EF" w:rsidRDefault="00F262EF" w:rsidP="00F262EF">
                  <w:pPr>
                    <w:spacing w:after="240"/>
                    <w:rPr>
                      <w:sz w:val="20"/>
                      <w:szCs w:val="20"/>
                    </w:rPr>
                  </w:pPr>
                </w:p>
                <w:p w:rsidR="00F262EF" w:rsidRDefault="00F262EF" w:rsidP="00F262EF">
                  <w:pPr>
                    <w:pStyle w:val="default"/>
                    <w:jc w:val="center"/>
                    <w:rPr>
                      <w:sz w:val="20"/>
                      <w:szCs w:val="20"/>
                    </w:rPr>
                  </w:pPr>
                  <w:r>
                    <w:rPr>
                      <w:rFonts w:ascii="Verdana!important" w:hAnsi="Verdana!important"/>
                      <w:b/>
                      <w:bCs/>
                      <w:sz w:val="20"/>
                      <w:szCs w:val="20"/>
                    </w:rPr>
                    <w:t>CONSIDERANDO:</w:t>
                  </w:r>
                </w:p>
                <w:p w:rsidR="00F262EF" w:rsidRDefault="00F262EF" w:rsidP="00F262EF">
                  <w:pPr>
                    <w:pStyle w:val="default"/>
                    <w:ind w:firstLine="708"/>
                    <w:jc w:val="both"/>
                    <w:rPr>
                      <w:sz w:val="20"/>
                      <w:szCs w:val="20"/>
                    </w:rPr>
                  </w:pPr>
                  <w:r>
                    <w:rPr>
                      <w:rFonts w:ascii="Verdana!important" w:hAnsi="Verdana!important"/>
                      <w:sz w:val="20"/>
                      <w:szCs w:val="20"/>
                    </w:rPr>
                    <w:t xml:space="preserve">I  Que el ataque a la evasión fiscal es del más alto interés nacional. Si no se combate con fortaleza y eficiencia, se propicia y motiva el comportamiento laxo y disoluto de la mayoría de los contribuyentes que ven en la desidia estatal por combatir el fraude, una excusa para no cumplir ellos mismos. </w:t>
                  </w:r>
                </w:p>
                <w:p w:rsidR="00F262EF" w:rsidRDefault="00F262EF" w:rsidP="00F262EF">
                  <w:pPr>
                    <w:pStyle w:val="default"/>
                    <w:ind w:firstLine="708"/>
                    <w:jc w:val="both"/>
                    <w:rPr>
                      <w:sz w:val="20"/>
                      <w:szCs w:val="20"/>
                    </w:rPr>
                  </w:pPr>
                  <w:r>
                    <w:rPr>
                      <w:rFonts w:ascii="Verdana!important" w:hAnsi="Verdana!important"/>
                      <w:sz w:val="20"/>
                      <w:szCs w:val="20"/>
                    </w:rPr>
                    <w:t>II  Que los delitos tributarios establecidos en el Código de Normas y Procedimientos Tributarios, son acciones u omisiones en los que ha mediado la voluntad de infringir el ordenamiento jurídico, con el propósito de obtener un beneficio patrimonial, una exención o una devolución en perjuicio de la Hacienda Pública.</w:t>
                  </w:r>
                </w:p>
                <w:p w:rsidR="00F262EF" w:rsidRDefault="00F262EF" w:rsidP="00F262EF">
                  <w:pPr>
                    <w:pStyle w:val="default"/>
                    <w:ind w:firstLine="708"/>
                    <w:jc w:val="both"/>
                    <w:rPr>
                      <w:sz w:val="20"/>
                      <w:szCs w:val="20"/>
                    </w:rPr>
                  </w:pPr>
                  <w:r>
                    <w:rPr>
                      <w:rFonts w:ascii="Verdana!important" w:hAnsi="Verdana!important"/>
                      <w:sz w:val="20"/>
                      <w:szCs w:val="20"/>
                    </w:rPr>
                    <w:lastRenderedPageBreak/>
                    <w:t xml:space="preserve">III Que dentro de las políticas de control de la evasión, es de interés del Gobierno que los contribuyentes comprendan que al incurrir en los delitos tributarios se están afectando las finanzas públicas y no es solidario con el resto de la sociedad. </w:t>
                  </w:r>
                </w:p>
                <w:p w:rsidR="00F262EF" w:rsidRDefault="00F262EF" w:rsidP="00F262EF">
                  <w:pPr>
                    <w:pStyle w:val="default"/>
                    <w:ind w:firstLine="708"/>
                    <w:jc w:val="both"/>
                    <w:rPr>
                      <w:sz w:val="20"/>
                      <w:szCs w:val="20"/>
                    </w:rPr>
                  </w:pPr>
                  <w:r>
                    <w:rPr>
                      <w:rFonts w:ascii="Verdana!important" w:hAnsi="Verdana!important"/>
                      <w:sz w:val="20"/>
                      <w:szCs w:val="20"/>
                    </w:rPr>
                    <w:t xml:space="preserve">IV Que al evadir sus obligaciones tributarias, el contribuyente da la espalda al desarrollo del país, obligando a los sectores de menores recursos a pagar con inflación su fraude al erario público, olvidando que sus ingresos se deben en parte a las condiciones de estabilidad económica y política de que gozamos en Costa Rica; a nuestro sistema educativo; y a nuestras instituciones. Y que la gravedad de sus acciones u omisiones debe ser sancionada por las penas que el ordenamiento jurídico establece. </w:t>
                  </w:r>
                </w:p>
                <w:p w:rsidR="00F262EF" w:rsidRDefault="00F262EF" w:rsidP="00F262EF">
                  <w:pPr>
                    <w:pStyle w:val="default"/>
                    <w:ind w:firstLine="708"/>
                    <w:jc w:val="both"/>
                    <w:rPr>
                      <w:sz w:val="20"/>
                      <w:szCs w:val="20"/>
                    </w:rPr>
                  </w:pPr>
                  <w:r>
                    <w:rPr>
                      <w:rFonts w:ascii="Verdana!important" w:hAnsi="Verdana!important"/>
                      <w:sz w:val="20"/>
                      <w:szCs w:val="20"/>
                    </w:rPr>
                    <w:t xml:space="preserve">V Que las condiciones para el desarrollo han sido construidas entre todos y todas a lo largo de nuestra historia, y cuyo costo deber ser asumido solidariamente, pero especialmente por aquellos que obtienen mayores réditos de ellas. </w:t>
                  </w:r>
                </w:p>
                <w:p w:rsidR="00F262EF" w:rsidRDefault="00F262EF" w:rsidP="00F262EF">
                  <w:pPr>
                    <w:pStyle w:val="default"/>
                    <w:ind w:firstLine="708"/>
                    <w:jc w:val="both"/>
                    <w:rPr>
                      <w:sz w:val="20"/>
                      <w:szCs w:val="20"/>
                    </w:rPr>
                  </w:pPr>
                  <w:r>
                    <w:rPr>
                      <w:rFonts w:ascii="Verdana!important" w:hAnsi="Verdana!important"/>
                      <w:sz w:val="20"/>
                      <w:szCs w:val="20"/>
                    </w:rPr>
                    <w:t xml:space="preserve">VI  Que resulta necesario dar un papel más relevante a la Justicia Penal, limitando y restringiendo los supuestos en los que se optaría por aceptar la extinción de la acción penal mediante una conciliación o una reparación integral del daño, exponiendo así a los evasores a enfrentar el juicio penal y una eventual pena privativa de libertad. </w:t>
                  </w:r>
                </w:p>
                <w:p w:rsidR="00F262EF" w:rsidRDefault="00F262EF" w:rsidP="00F262EF">
                  <w:pPr>
                    <w:pStyle w:val="default"/>
                    <w:ind w:firstLine="708"/>
                    <w:jc w:val="both"/>
                    <w:rPr>
                      <w:sz w:val="20"/>
                      <w:szCs w:val="20"/>
                    </w:rPr>
                  </w:pPr>
                  <w:r>
                    <w:rPr>
                      <w:rFonts w:ascii="Verdana!important" w:hAnsi="Verdana!important"/>
                      <w:sz w:val="20"/>
                      <w:szCs w:val="20"/>
                    </w:rPr>
                    <w:t xml:space="preserve">VII Que en el desarrollo del proceso penal se contempla medidas alternas como la "conciliación", que tiene como fin, acercar a las partes en litigio a efectos de resolver sus conflictos y llegar a un acuerdo, con lo cual se extingue la acción penal. </w:t>
                  </w:r>
                </w:p>
                <w:p w:rsidR="00F262EF" w:rsidRDefault="00F262EF" w:rsidP="00F262EF">
                  <w:pPr>
                    <w:pStyle w:val="default"/>
                    <w:pageBreakBefore/>
                    <w:ind w:firstLine="708"/>
                    <w:jc w:val="both"/>
                    <w:rPr>
                      <w:sz w:val="20"/>
                      <w:szCs w:val="20"/>
                    </w:rPr>
                  </w:pPr>
                  <w:r>
                    <w:rPr>
                      <w:rFonts w:ascii="Verdana!important" w:hAnsi="Verdana!important"/>
                      <w:sz w:val="20"/>
                      <w:szCs w:val="20"/>
                    </w:rPr>
                    <w:t xml:space="preserve">VIII Que en el marco de acciones emprendidas contra la evasión fiscal, se emitió el decreto 37065-H mediante el cual se "Reforma al Decreto Ejecutivo 35688-H "Reglamento de Organización y Funciones de la Dirección General de Tributación" y se establece la Subdirección de Investigación y Represión del Fraude Tributario, que se especializará en el análisis, combate y detección del fraude fiscal, y el tal labor, entre otras actividades, deberá coordinar con las autoridades que </w:t>
                  </w:r>
                  <w:r>
                    <w:rPr>
                      <w:rFonts w:ascii="Verdana!important" w:hAnsi="Verdana!important"/>
                      <w:sz w:val="20"/>
                      <w:szCs w:val="20"/>
                    </w:rPr>
                    <w:lastRenderedPageBreak/>
                    <w:t xml:space="preserve">tengan a su cargo la represión penal del delito tributario para lograr mayor eficacia en esa tarea. </w:t>
                  </w:r>
                </w:p>
                <w:p w:rsidR="00F262EF" w:rsidRDefault="00F262EF" w:rsidP="00F262EF">
                  <w:pPr>
                    <w:pStyle w:val="default"/>
                    <w:ind w:firstLine="708"/>
                    <w:jc w:val="both"/>
                    <w:rPr>
                      <w:sz w:val="20"/>
                      <w:szCs w:val="20"/>
                    </w:rPr>
                  </w:pPr>
                  <w:r>
                    <w:rPr>
                      <w:rFonts w:ascii="Verdana!important" w:hAnsi="Verdana!important"/>
                      <w:sz w:val="20"/>
                      <w:szCs w:val="20"/>
                    </w:rPr>
                    <w:t>IX Que la Procuraduría General de la República es la que representa al Estado en los procesos penales por delitos tributarios en su condición de actor civil. </w:t>
                  </w:r>
                </w:p>
                <w:p w:rsidR="00F262EF" w:rsidRDefault="00F262EF" w:rsidP="00F262EF">
                  <w:pPr>
                    <w:pStyle w:val="default"/>
                    <w:ind w:firstLine="708"/>
                    <w:jc w:val="both"/>
                    <w:rPr>
                      <w:sz w:val="20"/>
                      <w:szCs w:val="20"/>
                    </w:rPr>
                  </w:pPr>
                  <w:r>
                    <w:rPr>
                      <w:rFonts w:ascii="Verdana!important" w:hAnsi="Verdana!important"/>
                      <w:sz w:val="20"/>
                      <w:szCs w:val="20"/>
                    </w:rPr>
                    <w:t xml:space="preserve">X Que en esta labor la Procuraduría General de la República consulta al Ministerio de Hacienda, en calidad de asesor, el criterio técnico para llevar a cabo dichas conciliaciones. </w:t>
                  </w:r>
                </w:p>
                <w:p w:rsidR="00F262EF" w:rsidRDefault="00F262EF" w:rsidP="00F262EF">
                  <w:pPr>
                    <w:pStyle w:val="normal2"/>
                    <w:jc w:val="both"/>
                    <w:rPr>
                      <w:sz w:val="20"/>
                      <w:szCs w:val="20"/>
                    </w:rPr>
                  </w:pPr>
                  <w:r>
                    <w:rPr>
                      <w:rFonts w:ascii="Verdana!important" w:hAnsi="Verdana!important"/>
                      <w:b/>
                      <w:bCs/>
                      <w:sz w:val="20"/>
                      <w:szCs w:val="20"/>
                    </w:rPr>
                    <w:t xml:space="preserve">POR TANTO, </w:t>
                  </w:r>
                </w:p>
                <w:p w:rsidR="00F262EF" w:rsidRDefault="00F262EF" w:rsidP="00F262EF">
                  <w:pPr>
                    <w:pStyle w:val="normal2"/>
                    <w:jc w:val="both"/>
                    <w:rPr>
                      <w:sz w:val="20"/>
                      <w:szCs w:val="20"/>
                    </w:rPr>
                  </w:pPr>
                  <w:r>
                    <w:rPr>
                      <w:rFonts w:ascii="Verdana!important" w:hAnsi="Verdana!important"/>
                      <w:sz w:val="20"/>
                      <w:szCs w:val="20"/>
                    </w:rPr>
                    <w:t xml:space="preserve">Se emiten los siguientes </w:t>
                  </w:r>
                </w:p>
                <w:p w:rsidR="00F262EF" w:rsidRDefault="00F262EF" w:rsidP="00F262EF">
                  <w:pPr>
                    <w:pStyle w:val="normal2"/>
                    <w:jc w:val="center"/>
                    <w:rPr>
                      <w:sz w:val="20"/>
                      <w:szCs w:val="20"/>
                    </w:rPr>
                  </w:pPr>
                  <w:r>
                    <w:rPr>
                      <w:rFonts w:ascii="Verdana!important" w:hAnsi="Verdana!important"/>
                      <w:b/>
                      <w:bCs/>
                      <w:sz w:val="20"/>
                      <w:szCs w:val="20"/>
                    </w:rPr>
                    <w:t>"LINEAMIENTOS A SEGUIR POR EL MINISTERIO</w:t>
                  </w:r>
                </w:p>
                <w:p w:rsidR="00F262EF" w:rsidRDefault="00F262EF" w:rsidP="00F262EF">
                  <w:pPr>
                    <w:pStyle w:val="default"/>
                    <w:jc w:val="center"/>
                    <w:rPr>
                      <w:sz w:val="20"/>
                      <w:szCs w:val="20"/>
                    </w:rPr>
                  </w:pPr>
                  <w:r>
                    <w:rPr>
                      <w:rFonts w:ascii="Verdana!important" w:hAnsi="Verdana!important"/>
                      <w:b/>
                      <w:bCs/>
                      <w:sz w:val="20"/>
                      <w:szCs w:val="20"/>
                    </w:rPr>
                    <w:t>DE HACIENDA Y A LA PROCURADURÍA GENRAL DE LA REPUBLICA,</w:t>
                  </w:r>
                </w:p>
                <w:p w:rsidR="00F262EF" w:rsidRDefault="00F262EF" w:rsidP="00F262EF">
                  <w:pPr>
                    <w:pStyle w:val="default"/>
                    <w:jc w:val="center"/>
                    <w:rPr>
                      <w:sz w:val="20"/>
                      <w:szCs w:val="20"/>
                    </w:rPr>
                  </w:pPr>
                  <w:r>
                    <w:rPr>
                      <w:rFonts w:ascii="Verdana!important" w:hAnsi="Verdana!important"/>
                      <w:b/>
                      <w:bCs/>
                      <w:sz w:val="20"/>
                      <w:szCs w:val="20"/>
                    </w:rPr>
                    <w:t>PARA LA ATENCIÓN DE MEDIDAS ALTERNAS QUE SE TRAMITAN</w:t>
                  </w:r>
                </w:p>
                <w:p w:rsidR="00F262EF" w:rsidRDefault="00F262EF" w:rsidP="00F262EF">
                  <w:pPr>
                    <w:pStyle w:val="default"/>
                    <w:jc w:val="center"/>
                    <w:rPr>
                      <w:sz w:val="20"/>
                      <w:szCs w:val="20"/>
                    </w:rPr>
                  </w:pPr>
                  <w:r>
                    <w:rPr>
                      <w:rFonts w:ascii="Verdana!important" w:hAnsi="Verdana!important"/>
                      <w:b/>
                      <w:bCs/>
                      <w:sz w:val="20"/>
                      <w:szCs w:val="20"/>
                    </w:rPr>
                    <w:t>EN LOS PROCEDIMIENTOS PENALES POR DENUNCIAS</w:t>
                  </w:r>
                </w:p>
                <w:p w:rsidR="00F262EF" w:rsidRDefault="00F262EF" w:rsidP="00F262EF">
                  <w:pPr>
                    <w:pStyle w:val="default"/>
                    <w:jc w:val="center"/>
                    <w:rPr>
                      <w:sz w:val="20"/>
                      <w:szCs w:val="20"/>
                    </w:rPr>
                  </w:pPr>
                  <w:r>
                    <w:rPr>
                      <w:rFonts w:ascii="Verdana!important" w:hAnsi="Verdana!important"/>
                      <w:b/>
                      <w:bCs/>
                      <w:sz w:val="20"/>
                      <w:szCs w:val="20"/>
                    </w:rPr>
                    <w:t>DE DELITOS TRIBUTARIOS".</w:t>
                  </w:r>
                </w:p>
                <w:p w:rsidR="00F262EF" w:rsidRDefault="00F262EF" w:rsidP="00F262EF">
                  <w:pPr>
                    <w:spacing w:after="240"/>
                    <w:rPr>
                      <w:sz w:val="20"/>
                      <w:szCs w:val="20"/>
                    </w:rPr>
                  </w:pPr>
                </w:p>
                <w:p w:rsidR="00F262EF" w:rsidRDefault="00F262EF" w:rsidP="00F262EF">
                  <w:pPr>
                    <w:pStyle w:val="default"/>
                    <w:ind w:firstLine="708"/>
                    <w:jc w:val="both"/>
                    <w:rPr>
                      <w:rFonts w:ascii="Verdana!important" w:hAnsi="Verdana!important"/>
                      <w:sz w:val="20"/>
                      <w:szCs w:val="20"/>
                    </w:rPr>
                  </w:pPr>
                  <w:r>
                    <w:rPr>
                      <w:rFonts w:ascii="Verdana!important" w:hAnsi="Verdana!important"/>
                      <w:sz w:val="20"/>
                      <w:szCs w:val="20"/>
                    </w:rPr>
                    <w:t xml:space="preserve">Artículo 1.- En caso de ilícitos tributarios derivados del incumplimiento al Código de Normas y Procedimientos Tributarios, deberá la Procuraduría General de la República procurar que la mayoría de ilícitos denunciados sean llevados a la etapa de juicio , por cuanto resulta de relevancia en la política de control de la evasión fiscal, que no solo se dé el pago de la deuda, sino que además se cumpla el propósito del legislador de imponer penas privativas de libertad a quienes incurran en estas conductas reprochables. </w:t>
                  </w:r>
                </w:p>
                <w:p w:rsidR="00F262EF" w:rsidRPr="00F262EF" w:rsidRDefault="00F262EF" w:rsidP="00F262EF">
                  <w:pPr>
                    <w:pStyle w:val="default"/>
                    <w:ind w:firstLine="708"/>
                    <w:jc w:val="both"/>
                    <w:rPr>
                      <w:sz w:val="20"/>
                      <w:szCs w:val="20"/>
                    </w:rPr>
                  </w:pPr>
                  <w:r>
                    <w:rPr>
                      <w:sz w:val="20"/>
                      <w:szCs w:val="20"/>
                    </w:rPr>
                    <w:br/>
                  </w:r>
                  <w:r>
                    <w:rPr>
                      <w:sz w:val="20"/>
                      <w:szCs w:val="20"/>
                    </w:rPr>
                    <w:br/>
                  </w:r>
                </w:p>
                <w:p w:rsidR="00F262EF" w:rsidRDefault="00F262EF" w:rsidP="00F262EF">
                  <w:pPr>
                    <w:pStyle w:val="default"/>
                    <w:jc w:val="both"/>
                    <w:rPr>
                      <w:rFonts w:ascii="Verdana!important" w:hAnsi="Verdana!important"/>
                      <w:sz w:val="20"/>
                      <w:szCs w:val="20"/>
                    </w:rPr>
                  </w:pPr>
                  <w:r>
                    <w:rPr>
                      <w:rFonts w:ascii="Verdana!important" w:hAnsi="Verdana!important"/>
                      <w:sz w:val="20"/>
                      <w:szCs w:val="20"/>
                    </w:rPr>
                    <w:lastRenderedPageBreak/>
                    <w:t xml:space="preserve">Artículo 2.- En casos excepcionales y muy calificados, en los cuales la Procuraduría General de la República considere que pese a las instrucciones contenidas en el artículo anterior, resulte recomendable el llegar a un acuerdo conciliatorio u otra medida alterna, deberán observarse las siguientes reglas: </w:t>
                  </w:r>
                </w:p>
                <w:p w:rsidR="00F262EF" w:rsidRDefault="00F262EF" w:rsidP="00F262EF">
                  <w:pPr>
                    <w:pStyle w:val="default"/>
                    <w:ind w:left="708"/>
                    <w:jc w:val="both"/>
                    <w:rPr>
                      <w:rFonts w:ascii="Verdana!important" w:hAnsi="Verdana!important"/>
                      <w:sz w:val="20"/>
                      <w:szCs w:val="20"/>
                    </w:rPr>
                  </w:pPr>
                  <w:r>
                    <w:rPr>
                      <w:rFonts w:ascii="Verdana!important" w:hAnsi="Verdana!important"/>
                      <w:sz w:val="20"/>
                      <w:szCs w:val="20"/>
                    </w:rPr>
                    <w:t xml:space="preserve">a)Que el acuerdo conciliatorio contemple el pago completo de la obligación principal adeudada, los intereses a la fecha del efectivo pago, y la multa en caso de que proceda, establecidos por la Dirección General de Tributación. </w:t>
                  </w:r>
                </w:p>
                <w:p w:rsidR="00F262EF" w:rsidRDefault="00F262EF" w:rsidP="00F262EF">
                  <w:pPr>
                    <w:pStyle w:val="default"/>
                    <w:ind w:left="708"/>
                    <w:jc w:val="both"/>
                    <w:rPr>
                      <w:rFonts w:ascii="Verdana!important" w:hAnsi="Verdana!important"/>
                      <w:sz w:val="20"/>
                      <w:szCs w:val="20"/>
                    </w:rPr>
                  </w:pPr>
                  <w:r>
                    <w:rPr>
                      <w:rFonts w:ascii="Verdana!important" w:hAnsi="Verdana!important"/>
                      <w:sz w:val="20"/>
                      <w:szCs w:val="20"/>
                    </w:rPr>
                    <w:t xml:space="preserve">b)En caso de que exista diferencia entre el monto reclamado según los cálculos de la Dirección General de Tributación y el que consideren procedente las secciones especializadas del Organismo de Investigación Judicial, se podrá aceptar la propuesta siempre y cuando el monto de la mismo no sea menor al 75% del monto establecido por la Dirección General de Tributación. </w:t>
                  </w:r>
                </w:p>
                <w:p w:rsidR="00F262EF" w:rsidRDefault="00F262EF" w:rsidP="00F262EF">
                  <w:pPr>
                    <w:pStyle w:val="default"/>
                    <w:pageBreakBefore/>
                    <w:ind w:left="708"/>
                    <w:jc w:val="both"/>
                    <w:rPr>
                      <w:rFonts w:ascii="Verdana!important" w:hAnsi="Verdana!important"/>
                      <w:sz w:val="20"/>
                      <w:szCs w:val="20"/>
                    </w:rPr>
                  </w:pPr>
                  <w:r>
                    <w:rPr>
                      <w:rFonts w:ascii="Verdana!important" w:hAnsi="Verdana!important"/>
                      <w:sz w:val="20"/>
                      <w:szCs w:val="20"/>
                    </w:rPr>
                    <w:t xml:space="preserve">c)Solo se aceptarán propuestas de pago en dinero en efectivo, en un solo tracto y no se podrán admitir otros bienes o derechos en dación de pago. En casos extremos, debidamente razonados, se podrá acordar el otorgamiento de un plazo que no podrá exceder de seis meses para el pago correspondiente, para lo cual se deberán exigir garantías debidamente valoradas y superiores en un 20% al valor de la deuda, intereses y multas. </w:t>
                  </w:r>
                </w:p>
                <w:p w:rsidR="00F262EF" w:rsidRDefault="00F262EF" w:rsidP="00F262EF">
                  <w:pPr>
                    <w:pStyle w:val="default"/>
                    <w:ind w:left="708"/>
                    <w:jc w:val="both"/>
                    <w:rPr>
                      <w:rFonts w:ascii="Verdana!important" w:hAnsi="Verdana!important"/>
                      <w:sz w:val="20"/>
                      <w:szCs w:val="20"/>
                    </w:rPr>
                  </w:pPr>
                  <w:r>
                    <w:rPr>
                      <w:rFonts w:ascii="Verdana!important" w:hAnsi="Verdana!important"/>
                      <w:sz w:val="20"/>
                      <w:szCs w:val="20"/>
                    </w:rPr>
                    <w:t xml:space="preserve">d)Corresponderá a la Procuraduría General de la República, establecer el monto de daño social que deberá exigirse en todos los casos para que medie la conciliación. </w:t>
                  </w:r>
                </w:p>
                <w:p w:rsidR="00F262EF" w:rsidRDefault="00F262EF" w:rsidP="00F262EF">
                  <w:pPr>
                    <w:pStyle w:val="default"/>
                    <w:ind w:left="708"/>
                    <w:jc w:val="both"/>
                    <w:rPr>
                      <w:rFonts w:ascii="Verdana!important" w:hAnsi="Verdana!important"/>
                      <w:sz w:val="20"/>
                      <w:szCs w:val="20"/>
                    </w:rPr>
                  </w:pPr>
                  <w:r>
                    <w:rPr>
                      <w:rFonts w:ascii="Verdana!important" w:hAnsi="Verdana!important"/>
                      <w:sz w:val="20"/>
                      <w:szCs w:val="20"/>
                    </w:rPr>
                    <w:t xml:space="preserve">e)La Procuraduría General de la República deberá exigir, como parte del acuerdo conciliatorio, que el denunciado se comprometa ha abstenerse de incurrir en este tipo de conductas por al menos los siguientes dos años a partir del acuerdo, y adicionalmente a publicar la cláusula del acuerdo conciliatorio que contenga </w:t>
                  </w:r>
                  <w:r>
                    <w:rPr>
                      <w:rFonts w:ascii="Verdana!important" w:hAnsi="Verdana!important"/>
                      <w:sz w:val="20"/>
                      <w:szCs w:val="20"/>
                    </w:rPr>
                    <w:lastRenderedPageBreak/>
                    <w:t xml:space="preserve">esta obligación en un diario de circulación nacional, en un tamaño mínimo de media página. </w:t>
                  </w:r>
                </w:p>
                <w:p w:rsidR="00F262EF" w:rsidRDefault="00F262EF" w:rsidP="00F262EF">
                  <w:pPr>
                    <w:pStyle w:val="default"/>
                    <w:jc w:val="both"/>
                    <w:rPr>
                      <w:rFonts w:ascii="Verdana!important" w:hAnsi="Verdana!important"/>
                      <w:sz w:val="20"/>
                      <w:szCs w:val="20"/>
                    </w:rPr>
                  </w:pPr>
                  <w:r>
                    <w:rPr>
                      <w:rFonts w:ascii="Verdana!important" w:hAnsi="Verdana!important"/>
                      <w:sz w:val="20"/>
                      <w:szCs w:val="20"/>
                    </w:rPr>
                    <w:t xml:space="preserve">Artículo 3.- Cuando la Procuraduría General de la República, se lo requiera, el Ministerio de Hacienda, por medio del Viceministros de Ingresos, le brindará los datos necesarios y su criterio, para el correcto cumplimiento de las reglas fijadas en el artículo anterior. Así como cualquier otra información que resulte relevante para determinar la conveniencia o no de llegar a un acuerdo conciliatorio. </w:t>
                  </w:r>
                </w:p>
                <w:p w:rsidR="00F262EF" w:rsidRDefault="00F262EF" w:rsidP="00F262EF">
                  <w:pPr>
                    <w:pStyle w:val="default"/>
                    <w:jc w:val="both"/>
                    <w:rPr>
                      <w:rFonts w:ascii="Verdana!important" w:hAnsi="Verdana!important"/>
                      <w:sz w:val="20"/>
                      <w:szCs w:val="20"/>
                    </w:rPr>
                  </w:pPr>
                  <w:r>
                    <w:rPr>
                      <w:rFonts w:ascii="Verdana!important" w:hAnsi="Verdana!important"/>
                      <w:sz w:val="20"/>
                      <w:szCs w:val="20"/>
                    </w:rPr>
                    <w:t xml:space="preserve">Artículo 4.- Rige a partir de su publicación. </w:t>
                  </w:r>
                </w:p>
                <w:p w:rsidR="00F262EF" w:rsidRDefault="00F262EF" w:rsidP="00F262EF">
                  <w:pPr>
                    <w:spacing w:before="100" w:beforeAutospacing="1" w:after="100" w:afterAutospacing="1"/>
                    <w:rPr>
                      <w:rFonts w:ascii="Verdana!important" w:hAnsi="Verdana!important"/>
                      <w:sz w:val="20"/>
                      <w:szCs w:val="20"/>
                    </w:rPr>
                  </w:pPr>
                  <w:r>
                    <w:rPr>
                      <w:rFonts w:ascii="Verdana!important" w:hAnsi="Verdana!important"/>
                      <w:sz w:val="20"/>
                      <w:szCs w:val="20"/>
                      <w:lang w:val="es-ES"/>
                    </w:rPr>
                    <w:t>Dada en la Presidencia de la República.-San José, a los doce días del mes de abril de dos mil doce.</w:t>
                  </w:r>
                </w:p>
                <w:p w:rsidR="00F262EF" w:rsidRDefault="00F262EF" w:rsidP="00F262EF">
                  <w:pPr>
                    <w:spacing w:after="240"/>
                    <w:rPr>
                      <w:rFonts w:ascii="Verdana!important" w:hAnsi="Verdana!important"/>
                      <w:sz w:val="20"/>
                      <w:szCs w:val="20"/>
                    </w:rPr>
                  </w:pPr>
                </w:p>
                <w:p w:rsidR="00F262EF" w:rsidRDefault="00F262EF" w:rsidP="00F262EF">
                  <w:pPr>
                    <w:spacing w:before="100" w:beforeAutospacing="1" w:after="100" w:afterAutospacing="1"/>
                    <w:rPr>
                      <w:rFonts w:ascii="Verdana!important" w:hAnsi="Verdana!important"/>
                      <w:sz w:val="20"/>
                      <w:szCs w:val="20"/>
                    </w:rPr>
                  </w:pPr>
                  <w:r w:rsidRPr="00F262EF">
                    <w:rPr>
                      <w:rFonts w:ascii="Verdana!important" w:hAnsi="Verdana!important"/>
                      <w:sz w:val="20"/>
                      <w:szCs w:val="20"/>
                    </w:rPr>
                    <w:t> </w:t>
                  </w:r>
                </w:p>
              </w:tc>
              <w:tc>
                <w:tcPr>
                  <w:tcW w:w="0" w:type="auto"/>
                  <w:vAlign w:val="center"/>
                  <w:hideMark/>
                </w:tcPr>
                <w:p w:rsidR="00F262EF" w:rsidRDefault="00F262EF" w:rsidP="00F262EF">
                  <w:pPr>
                    <w:rPr>
                      <w:sz w:val="20"/>
                      <w:szCs w:val="20"/>
                    </w:rPr>
                  </w:pPr>
                </w:p>
              </w:tc>
            </w:tr>
          </w:tbl>
          <w:p w:rsidR="00F262EF" w:rsidRPr="00F262EF" w:rsidRDefault="00F262EF" w:rsidP="00F262EF">
            <w:pPr>
              <w:spacing w:before="100" w:beforeAutospacing="1" w:after="100" w:afterAutospacing="1"/>
              <w:rPr>
                <w:rFonts w:ascii="Verdana!important" w:eastAsia="Times New Roman" w:hAnsi="Verdana!important" w:cs="Times New Roman"/>
                <w:sz w:val="20"/>
                <w:szCs w:val="20"/>
                <w:lang w:eastAsia="es-MX"/>
              </w:rPr>
            </w:pPr>
          </w:p>
        </w:tc>
        <w:tc>
          <w:tcPr>
            <w:tcW w:w="0" w:type="auto"/>
            <w:vAlign w:val="center"/>
            <w:hideMark/>
          </w:tcPr>
          <w:p w:rsidR="00F262EF" w:rsidRPr="00F262EF" w:rsidRDefault="00F262EF" w:rsidP="00F262EF">
            <w:pPr>
              <w:rPr>
                <w:rFonts w:ascii="Times New Roman" w:eastAsia="Times New Roman" w:hAnsi="Times New Roman" w:cs="Times New Roman"/>
                <w:sz w:val="20"/>
                <w:szCs w:val="20"/>
                <w:lang w:eastAsia="es-MX"/>
              </w:rPr>
            </w:pPr>
          </w:p>
        </w:tc>
      </w:tr>
    </w:tbl>
    <w:p w:rsidR="00FD32D8" w:rsidRDefault="00F262EF"/>
    <w:sectPr w:rsidR="00FD32D8" w:rsidSect="002D5D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importa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EF"/>
    <w:rsid w:val="000A118D"/>
    <w:rsid w:val="002D5D93"/>
    <w:rsid w:val="00854EA2"/>
    <w:rsid w:val="00E64728"/>
    <w:rsid w:val="00F26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A771826"/>
  <w15:chartTrackingRefBased/>
  <w15:docId w15:val="{81264ADD-8F0E-8C4C-9836-9C01E6EB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4">
    <w:name w:val="pa4"/>
    <w:basedOn w:val="Normal"/>
    <w:rsid w:val="00F262EF"/>
    <w:pPr>
      <w:spacing w:before="100" w:beforeAutospacing="1" w:after="100" w:afterAutospacing="1"/>
    </w:pPr>
    <w:rPr>
      <w:rFonts w:ascii="Times New Roman" w:eastAsia="Times New Roman" w:hAnsi="Times New Roman" w:cs="Times New Roman"/>
      <w:lang w:eastAsia="es-MX"/>
    </w:rPr>
  </w:style>
  <w:style w:type="paragraph" w:customStyle="1" w:styleId="pa9">
    <w:name w:val="pa9"/>
    <w:basedOn w:val="Normal"/>
    <w:rsid w:val="00F262EF"/>
    <w:pPr>
      <w:spacing w:before="100" w:beforeAutospacing="1" w:after="100" w:afterAutospacing="1"/>
    </w:pPr>
    <w:rPr>
      <w:rFonts w:ascii="Times New Roman" w:eastAsia="Times New Roman" w:hAnsi="Times New Roman" w:cs="Times New Roman"/>
      <w:lang w:eastAsia="es-MX"/>
    </w:rPr>
  </w:style>
  <w:style w:type="paragraph" w:customStyle="1" w:styleId="pa8">
    <w:name w:val="pa8"/>
    <w:basedOn w:val="Normal"/>
    <w:rsid w:val="00F262EF"/>
    <w:pPr>
      <w:spacing w:before="100" w:beforeAutospacing="1" w:after="100" w:afterAutospacing="1"/>
    </w:pPr>
    <w:rPr>
      <w:rFonts w:ascii="Times New Roman" w:eastAsia="Times New Roman" w:hAnsi="Times New Roman" w:cs="Times New Roman"/>
      <w:lang w:eastAsia="es-MX"/>
    </w:rPr>
  </w:style>
  <w:style w:type="paragraph" w:customStyle="1" w:styleId="pa5">
    <w:name w:val="pa5"/>
    <w:basedOn w:val="Normal"/>
    <w:rsid w:val="00F262EF"/>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F262EF"/>
    <w:rPr>
      <w:color w:val="0000FF"/>
      <w:u w:val="single"/>
    </w:rPr>
  </w:style>
  <w:style w:type="paragraph" w:styleId="NormalWeb">
    <w:name w:val="Normal (Web)"/>
    <w:basedOn w:val="Normal"/>
    <w:uiPriority w:val="99"/>
    <w:semiHidden/>
    <w:unhideWhenUsed/>
    <w:rsid w:val="00F262EF"/>
    <w:pPr>
      <w:spacing w:before="100" w:beforeAutospacing="1" w:after="100" w:afterAutospacing="1"/>
    </w:pPr>
    <w:rPr>
      <w:rFonts w:ascii="Times New Roman" w:eastAsia="Times New Roman" w:hAnsi="Times New Roman" w:cs="Times New Roman"/>
      <w:lang w:eastAsia="es-MX"/>
    </w:rPr>
  </w:style>
  <w:style w:type="paragraph" w:customStyle="1" w:styleId="default">
    <w:name w:val="default"/>
    <w:basedOn w:val="Normal"/>
    <w:rsid w:val="00F262EF"/>
    <w:pPr>
      <w:spacing w:before="100" w:beforeAutospacing="1" w:after="100" w:afterAutospacing="1"/>
    </w:pPr>
    <w:rPr>
      <w:rFonts w:ascii="Times New Roman" w:eastAsia="Times New Roman" w:hAnsi="Times New Roman" w:cs="Times New Roman"/>
      <w:lang w:eastAsia="es-MX"/>
    </w:rPr>
  </w:style>
  <w:style w:type="paragraph" w:customStyle="1" w:styleId="normal2">
    <w:name w:val="normal2"/>
    <w:basedOn w:val="Normal"/>
    <w:rsid w:val="00F262EF"/>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5346">
      <w:bodyDiv w:val="1"/>
      <w:marLeft w:val="0"/>
      <w:marRight w:val="0"/>
      <w:marTop w:val="0"/>
      <w:marBottom w:val="0"/>
      <w:divBdr>
        <w:top w:val="none" w:sz="0" w:space="0" w:color="auto"/>
        <w:left w:val="none" w:sz="0" w:space="0" w:color="auto"/>
        <w:bottom w:val="none" w:sz="0" w:space="0" w:color="auto"/>
        <w:right w:val="none" w:sz="0" w:space="0" w:color="auto"/>
      </w:divBdr>
      <w:divsChild>
        <w:div w:id="439494871">
          <w:marLeft w:val="0"/>
          <w:marRight w:val="0"/>
          <w:marTop w:val="0"/>
          <w:marBottom w:val="0"/>
          <w:divBdr>
            <w:top w:val="none" w:sz="0" w:space="0" w:color="auto"/>
            <w:left w:val="none" w:sz="0" w:space="0" w:color="auto"/>
            <w:bottom w:val="none" w:sz="0" w:space="0" w:color="auto"/>
            <w:right w:val="none" w:sz="0" w:space="0" w:color="auto"/>
          </w:divBdr>
          <w:divsChild>
            <w:div w:id="2049336672">
              <w:marLeft w:val="0"/>
              <w:marRight w:val="0"/>
              <w:marTop w:val="0"/>
              <w:marBottom w:val="0"/>
              <w:divBdr>
                <w:top w:val="none" w:sz="0" w:space="0" w:color="auto"/>
                <w:left w:val="none" w:sz="0" w:space="0" w:color="auto"/>
                <w:bottom w:val="none" w:sz="0" w:space="0" w:color="auto"/>
                <w:right w:val="none" w:sz="0" w:space="0" w:color="auto"/>
              </w:divBdr>
            </w:div>
            <w:div w:id="690691078">
              <w:marLeft w:val="0"/>
              <w:marRight w:val="0"/>
              <w:marTop w:val="0"/>
              <w:marBottom w:val="0"/>
              <w:divBdr>
                <w:top w:val="none" w:sz="0" w:space="0" w:color="auto"/>
                <w:left w:val="none" w:sz="0" w:space="0" w:color="auto"/>
                <w:bottom w:val="none" w:sz="0" w:space="0" w:color="auto"/>
                <w:right w:val="none" w:sz="0" w:space="0" w:color="auto"/>
              </w:divBdr>
            </w:div>
            <w:div w:id="1181122483">
              <w:marLeft w:val="0"/>
              <w:marRight w:val="0"/>
              <w:marTop w:val="0"/>
              <w:marBottom w:val="0"/>
              <w:divBdr>
                <w:top w:val="none" w:sz="0" w:space="0" w:color="auto"/>
                <w:left w:val="none" w:sz="0" w:space="0" w:color="auto"/>
                <w:bottom w:val="none" w:sz="0" w:space="0" w:color="auto"/>
                <w:right w:val="none" w:sz="0" w:space="0" w:color="auto"/>
              </w:divBdr>
            </w:div>
            <w:div w:id="14612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808">
      <w:bodyDiv w:val="1"/>
      <w:marLeft w:val="0"/>
      <w:marRight w:val="0"/>
      <w:marTop w:val="0"/>
      <w:marBottom w:val="0"/>
      <w:divBdr>
        <w:top w:val="none" w:sz="0" w:space="0" w:color="auto"/>
        <w:left w:val="none" w:sz="0" w:space="0" w:color="auto"/>
        <w:bottom w:val="none" w:sz="0" w:space="0" w:color="auto"/>
        <w:right w:val="none" w:sz="0" w:space="0" w:color="auto"/>
      </w:divBdr>
      <w:divsChild>
        <w:div w:id="644048084">
          <w:marLeft w:val="0"/>
          <w:marRight w:val="0"/>
          <w:marTop w:val="0"/>
          <w:marBottom w:val="0"/>
          <w:divBdr>
            <w:top w:val="none" w:sz="0" w:space="0" w:color="auto"/>
            <w:left w:val="none" w:sz="0" w:space="0" w:color="auto"/>
            <w:bottom w:val="none" w:sz="0" w:space="0" w:color="auto"/>
            <w:right w:val="none" w:sz="0" w:space="0" w:color="auto"/>
          </w:divBdr>
          <w:divsChild>
            <w:div w:id="1041712867">
              <w:marLeft w:val="0"/>
              <w:marRight w:val="0"/>
              <w:marTop w:val="0"/>
              <w:marBottom w:val="0"/>
              <w:divBdr>
                <w:top w:val="none" w:sz="0" w:space="0" w:color="auto"/>
                <w:left w:val="none" w:sz="0" w:space="0" w:color="auto"/>
                <w:bottom w:val="none" w:sz="0" w:space="0" w:color="auto"/>
                <w:right w:val="none" w:sz="0" w:space="0" w:color="auto"/>
              </w:divBdr>
            </w:div>
            <w:div w:id="166020287">
              <w:marLeft w:val="0"/>
              <w:marRight w:val="0"/>
              <w:marTop w:val="0"/>
              <w:marBottom w:val="0"/>
              <w:divBdr>
                <w:top w:val="none" w:sz="0" w:space="0" w:color="auto"/>
                <w:left w:val="none" w:sz="0" w:space="0" w:color="auto"/>
                <w:bottom w:val="none" w:sz="0" w:space="0" w:color="auto"/>
                <w:right w:val="none" w:sz="0" w:space="0" w:color="auto"/>
              </w:divBdr>
            </w:div>
            <w:div w:id="161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6652">
      <w:bodyDiv w:val="1"/>
      <w:marLeft w:val="0"/>
      <w:marRight w:val="0"/>
      <w:marTop w:val="0"/>
      <w:marBottom w:val="0"/>
      <w:divBdr>
        <w:top w:val="none" w:sz="0" w:space="0" w:color="auto"/>
        <w:left w:val="none" w:sz="0" w:space="0" w:color="auto"/>
        <w:bottom w:val="none" w:sz="0" w:space="0" w:color="auto"/>
        <w:right w:val="none" w:sz="0" w:space="0" w:color="auto"/>
      </w:divBdr>
      <w:divsChild>
        <w:div w:id="1592853360">
          <w:marLeft w:val="0"/>
          <w:marRight w:val="0"/>
          <w:marTop w:val="0"/>
          <w:marBottom w:val="0"/>
          <w:divBdr>
            <w:top w:val="none" w:sz="0" w:space="0" w:color="auto"/>
            <w:left w:val="none" w:sz="0" w:space="0" w:color="auto"/>
            <w:bottom w:val="none" w:sz="0" w:space="0" w:color="auto"/>
            <w:right w:val="none" w:sz="0" w:space="0" w:color="auto"/>
          </w:divBdr>
          <w:divsChild>
            <w:div w:id="1803814814">
              <w:marLeft w:val="0"/>
              <w:marRight w:val="0"/>
              <w:marTop w:val="0"/>
              <w:marBottom w:val="0"/>
              <w:divBdr>
                <w:top w:val="none" w:sz="0" w:space="0" w:color="auto"/>
                <w:left w:val="none" w:sz="0" w:space="0" w:color="auto"/>
                <w:bottom w:val="none" w:sz="0" w:space="0" w:color="auto"/>
                <w:right w:val="none" w:sz="0" w:space="0" w:color="auto"/>
              </w:divBdr>
            </w:div>
            <w:div w:id="9998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1964</Words>
  <Characters>10808</Characters>
  <Application>Microsoft Office Word</Application>
  <DocSecurity>0</DocSecurity>
  <Lines>90</Lines>
  <Paragraphs>25</Paragraphs>
  <ScaleCrop>false</ScaleCrop>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2020-07-23T14:48:00Z</dcterms:created>
  <dcterms:modified xsi:type="dcterms:W3CDTF">2020-07-23T14:56:00Z</dcterms:modified>
</cp:coreProperties>
</file>