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2355F" w:rsidRDefault="00990D5A" w:rsidP="00237B6D">
      <w:pPr>
        <w:pStyle w:val="APA"/>
        <w:jc w:val="center"/>
      </w:pPr>
      <w:r>
        <w:t>UNIVERSIDAD PARA LA COOPERACIÓN INTERNACIONAL</w:t>
      </w:r>
    </w:p>
    <w:p w14:paraId="00000004" w14:textId="7775DD49" w:rsidR="00A2355F" w:rsidRDefault="00990D5A" w:rsidP="00237B6D">
      <w:pPr>
        <w:pStyle w:val="APA"/>
        <w:jc w:val="center"/>
      </w:pPr>
      <w:r>
        <w:t>(UCI)</w:t>
      </w:r>
    </w:p>
    <w:p w14:paraId="5F1A2FE0" w14:textId="4C3CD6C4" w:rsidR="00AA5FDA" w:rsidRDefault="00AA5FDA" w:rsidP="00237B6D">
      <w:pPr>
        <w:pStyle w:val="APA"/>
        <w:jc w:val="center"/>
      </w:pPr>
    </w:p>
    <w:p w14:paraId="00000006" w14:textId="77777777" w:rsidR="00A2355F" w:rsidRDefault="00990D5A" w:rsidP="00237B6D">
      <w:pPr>
        <w:pStyle w:val="APA"/>
        <w:jc w:val="center"/>
      </w:pPr>
      <w:r>
        <w:rPr>
          <w:color w:val="212529"/>
          <w:highlight w:val="white"/>
        </w:rPr>
        <w:t>PROPUESTA DE MEJORA DEL PROCESO DE PLANIFICACIÓN Y CONTROL EN PROYECTOS “DESIGN &amp; BUILD” EN CONTRACT WORKPLACES EN EL SECTOR DE DISEÑO Y CONSTRUCCIÓN DE OFICINAS CORPORATIVAS</w:t>
      </w:r>
    </w:p>
    <w:p w14:paraId="11D7C25B" w14:textId="77777777" w:rsidR="005E0449" w:rsidRDefault="005E0449" w:rsidP="00237B6D">
      <w:pPr>
        <w:pStyle w:val="APA"/>
        <w:jc w:val="center"/>
      </w:pPr>
    </w:p>
    <w:p w14:paraId="3BF40021" w14:textId="77777777" w:rsidR="006B0088" w:rsidRDefault="006B0088" w:rsidP="00237B6D">
      <w:pPr>
        <w:pStyle w:val="APA"/>
        <w:jc w:val="center"/>
      </w:pPr>
    </w:p>
    <w:p w14:paraId="323995A8" w14:textId="77777777" w:rsidR="006B0088" w:rsidRDefault="006B0088" w:rsidP="00237B6D">
      <w:pPr>
        <w:pStyle w:val="APA"/>
        <w:jc w:val="center"/>
      </w:pPr>
    </w:p>
    <w:p w14:paraId="0000000A" w14:textId="39FB06D0" w:rsidR="00A2355F" w:rsidRDefault="00777FF5" w:rsidP="00237B6D">
      <w:pPr>
        <w:pStyle w:val="APA"/>
        <w:jc w:val="center"/>
      </w:pPr>
      <w:r>
        <w:t>NATALIA ALONSO GAMBOA</w:t>
      </w:r>
    </w:p>
    <w:p w14:paraId="0000000B" w14:textId="77777777" w:rsidR="00A2355F" w:rsidRDefault="00A2355F" w:rsidP="00237B6D">
      <w:pPr>
        <w:pStyle w:val="APA"/>
        <w:jc w:val="center"/>
      </w:pPr>
    </w:p>
    <w:p w14:paraId="1FCF345A" w14:textId="77777777" w:rsidR="005E0449" w:rsidRDefault="005E0449" w:rsidP="00237B6D">
      <w:pPr>
        <w:pStyle w:val="APA"/>
        <w:jc w:val="center"/>
      </w:pPr>
    </w:p>
    <w:p w14:paraId="0000000D" w14:textId="77777777" w:rsidR="00A2355F" w:rsidRDefault="00A2355F" w:rsidP="00237B6D">
      <w:pPr>
        <w:pStyle w:val="APA"/>
        <w:jc w:val="center"/>
      </w:pPr>
    </w:p>
    <w:p w14:paraId="0000000E" w14:textId="37A79150" w:rsidR="00A2355F" w:rsidRDefault="00990D5A" w:rsidP="00237B6D">
      <w:pPr>
        <w:pStyle w:val="APA"/>
        <w:jc w:val="center"/>
      </w:pPr>
      <w:r>
        <w:t>PROYECTO FINAL DE GRADUACIÓN PRESENTADO COMO</w:t>
      </w:r>
    </w:p>
    <w:p w14:paraId="0000000F" w14:textId="327E7F42" w:rsidR="00A2355F" w:rsidRDefault="00990D5A" w:rsidP="00237B6D">
      <w:pPr>
        <w:pStyle w:val="APA"/>
        <w:jc w:val="center"/>
      </w:pPr>
      <w:r>
        <w:t>REQUISITO PARCIAL PARA OPTAR POR EL TÍTULO DE</w:t>
      </w:r>
    </w:p>
    <w:p w14:paraId="00000010" w14:textId="77777777" w:rsidR="00A2355F" w:rsidRDefault="00990D5A" w:rsidP="00237B6D">
      <w:pPr>
        <w:pStyle w:val="APA"/>
        <w:jc w:val="center"/>
      </w:pPr>
      <w:r>
        <w:t>MAESTRÍA EN ADMINISTRACIÓN DE PROYECTOS</w:t>
      </w:r>
    </w:p>
    <w:p w14:paraId="00000012" w14:textId="77777777" w:rsidR="00A2355F" w:rsidRDefault="00A2355F" w:rsidP="00237B6D">
      <w:pPr>
        <w:pStyle w:val="APA"/>
        <w:jc w:val="center"/>
      </w:pPr>
    </w:p>
    <w:p w14:paraId="00000013" w14:textId="77777777" w:rsidR="00A2355F" w:rsidRDefault="00A2355F" w:rsidP="00237B6D">
      <w:pPr>
        <w:pStyle w:val="APA"/>
        <w:jc w:val="center"/>
      </w:pPr>
    </w:p>
    <w:p w14:paraId="00000015" w14:textId="77777777" w:rsidR="00A2355F" w:rsidRDefault="00A2355F" w:rsidP="00237B6D">
      <w:pPr>
        <w:pStyle w:val="APA"/>
        <w:ind w:firstLine="0"/>
      </w:pPr>
    </w:p>
    <w:p w14:paraId="00000016" w14:textId="77777777" w:rsidR="00A2355F" w:rsidRDefault="00990D5A" w:rsidP="006B0088">
      <w:pPr>
        <w:pStyle w:val="APA"/>
        <w:jc w:val="center"/>
      </w:pPr>
      <w:r>
        <w:t>San José, Costa Rica</w:t>
      </w:r>
    </w:p>
    <w:p w14:paraId="35DF9C03" w14:textId="77777777" w:rsidR="006B0088" w:rsidRDefault="006B0088" w:rsidP="006B0088">
      <w:pPr>
        <w:pStyle w:val="APA"/>
        <w:jc w:val="center"/>
      </w:pPr>
    </w:p>
    <w:p w14:paraId="446A0CAC" w14:textId="77777777" w:rsidR="006B0088" w:rsidRDefault="006B0088" w:rsidP="006B0088">
      <w:pPr>
        <w:pStyle w:val="APA"/>
        <w:jc w:val="center"/>
      </w:pPr>
    </w:p>
    <w:p w14:paraId="3FCCB3B2" w14:textId="77777777" w:rsidR="006B0088" w:rsidRDefault="006B0088" w:rsidP="006B0088">
      <w:pPr>
        <w:pStyle w:val="APA"/>
        <w:jc w:val="center"/>
      </w:pPr>
    </w:p>
    <w:p w14:paraId="2A050DB5" w14:textId="4E277CD4" w:rsidR="0057125C" w:rsidRDefault="00486C21" w:rsidP="00237B6D">
      <w:pPr>
        <w:pStyle w:val="APA"/>
        <w:jc w:val="center"/>
        <w:sectPr w:rsidR="0057125C" w:rsidSect="0057125C">
          <w:headerReference w:type="default" r:id="rId9"/>
          <w:footerReference w:type="even" r:id="rId10"/>
          <w:footerReference w:type="default" r:id="rId11"/>
          <w:pgSz w:w="12242" w:h="15842"/>
          <w:pgMar w:top="1985" w:right="1418" w:bottom="1701" w:left="1985" w:header="709" w:footer="709" w:gutter="0"/>
          <w:cols w:space="720"/>
          <w:titlePg/>
          <w:docGrid w:linePitch="299"/>
        </w:sectPr>
      </w:pPr>
      <w:r>
        <w:t>Octubre</w:t>
      </w:r>
      <w:r w:rsidR="006B0088">
        <w:t>, 202</w:t>
      </w:r>
      <w:r w:rsidR="0057125C">
        <w:t>5</w:t>
      </w:r>
    </w:p>
    <w:p w14:paraId="00000017" w14:textId="77777777" w:rsidR="00A2355F" w:rsidRDefault="00A2355F" w:rsidP="008A34AF">
      <w:pPr>
        <w:ind w:firstLine="0"/>
      </w:pPr>
    </w:p>
    <w:p w14:paraId="00000018" w14:textId="23F55D5B" w:rsidR="00A2355F" w:rsidRDefault="00990D5A" w:rsidP="00237B6D">
      <w:pPr>
        <w:pStyle w:val="APA"/>
        <w:jc w:val="center"/>
      </w:pPr>
      <w:r>
        <w:t>UNIVERSIDAD PARA LA COOPERACIÓN INTERNACIONAL</w:t>
      </w:r>
    </w:p>
    <w:p w14:paraId="00000019" w14:textId="77777777" w:rsidR="00A2355F" w:rsidRDefault="00990D5A" w:rsidP="00237B6D">
      <w:pPr>
        <w:pStyle w:val="APA"/>
        <w:jc w:val="center"/>
      </w:pPr>
      <w:r>
        <w:t>(UCI)</w:t>
      </w:r>
    </w:p>
    <w:p w14:paraId="0000001A" w14:textId="77777777" w:rsidR="00A2355F" w:rsidRDefault="00A2355F" w:rsidP="00237B6D">
      <w:pPr>
        <w:pStyle w:val="APA"/>
        <w:jc w:val="center"/>
      </w:pPr>
    </w:p>
    <w:p w14:paraId="0000001B" w14:textId="77777777" w:rsidR="00A2355F" w:rsidRDefault="00990D5A" w:rsidP="00237B6D">
      <w:pPr>
        <w:pStyle w:val="APA"/>
        <w:jc w:val="center"/>
      </w:pPr>
      <w:r>
        <w:t>Este Proyecto Final de Graduación fue aprobado por la Universidad como</w:t>
      </w:r>
    </w:p>
    <w:p w14:paraId="0000001C" w14:textId="77777777" w:rsidR="00A2355F" w:rsidRDefault="00990D5A" w:rsidP="00237B6D">
      <w:pPr>
        <w:pStyle w:val="APA"/>
        <w:jc w:val="center"/>
      </w:pPr>
      <w:r>
        <w:t>requisito parcial para optar al grado de Maestría en Administración de Proyectos</w:t>
      </w:r>
    </w:p>
    <w:p w14:paraId="0000001D" w14:textId="77777777" w:rsidR="00A2355F" w:rsidRDefault="00A2355F" w:rsidP="00237B6D">
      <w:pPr>
        <w:pStyle w:val="APA"/>
        <w:jc w:val="center"/>
      </w:pPr>
    </w:p>
    <w:p w14:paraId="0000001E" w14:textId="77777777" w:rsidR="00A2355F" w:rsidRDefault="00A2355F" w:rsidP="00237B6D">
      <w:pPr>
        <w:pStyle w:val="APA"/>
        <w:jc w:val="center"/>
      </w:pPr>
    </w:p>
    <w:p w14:paraId="0000001F" w14:textId="77777777" w:rsidR="00A2355F" w:rsidRDefault="00A2355F" w:rsidP="00237B6D">
      <w:pPr>
        <w:pStyle w:val="APA"/>
        <w:jc w:val="center"/>
      </w:pPr>
    </w:p>
    <w:p w14:paraId="00000020" w14:textId="77777777" w:rsidR="00A2355F" w:rsidRDefault="00990D5A" w:rsidP="00237B6D">
      <w:pPr>
        <w:pStyle w:val="APA"/>
        <w:jc w:val="center"/>
      </w:pPr>
      <w:r>
        <w:t>__________________________</w:t>
      </w:r>
    </w:p>
    <w:p w14:paraId="00000021" w14:textId="44062351" w:rsidR="00A2355F" w:rsidRDefault="00420549" w:rsidP="00237B6D">
      <w:pPr>
        <w:pStyle w:val="APA"/>
        <w:jc w:val="center"/>
      </w:pPr>
      <w:r>
        <w:t>D</w:t>
      </w:r>
      <w:r w:rsidR="008A34AF">
        <w:t>IEGO MENESES</w:t>
      </w:r>
    </w:p>
    <w:p w14:paraId="22E53913" w14:textId="7568EE45" w:rsidR="006B0088" w:rsidRDefault="006B0088" w:rsidP="00237B6D">
      <w:pPr>
        <w:pStyle w:val="APA"/>
        <w:jc w:val="center"/>
      </w:pPr>
      <w:r>
        <w:t>PROFESOR TUTOR</w:t>
      </w:r>
    </w:p>
    <w:p w14:paraId="00000022" w14:textId="77777777" w:rsidR="00A2355F" w:rsidRDefault="00A2355F" w:rsidP="00237B6D">
      <w:pPr>
        <w:pStyle w:val="APA"/>
        <w:jc w:val="center"/>
      </w:pPr>
    </w:p>
    <w:p w14:paraId="00000023" w14:textId="77777777" w:rsidR="00A2355F" w:rsidRDefault="00A2355F" w:rsidP="00237B6D">
      <w:pPr>
        <w:pStyle w:val="APA"/>
        <w:jc w:val="center"/>
      </w:pPr>
    </w:p>
    <w:p w14:paraId="00000024" w14:textId="77777777" w:rsidR="00A2355F" w:rsidRDefault="00990D5A" w:rsidP="00237B6D">
      <w:pPr>
        <w:pStyle w:val="APA"/>
        <w:jc w:val="center"/>
      </w:pPr>
      <w:r>
        <w:t>_________________________</w:t>
      </w:r>
    </w:p>
    <w:p w14:paraId="00000025" w14:textId="37D18CAF" w:rsidR="00A2355F" w:rsidRDefault="008A34AF" w:rsidP="008A34AF">
      <w:pPr>
        <w:pStyle w:val="APA"/>
        <w:jc w:val="center"/>
      </w:pPr>
      <w:r>
        <w:t>ROLANDO GUEVARA</w:t>
      </w:r>
      <w:r w:rsidR="00990D5A">
        <w:t xml:space="preserve"> LECTOR No.1</w:t>
      </w:r>
    </w:p>
    <w:p w14:paraId="00000026" w14:textId="77777777" w:rsidR="00A2355F" w:rsidRDefault="00A2355F" w:rsidP="00237B6D">
      <w:pPr>
        <w:pStyle w:val="APA"/>
        <w:jc w:val="center"/>
      </w:pPr>
    </w:p>
    <w:p w14:paraId="00000027" w14:textId="77777777" w:rsidR="00A2355F" w:rsidRDefault="00A2355F" w:rsidP="00237B6D">
      <w:pPr>
        <w:pStyle w:val="APA"/>
        <w:jc w:val="center"/>
      </w:pPr>
    </w:p>
    <w:p w14:paraId="00000028" w14:textId="77777777" w:rsidR="00A2355F" w:rsidRDefault="00990D5A" w:rsidP="00237B6D">
      <w:pPr>
        <w:pStyle w:val="APA"/>
        <w:jc w:val="center"/>
      </w:pPr>
      <w:r>
        <w:t>__________________________</w:t>
      </w:r>
    </w:p>
    <w:p w14:paraId="00000029" w14:textId="74D358CB" w:rsidR="00A2355F" w:rsidRDefault="008A34AF" w:rsidP="00237B6D">
      <w:pPr>
        <w:pStyle w:val="APA"/>
        <w:jc w:val="center"/>
      </w:pPr>
      <w:r>
        <w:t xml:space="preserve">XAVIER SALAS </w:t>
      </w:r>
      <w:r w:rsidR="00990D5A">
        <w:t>LECTOR No.2</w:t>
      </w:r>
    </w:p>
    <w:p w14:paraId="0000002A" w14:textId="77777777" w:rsidR="00A2355F" w:rsidRDefault="00A2355F" w:rsidP="00237B6D">
      <w:pPr>
        <w:pStyle w:val="APA"/>
        <w:jc w:val="center"/>
      </w:pPr>
    </w:p>
    <w:p w14:paraId="0000002B" w14:textId="77777777" w:rsidR="00A2355F" w:rsidRDefault="00A2355F" w:rsidP="00237B6D">
      <w:pPr>
        <w:pStyle w:val="APA"/>
        <w:jc w:val="center"/>
      </w:pPr>
    </w:p>
    <w:p w14:paraId="0000002C" w14:textId="77777777" w:rsidR="00A2355F" w:rsidRDefault="00990D5A" w:rsidP="00237B6D">
      <w:pPr>
        <w:pStyle w:val="APA"/>
        <w:jc w:val="center"/>
      </w:pPr>
      <w:r>
        <w:t>________________________</w:t>
      </w:r>
    </w:p>
    <w:p w14:paraId="0000002F" w14:textId="45F3CD5C" w:rsidR="00A2355F" w:rsidRDefault="008A34AF" w:rsidP="0027503E">
      <w:pPr>
        <w:keepNext/>
        <w:pBdr>
          <w:top w:val="nil"/>
          <w:left w:val="nil"/>
          <w:bottom w:val="nil"/>
          <w:right w:val="nil"/>
          <w:between w:val="nil"/>
        </w:pBdr>
        <w:ind w:firstLine="720"/>
        <w:jc w:val="center"/>
        <w:rPr>
          <w:b/>
          <w:color w:val="000000"/>
        </w:rPr>
      </w:pPr>
      <w:bookmarkStart w:id="0" w:name="_heading=h.qlp398o0yvt9" w:colFirst="0" w:colLast="0"/>
      <w:bookmarkEnd w:id="0"/>
      <w:r>
        <w:t>NATALIA ALONSO GAMBOA</w:t>
      </w:r>
      <w:r w:rsidR="00990D5A">
        <w:br w:type="page"/>
      </w:r>
      <w:r w:rsidR="00990D5A">
        <w:rPr>
          <w:b/>
          <w:color w:val="000000"/>
        </w:rPr>
        <w:lastRenderedPageBreak/>
        <w:t>DEDICATORIA</w:t>
      </w:r>
    </w:p>
    <w:p w14:paraId="6EC25067" w14:textId="11711785" w:rsidR="007A7722" w:rsidRPr="00237B6D" w:rsidRDefault="007A7722" w:rsidP="008717B3">
      <w:pPr>
        <w:pStyle w:val="APA"/>
        <w:rPr>
          <w:lang w:val="es-CR"/>
        </w:rPr>
      </w:pPr>
      <w:r w:rsidRPr="00237B6D">
        <w:rPr>
          <w:lang w:val="es-CR"/>
        </w:rPr>
        <w:t xml:space="preserve">Dedico este proyecto de graduación, con el que finalizo mi Maestría en Administración de Proyectos, </w:t>
      </w:r>
      <w:r w:rsidR="002D3BA9" w:rsidRPr="00777501">
        <w:rPr>
          <w:lang w:val="es-CR"/>
        </w:rPr>
        <w:t>primeramente,</w:t>
      </w:r>
      <w:r w:rsidR="00777501">
        <w:rPr>
          <w:lang w:val="es-CR"/>
        </w:rPr>
        <w:t xml:space="preserve"> </w:t>
      </w:r>
      <w:r w:rsidRPr="00237B6D">
        <w:rPr>
          <w:lang w:val="es-CR"/>
        </w:rPr>
        <w:t>a Dios, por haberme dado la fuerza, la salud y la esperanza para seguir adelante incluso en los momentos más difíciles. Sin su guía y protección, este logro no hubiera sido posible.</w:t>
      </w:r>
    </w:p>
    <w:p w14:paraId="47FE4F3C" w14:textId="202B930C" w:rsidR="007A7722" w:rsidRPr="00237B6D" w:rsidRDefault="007A7722" w:rsidP="008717B3">
      <w:pPr>
        <w:pStyle w:val="APA"/>
        <w:rPr>
          <w:lang w:val="es-CR"/>
        </w:rPr>
      </w:pPr>
      <w:r w:rsidRPr="00237B6D">
        <w:rPr>
          <w:lang w:val="es-CR"/>
        </w:rPr>
        <w:t>A mi madre, Maritza Gamboa, quien ha sido mi pilar más firme. Gracias por tu amor, por motivarme cuando sentía que no podía más, y por estar siempre presente con una palabra de aliento y una sonrisa que me impulsaron a seguir. Tu apoyo constante ha significado todo para mí.</w:t>
      </w:r>
      <w:r w:rsidR="00777501">
        <w:rPr>
          <w:lang w:val="es-CR"/>
        </w:rPr>
        <w:t xml:space="preserve"> </w:t>
      </w:r>
      <w:r w:rsidRPr="00237B6D">
        <w:rPr>
          <w:lang w:val="es-CR"/>
        </w:rPr>
        <w:t>A mi padre,</w:t>
      </w:r>
      <w:r w:rsidR="00147C80">
        <w:rPr>
          <w:lang w:val="es-CR"/>
        </w:rPr>
        <w:t xml:space="preserve"> Luis Alonso</w:t>
      </w:r>
      <w:r w:rsidRPr="00237B6D">
        <w:rPr>
          <w:lang w:val="es-CR"/>
        </w:rPr>
        <w:t xml:space="preserve"> por su apoyo constante, y por enseñarme con su ejemplo el valor del trabajo, la perseverancia y el deseo de superarse cada día. Gracias por creer en mí y animarme a seguir este camino.</w:t>
      </w:r>
    </w:p>
    <w:p w14:paraId="00000032" w14:textId="77777777" w:rsidR="00A2355F" w:rsidRDefault="00990D5A" w:rsidP="0098201D">
      <w:pPr>
        <w:keepNext/>
        <w:pBdr>
          <w:top w:val="nil"/>
          <w:left w:val="nil"/>
          <w:bottom w:val="nil"/>
          <w:right w:val="nil"/>
          <w:between w:val="nil"/>
        </w:pBdr>
        <w:ind w:firstLine="0"/>
        <w:jc w:val="center"/>
        <w:rPr>
          <w:b/>
          <w:color w:val="000000"/>
        </w:rPr>
      </w:pPr>
      <w:bookmarkStart w:id="1" w:name="_heading=h.1ub32v28fqep" w:colFirst="0" w:colLast="0"/>
      <w:bookmarkEnd w:id="1"/>
      <w:r>
        <w:br w:type="page"/>
      </w:r>
      <w:r>
        <w:rPr>
          <w:b/>
          <w:color w:val="000000"/>
        </w:rPr>
        <w:lastRenderedPageBreak/>
        <w:t>AGRADECIMIENTOS</w:t>
      </w:r>
    </w:p>
    <w:p w14:paraId="391A1D0D" w14:textId="13C750BA" w:rsidR="00777501" w:rsidRPr="00237B6D" w:rsidRDefault="00777501" w:rsidP="008717B3">
      <w:pPr>
        <w:pStyle w:val="APA"/>
        <w:rPr>
          <w:lang w:val="es-CR"/>
        </w:rPr>
      </w:pPr>
      <w:r>
        <w:rPr>
          <w:lang w:val="es-CR"/>
        </w:rPr>
        <w:t>Q</w:t>
      </w:r>
      <w:r w:rsidRPr="00237B6D">
        <w:rPr>
          <w:lang w:val="es-CR"/>
        </w:rPr>
        <w:t xml:space="preserve">uiero agradecer a todas las personas que me rodean: amigos, familiares, compañeros y colegas. Cada palabra de </w:t>
      </w:r>
      <w:r>
        <w:rPr>
          <w:lang w:val="es-CR"/>
        </w:rPr>
        <w:t>ánimo</w:t>
      </w:r>
      <w:r w:rsidRPr="00237B6D">
        <w:rPr>
          <w:lang w:val="es-CR"/>
        </w:rPr>
        <w:t xml:space="preserve">, </w:t>
      </w:r>
      <w:r>
        <w:rPr>
          <w:lang w:val="es-CR"/>
        </w:rPr>
        <w:t xml:space="preserve">la </w:t>
      </w:r>
      <w:r w:rsidRPr="00237B6D">
        <w:rPr>
          <w:lang w:val="es-CR"/>
        </w:rPr>
        <w:t>paciencia</w:t>
      </w:r>
      <w:r>
        <w:rPr>
          <w:lang w:val="es-CR"/>
        </w:rPr>
        <w:t xml:space="preserve"> de mis frustraciones</w:t>
      </w:r>
      <w:r w:rsidRPr="00237B6D">
        <w:rPr>
          <w:lang w:val="es-CR"/>
        </w:rPr>
        <w:t xml:space="preserve"> </w:t>
      </w:r>
      <w:r w:rsidRPr="00777501">
        <w:rPr>
          <w:lang w:val="es-CR"/>
        </w:rPr>
        <w:t xml:space="preserve">y </w:t>
      </w:r>
      <w:r>
        <w:rPr>
          <w:lang w:val="es-CR"/>
        </w:rPr>
        <w:t xml:space="preserve">la </w:t>
      </w:r>
      <w:r w:rsidRPr="00237B6D">
        <w:rPr>
          <w:lang w:val="es-CR"/>
        </w:rPr>
        <w:t>comprensión han sido parte esencial de este proceso. Gracias por acompañarme, por celebrar mis logros y por sostenerme en los momentos de cansancio y duda.</w:t>
      </w:r>
    </w:p>
    <w:p w14:paraId="39D95AE2" w14:textId="77777777" w:rsidR="00777501" w:rsidRPr="00237B6D" w:rsidRDefault="00777501" w:rsidP="008717B3">
      <w:pPr>
        <w:pStyle w:val="APA"/>
        <w:rPr>
          <w:lang w:val="es-CR"/>
        </w:rPr>
      </w:pPr>
      <w:r w:rsidRPr="00237B6D">
        <w:rPr>
          <w:lang w:val="es-CR"/>
        </w:rPr>
        <w:t>Extiendo un agradecimiento especial a mi jefe, por su apoyo constante y por brindarme el tiempo y la flexibilidad necesarios para poder estudiar y cumplir con esta etapa tan importante de mi formación. Su confianza y comprensión han sido claves para alcanzar este objetivo.</w:t>
      </w:r>
    </w:p>
    <w:p w14:paraId="62805DCD" w14:textId="0F0D467B" w:rsidR="00777501" w:rsidRPr="00237B6D" w:rsidRDefault="00777501" w:rsidP="008717B3">
      <w:pPr>
        <w:pStyle w:val="APA"/>
        <w:rPr>
          <w:lang w:val="es-CR"/>
        </w:rPr>
      </w:pPr>
      <w:r w:rsidRPr="00237B6D">
        <w:rPr>
          <w:lang w:val="es-CR"/>
        </w:rPr>
        <w:t>A mis compañeros de maestría, gracias por el compañerismo, las conversaciones enriquecedoras y el apoyo mutuo que compartimos durante todo este camino. Su presencia hizo de este proceso una experiencia más llevadera</w:t>
      </w:r>
      <w:r>
        <w:rPr>
          <w:lang w:val="es-CR"/>
        </w:rPr>
        <w:t>.</w:t>
      </w:r>
    </w:p>
    <w:p w14:paraId="1CAB01B3" w14:textId="77777777" w:rsidR="00E364CE" w:rsidRDefault="00E364CE">
      <w:pPr>
        <w:rPr>
          <w:highlight w:val="yellow"/>
        </w:rPr>
      </w:pPr>
    </w:p>
    <w:p w14:paraId="00000035" w14:textId="77777777" w:rsidR="00A2355F" w:rsidRDefault="00A2355F">
      <w:pPr>
        <w:rPr>
          <w:highlight w:val="yellow"/>
        </w:rPr>
      </w:pPr>
    </w:p>
    <w:p w14:paraId="00000036" w14:textId="77777777" w:rsidR="00A2355F" w:rsidRDefault="00A2355F">
      <w:pPr>
        <w:rPr>
          <w:highlight w:val="yellow"/>
        </w:rPr>
      </w:pPr>
    </w:p>
    <w:p w14:paraId="00000037" w14:textId="77777777" w:rsidR="00A2355F" w:rsidRDefault="00A2355F">
      <w:pPr>
        <w:rPr>
          <w:highlight w:val="yellow"/>
        </w:rPr>
      </w:pPr>
    </w:p>
    <w:p w14:paraId="00000038" w14:textId="77777777" w:rsidR="00A2355F" w:rsidRDefault="00A2355F">
      <w:pPr>
        <w:rPr>
          <w:highlight w:val="yellow"/>
        </w:rPr>
      </w:pPr>
    </w:p>
    <w:p w14:paraId="00000039" w14:textId="77777777" w:rsidR="00A2355F" w:rsidRDefault="00A2355F">
      <w:pPr>
        <w:rPr>
          <w:highlight w:val="yellow"/>
        </w:rPr>
      </w:pPr>
    </w:p>
    <w:p w14:paraId="0000003A" w14:textId="77777777" w:rsidR="00A2355F" w:rsidRDefault="00A2355F">
      <w:pPr>
        <w:rPr>
          <w:highlight w:val="yellow"/>
        </w:rPr>
      </w:pPr>
    </w:p>
    <w:p w14:paraId="0000003B" w14:textId="77777777" w:rsidR="00A2355F" w:rsidRDefault="00A2355F">
      <w:pPr>
        <w:rPr>
          <w:highlight w:val="yellow"/>
        </w:rPr>
      </w:pPr>
    </w:p>
    <w:p w14:paraId="0000003C" w14:textId="77777777" w:rsidR="00A2355F" w:rsidRDefault="00A2355F">
      <w:pPr>
        <w:rPr>
          <w:highlight w:val="yellow"/>
        </w:rPr>
      </w:pPr>
    </w:p>
    <w:p w14:paraId="242FBF4C" w14:textId="77777777" w:rsidR="00777501" w:rsidRDefault="00777501">
      <w:pPr>
        <w:rPr>
          <w:highlight w:val="yellow"/>
        </w:rPr>
      </w:pPr>
    </w:p>
    <w:p w14:paraId="0000004A" w14:textId="77777777" w:rsidR="00A2355F" w:rsidRDefault="00A2355F" w:rsidP="00237B6D">
      <w:pPr>
        <w:ind w:firstLine="0"/>
        <w:rPr>
          <w:highlight w:val="yellow"/>
        </w:rPr>
      </w:pPr>
    </w:p>
    <w:p w14:paraId="0000004B" w14:textId="77777777" w:rsidR="00A2355F" w:rsidRDefault="00990D5A" w:rsidP="005E0449">
      <w:pPr>
        <w:keepNext/>
        <w:pBdr>
          <w:top w:val="nil"/>
          <w:left w:val="nil"/>
          <w:bottom w:val="nil"/>
          <w:right w:val="nil"/>
          <w:between w:val="nil"/>
        </w:pBdr>
        <w:ind w:firstLine="0"/>
        <w:rPr>
          <w:b/>
          <w:color w:val="000000"/>
        </w:rPr>
      </w:pPr>
      <w:r w:rsidRPr="00AA0572">
        <w:rPr>
          <w:b/>
          <w:color w:val="000000"/>
        </w:rPr>
        <w:lastRenderedPageBreak/>
        <w:t>ABSTRACT</w:t>
      </w:r>
    </w:p>
    <w:p w14:paraId="60C51E88" w14:textId="230A7997" w:rsidR="00AA0572" w:rsidRPr="00AA0572" w:rsidRDefault="00AA0572" w:rsidP="00AA0572">
      <w:pPr>
        <w:spacing w:line="240" w:lineRule="auto"/>
        <w:ind w:firstLine="0"/>
        <w:rPr>
          <w:lang w:val="es-CR"/>
        </w:rPr>
      </w:pPr>
      <w:r w:rsidRPr="00AA0572">
        <w:rPr>
          <w:lang w:val="es-CR"/>
        </w:rPr>
        <w:t>El presente Proyecto Final de Graduación tuvo como objetivo proponer mejoras a los procesos de planificación y control de proyectos bajo la modalidad “Design &amp; Build” en la empresa Contract Workplaces, dedicada al diseño, construcción y equipamiento de espacios corporativos en América Latina. Esta necesidad surgió a partir de las dificultades detectadas en la integración entre las fases de diseño y ejecución, así como en la trazabilidad y estandarización de los procesos internos, los cuales han impactado negativamente el desempeño en costo, tiempo y calidad de los proyectos desarrollados por la empresa en Costa Rica.</w:t>
      </w:r>
    </w:p>
    <w:p w14:paraId="05313062" w14:textId="4E0BAB1A" w:rsidR="00AA0572" w:rsidRPr="00AA0572" w:rsidRDefault="00AA0572" w:rsidP="00AA0572">
      <w:pPr>
        <w:spacing w:line="240" w:lineRule="auto"/>
        <w:ind w:firstLine="0"/>
        <w:rPr>
          <w:lang w:val="es-CR"/>
        </w:rPr>
      </w:pPr>
      <w:r w:rsidRPr="00AA0572">
        <w:rPr>
          <w:lang w:val="es-CR"/>
        </w:rPr>
        <w:t xml:space="preserve">Para abordar esta problemática, se desarrolló una propuesta de mejora fundamentada en estándares internacionales como </w:t>
      </w:r>
      <w:r w:rsidR="004C1441">
        <w:rPr>
          <w:lang w:val="es-CR"/>
        </w:rPr>
        <w:t>la Guía d</w:t>
      </w:r>
      <w:r w:rsidRPr="00AA0572">
        <w:rPr>
          <w:lang w:val="es-CR"/>
        </w:rPr>
        <w:t>el PMBOK del Project Management Institute y el Estándar P5 de GPM Global, incorporando herramientas de análisis estratégico, diagnóstico organizacional y planificación operativa. La metodología aplicada fue de tipo mixta, con diseño no experimental y enfoque aplicado, incluyendo entrevistas semiestructuradas, encuestas estructuradas, análisis documental, benchmarking, mapeo de procesos y evaluación de impacto. El producto final consistió en el diseño de propuestas de mejora y un plan de implementación orientado a optimizar la integración entre diseño y construcción, fortalecer la toma de decisiones y mejorar el desempeño de los proyectos a lo largo de su ciclo de vida.</w:t>
      </w:r>
    </w:p>
    <w:p w14:paraId="70FD9416" w14:textId="77777777" w:rsidR="008837A0" w:rsidRDefault="008837A0" w:rsidP="00AA0572">
      <w:pPr>
        <w:spacing w:line="240" w:lineRule="auto"/>
        <w:ind w:firstLine="0"/>
        <w:rPr>
          <w:i/>
          <w:iCs/>
          <w:lang w:val="es-CR"/>
        </w:rPr>
      </w:pPr>
    </w:p>
    <w:p w14:paraId="3B83B841" w14:textId="4B2701E2" w:rsidR="00AA0572" w:rsidRPr="00AA0572" w:rsidRDefault="00AA0572" w:rsidP="00AA0572">
      <w:pPr>
        <w:spacing w:line="240" w:lineRule="auto"/>
        <w:ind w:firstLine="0"/>
        <w:rPr>
          <w:lang w:val="es-CR"/>
        </w:rPr>
      </w:pPr>
      <w:r w:rsidRPr="00AA0572">
        <w:rPr>
          <w:b/>
          <w:bCs/>
          <w:lang w:val="es-CR"/>
        </w:rPr>
        <w:t>Palabras clave:</w:t>
      </w:r>
      <w:r w:rsidRPr="00AA0572">
        <w:rPr>
          <w:lang w:val="es-CR"/>
        </w:rPr>
        <w:t xml:space="preserve"> Design &amp; Build, gestión de proyectos, planificación, control, integración, evaluación de impacto, procesos, mejora continua.</w:t>
      </w:r>
    </w:p>
    <w:p w14:paraId="0000004D" w14:textId="77777777" w:rsidR="00A2355F" w:rsidRDefault="00A2355F">
      <w:pPr>
        <w:spacing w:line="240" w:lineRule="auto"/>
        <w:ind w:firstLine="0"/>
        <w:rPr>
          <w:highlight w:val="yellow"/>
        </w:rPr>
      </w:pPr>
    </w:p>
    <w:p w14:paraId="0000005A" w14:textId="77777777" w:rsidR="00A2355F" w:rsidRDefault="00A2355F">
      <w:pPr>
        <w:spacing w:line="240" w:lineRule="auto"/>
        <w:ind w:firstLine="0"/>
        <w:rPr>
          <w:highlight w:val="yellow"/>
        </w:rPr>
      </w:pPr>
    </w:p>
    <w:p w14:paraId="0000005B" w14:textId="77777777" w:rsidR="00A2355F" w:rsidRDefault="00990D5A">
      <w:pPr>
        <w:keepNext/>
        <w:pBdr>
          <w:top w:val="nil"/>
          <w:left w:val="nil"/>
          <w:bottom w:val="nil"/>
          <w:right w:val="nil"/>
          <w:between w:val="nil"/>
        </w:pBdr>
        <w:spacing w:line="240" w:lineRule="auto"/>
        <w:ind w:firstLine="0"/>
        <w:rPr>
          <w:b/>
          <w:color w:val="000000"/>
        </w:rPr>
      </w:pPr>
      <w:r w:rsidRPr="00E5449B">
        <w:rPr>
          <w:b/>
          <w:color w:val="000000"/>
        </w:rPr>
        <w:t>ABSTRACT</w:t>
      </w:r>
    </w:p>
    <w:p w14:paraId="3E81AB8C" w14:textId="59381337" w:rsidR="008837A0" w:rsidRPr="008837A0" w:rsidRDefault="008837A0" w:rsidP="008837A0">
      <w:pPr>
        <w:keepNext/>
        <w:pBdr>
          <w:top w:val="nil"/>
          <w:left w:val="nil"/>
          <w:bottom w:val="nil"/>
          <w:right w:val="nil"/>
          <w:between w:val="nil"/>
        </w:pBdr>
        <w:spacing w:line="240" w:lineRule="auto"/>
        <w:ind w:firstLine="0"/>
        <w:rPr>
          <w:bCs/>
          <w:color w:val="000000"/>
          <w:lang w:val="es-CR"/>
        </w:rPr>
      </w:pPr>
      <w:r w:rsidRPr="008837A0">
        <w:rPr>
          <w:bCs/>
          <w:color w:val="000000"/>
          <w:lang w:val="es-CR"/>
        </w:rPr>
        <w:t>This Final Graduation Project aimed to propose improvements to the planning, and control processes of projects under the “Design &amp; Build” modality in the company Contract Workplaces, dedicated to the design, construction, and furnishing of corporate spaces in Latin America. This need arose from the difficulties identified in the integration between the design and execution phases, as well as in the traceability and standardization of internal processes, which have negatively impacted the cost, time, and quality performance of the projects developed by the company in Costa Rica.</w:t>
      </w:r>
    </w:p>
    <w:p w14:paraId="0F9EF427" w14:textId="02039FC5" w:rsidR="008837A0" w:rsidRPr="00AE4839" w:rsidRDefault="008837A0" w:rsidP="008837A0">
      <w:pPr>
        <w:keepNext/>
        <w:pBdr>
          <w:top w:val="nil"/>
          <w:left w:val="nil"/>
          <w:bottom w:val="nil"/>
          <w:right w:val="nil"/>
          <w:between w:val="nil"/>
        </w:pBdr>
        <w:spacing w:line="240" w:lineRule="auto"/>
        <w:ind w:firstLine="0"/>
        <w:rPr>
          <w:bCs/>
          <w:color w:val="000000"/>
          <w:lang w:val="da-DK"/>
        </w:rPr>
      </w:pPr>
      <w:r w:rsidRPr="00AE4839">
        <w:rPr>
          <w:bCs/>
          <w:color w:val="000000"/>
          <w:lang w:val="da-DK"/>
        </w:rPr>
        <w:t>To address this issue, an improvement proposal was developed based on international standards such as the PMBOK from the Project Management Institute and the P5 Standard from GPM Global, incorporating tools for strategic analysis, organizational diagnosis, and operational planning. The applied methodology was mixed in nature, with a non-experimental design and an applied approach, including semi-structured interviews, structured surveys, document analysis, benchmarking, process mapping, and impact evaluation. The final product consisted of the design of improvement proposals and an implementation plan aimed at optimizing the integration between design and construction, strengthening decision-making, and improving project performance throughout its life cycle.</w:t>
      </w:r>
    </w:p>
    <w:p w14:paraId="22212C23" w14:textId="77777777" w:rsidR="008837A0" w:rsidRPr="00AE4839" w:rsidRDefault="008837A0" w:rsidP="008837A0">
      <w:pPr>
        <w:keepNext/>
        <w:pBdr>
          <w:top w:val="nil"/>
          <w:left w:val="nil"/>
          <w:bottom w:val="nil"/>
          <w:right w:val="nil"/>
          <w:between w:val="nil"/>
        </w:pBdr>
        <w:spacing w:line="240" w:lineRule="auto"/>
        <w:ind w:firstLine="0"/>
        <w:rPr>
          <w:bCs/>
          <w:color w:val="000000"/>
          <w:lang w:val="da-DK"/>
        </w:rPr>
      </w:pPr>
    </w:p>
    <w:p w14:paraId="60092AEC" w14:textId="77777777" w:rsidR="008837A0" w:rsidRPr="00AE4839" w:rsidRDefault="008837A0" w:rsidP="008837A0">
      <w:pPr>
        <w:keepNext/>
        <w:pBdr>
          <w:top w:val="nil"/>
          <w:left w:val="nil"/>
          <w:bottom w:val="nil"/>
          <w:right w:val="nil"/>
          <w:between w:val="nil"/>
        </w:pBdr>
        <w:spacing w:line="240" w:lineRule="auto"/>
        <w:ind w:firstLine="0"/>
        <w:rPr>
          <w:bCs/>
          <w:color w:val="000000"/>
          <w:lang w:val="da-DK"/>
        </w:rPr>
      </w:pPr>
      <w:r w:rsidRPr="00AE4839">
        <w:rPr>
          <w:b/>
          <w:color w:val="000000"/>
          <w:lang w:val="da-DK"/>
        </w:rPr>
        <w:t>Keywords:</w:t>
      </w:r>
      <w:r w:rsidRPr="00AE4839">
        <w:rPr>
          <w:bCs/>
          <w:color w:val="000000"/>
          <w:lang w:val="da-DK"/>
        </w:rPr>
        <w:t xml:space="preserve"> Design &amp; Build, project management, planning, control, integration, impact evaluation, processes, continuous improvement.</w:t>
      </w:r>
    </w:p>
    <w:p w14:paraId="0000005D" w14:textId="77777777" w:rsidR="00A2355F" w:rsidRPr="00AE4839" w:rsidRDefault="00A2355F">
      <w:pPr>
        <w:keepNext/>
        <w:pBdr>
          <w:top w:val="nil"/>
          <w:left w:val="nil"/>
          <w:bottom w:val="nil"/>
          <w:right w:val="nil"/>
          <w:between w:val="nil"/>
        </w:pBdr>
        <w:spacing w:line="240" w:lineRule="auto"/>
        <w:ind w:firstLine="0"/>
        <w:rPr>
          <w:b/>
          <w:color w:val="000000"/>
          <w:lang w:val="da-DK"/>
        </w:rPr>
      </w:pPr>
    </w:p>
    <w:p w14:paraId="35D97E72" w14:textId="05DE1FB0" w:rsidR="00EC386A" w:rsidRPr="00AE4839" w:rsidRDefault="00990D5A">
      <w:pPr>
        <w:keepNext/>
        <w:pBdr>
          <w:top w:val="nil"/>
          <w:left w:val="nil"/>
          <w:bottom w:val="nil"/>
          <w:right w:val="nil"/>
          <w:between w:val="nil"/>
        </w:pBdr>
        <w:spacing w:line="240" w:lineRule="auto"/>
        <w:ind w:firstLine="0"/>
        <w:rPr>
          <w:lang w:val="da-DK"/>
        </w:rPr>
      </w:pPr>
      <w:r w:rsidRPr="00AE4839">
        <w:rPr>
          <w:lang w:val="da-DK"/>
        </w:rPr>
        <w:br w:type="page"/>
      </w:r>
    </w:p>
    <w:sdt>
      <w:sdtPr>
        <w:rPr>
          <w:rFonts w:cs="Arial"/>
          <w:b/>
          <w:bCs w:val="0"/>
          <w:caps w:val="0"/>
        </w:rPr>
        <w:id w:val="805819523"/>
        <w:docPartObj>
          <w:docPartGallery w:val="Table of Contents"/>
          <w:docPartUnique/>
        </w:docPartObj>
      </w:sdtPr>
      <w:sdtEndPr>
        <w:rPr>
          <w:b w:val="0"/>
        </w:rPr>
      </w:sdtEndPr>
      <w:sdtContent>
        <w:p w14:paraId="53FF8FCA" w14:textId="77777777" w:rsidR="00000161" w:rsidRDefault="007B1BFA" w:rsidP="00052882">
          <w:pPr>
            <w:pStyle w:val="TDC1"/>
            <w:spacing w:line="240" w:lineRule="auto"/>
            <w:rPr>
              <w:noProof/>
            </w:rPr>
          </w:pPr>
          <w:r>
            <w:rPr>
              <w:szCs w:val="22"/>
            </w:rPr>
            <w:t>ÍNDICE</w:t>
          </w:r>
          <w:r w:rsidR="00F7110A">
            <w:rPr>
              <w:szCs w:val="22"/>
            </w:rPr>
            <w:br/>
          </w:r>
          <w:r w:rsidR="00EC386A" w:rsidRPr="00C34653">
            <w:rPr>
              <w:rFonts w:cs="Calibri"/>
              <w:color w:val="365F91"/>
              <w:szCs w:val="22"/>
              <w:lang w:eastAsia="en-US"/>
            </w:rPr>
            <w:fldChar w:fldCharType="begin"/>
          </w:r>
          <w:r w:rsidR="00EC386A" w:rsidRPr="00C34653">
            <w:rPr>
              <w:szCs w:val="22"/>
            </w:rPr>
            <w:instrText xml:space="preserve"> TOC \o "1-3" \h \z \u </w:instrText>
          </w:r>
          <w:r w:rsidR="00EC386A" w:rsidRPr="00C34653">
            <w:rPr>
              <w:rFonts w:cs="Calibri"/>
              <w:color w:val="365F91"/>
              <w:szCs w:val="22"/>
              <w:lang w:eastAsia="en-US"/>
            </w:rPr>
            <w:fldChar w:fldCharType="separate"/>
          </w:r>
        </w:p>
        <w:p w14:paraId="0E3C1C0A" w14:textId="7B9F57F9" w:rsidR="00000161" w:rsidRDefault="00000161" w:rsidP="00052882">
          <w:pPr>
            <w:pStyle w:val="TDC1"/>
            <w:spacing w:line="240" w:lineRule="auto"/>
            <w:rPr>
              <w:rFonts w:asciiTheme="minorHAnsi" w:eastAsiaTheme="minorEastAsia" w:hAnsiTheme="minorHAnsi" w:cstheme="minorBidi"/>
              <w:bCs w:val="0"/>
              <w:caps w:val="0"/>
              <w:noProof/>
              <w:kern w:val="2"/>
              <w:sz w:val="24"/>
              <w:lang w:val="es-CR" w:eastAsia="es-CR"/>
              <w14:ligatures w14:val="standardContextual"/>
            </w:rPr>
          </w:pPr>
          <w:hyperlink w:anchor="_Toc212406330" w:history="1">
            <w:r w:rsidRPr="00285508">
              <w:rPr>
                <w:rStyle w:val="Hipervnculo"/>
                <w:noProof/>
              </w:rPr>
              <w:t>LISTA DE FIGURAS</w:t>
            </w:r>
            <w:r>
              <w:rPr>
                <w:noProof/>
                <w:webHidden/>
              </w:rPr>
              <w:tab/>
            </w:r>
            <w:r>
              <w:rPr>
                <w:noProof/>
                <w:webHidden/>
              </w:rPr>
              <w:fldChar w:fldCharType="begin"/>
            </w:r>
            <w:r>
              <w:rPr>
                <w:noProof/>
                <w:webHidden/>
              </w:rPr>
              <w:instrText xml:space="preserve"> PAGEREF _Toc212406330 \h </w:instrText>
            </w:r>
            <w:r>
              <w:rPr>
                <w:noProof/>
                <w:webHidden/>
              </w:rPr>
            </w:r>
            <w:r>
              <w:rPr>
                <w:noProof/>
                <w:webHidden/>
              </w:rPr>
              <w:fldChar w:fldCharType="separate"/>
            </w:r>
            <w:r>
              <w:rPr>
                <w:noProof/>
                <w:webHidden/>
              </w:rPr>
              <w:t>xi</w:t>
            </w:r>
            <w:r>
              <w:rPr>
                <w:noProof/>
                <w:webHidden/>
              </w:rPr>
              <w:fldChar w:fldCharType="end"/>
            </w:r>
          </w:hyperlink>
        </w:p>
        <w:p w14:paraId="330C7570" w14:textId="11447CE7" w:rsidR="00000161" w:rsidRDefault="00000161" w:rsidP="00052882">
          <w:pPr>
            <w:pStyle w:val="TDC1"/>
            <w:spacing w:line="240" w:lineRule="auto"/>
            <w:rPr>
              <w:rFonts w:asciiTheme="minorHAnsi" w:eastAsiaTheme="minorEastAsia" w:hAnsiTheme="minorHAnsi" w:cstheme="minorBidi"/>
              <w:bCs w:val="0"/>
              <w:caps w:val="0"/>
              <w:noProof/>
              <w:kern w:val="2"/>
              <w:sz w:val="24"/>
              <w:lang w:val="es-CR" w:eastAsia="es-CR"/>
              <w14:ligatures w14:val="standardContextual"/>
            </w:rPr>
          </w:pPr>
          <w:hyperlink w:anchor="_Toc212406331" w:history="1">
            <w:r w:rsidRPr="00285508">
              <w:rPr>
                <w:rStyle w:val="Hipervnculo"/>
                <w:noProof/>
              </w:rPr>
              <w:t>LISTA DE TABLAS</w:t>
            </w:r>
            <w:r>
              <w:rPr>
                <w:noProof/>
                <w:webHidden/>
              </w:rPr>
              <w:tab/>
            </w:r>
            <w:r>
              <w:rPr>
                <w:noProof/>
                <w:webHidden/>
              </w:rPr>
              <w:fldChar w:fldCharType="begin"/>
            </w:r>
            <w:r>
              <w:rPr>
                <w:noProof/>
                <w:webHidden/>
              </w:rPr>
              <w:instrText xml:space="preserve"> PAGEREF _Toc212406331 \h </w:instrText>
            </w:r>
            <w:r>
              <w:rPr>
                <w:noProof/>
                <w:webHidden/>
              </w:rPr>
            </w:r>
            <w:r>
              <w:rPr>
                <w:noProof/>
                <w:webHidden/>
              </w:rPr>
              <w:fldChar w:fldCharType="separate"/>
            </w:r>
            <w:r>
              <w:rPr>
                <w:noProof/>
                <w:webHidden/>
              </w:rPr>
              <w:t>xii</w:t>
            </w:r>
            <w:r>
              <w:rPr>
                <w:noProof/>
                <w:webHidden/>
              </w:rPr>
              <w:fldChar w:fldCharType="end"/>
            </w:r>
          </w:hyperlink>
        </w:p>
        <w:p w14:paraId="0002204F" w14:textId="2486D326" w:rsidR="00000161" w:rsidRDefault="00000161" w:rsidP="00052882">
          <w:pPr>
            <w:pStyle w:val="TDC2"/>
            <w:tabs>
              <w:tab w:val="right" w:leader="dot" w:pos="8829"/>
            </w:tabs>
            <w:spacing w:line="240" w:lineRule="auto"/>
            <w:rPr>
              <w:rFonts w:asciiTheme="minorHAnsi" w:eastAsiaTheme="minorEastAsia" w:hAnsiTheme="minorHAnsi" w:cstheme="minorBidi"/>
              <w:bCs w:val="0"/>
              <w:noProof/>
              <w:kern w:val="2"/>
              <w:sz w:val="24"/>
              <w:szCs w:val="24"/>
              <w:lang w:val="es-CR" w:eastAsia="es-CR"/>
              <w14:ligatures w14:val="standardContextual"/>
            </w:rPr>
          </w:pPr>
          <w:hyperlink w:anchor="_Toc212406332" w:history="1">
            <w:r w:rsidRPr="00285508">
              <w:rPr>
                <w:rStyle w:val="Hipervnculo"/>
                <w:noProof/>
              </w:rPr>
              <w:t>ÍNDICE DE ACRÓNIMOS Y ABREVIACIONES</w:t>
            </w:r>
            <w:r>
              <w:rPr>
                <w:noProof/>
                <w:webHidden/>
              </w:rPr>
              <w:tab/>
            </w:r>
            <w:r>
              <w:rPr>
                <w:noProof/>
                <w:webHidden/>
              </w:rPr>
              <w:fldChar w:fldCharType="begin"/>
            </w:r>
            <w:r>
              <w:rPr>
                <w:noProof/>
                <w:webHidden/>
              </w:rPr>
              <w:instrText xml:space="preserve"> PAGEREF _Toc212406332 \h </w:instrText>
            </w:r>
            <w:r>
              <w:rPr>
                <w:noProof/>
                <w:webHidden/>
              </w:rPr>
            </w:r>
            <w:r>
              <w:rPr>
                <w:noProof/>
                <w:webHidden/>
              </w:rPr>
              <w:fldChar w:fldCharType="separate"/>
            </w:r>
            <w:r>
              <w:rPr>
                <w:noProof/>
                <w:webHidden/>
              </w:rPr>
              <w:t>xiii</w:t>
            </w:r>
            <w:r>
              <w:rPr>
                <w:noProof/>
                <w:webHidden/>
              </w:rPr>
              <w:fldChar w:fldCharType="end"/>
            </w:r>
          </w:hyperlink>
        </w:p>
        <w:p w14:paraId="6C9E2946" w14:textId="5349B697" w:rsidR="00000161" w:rsidRDefault="00000161" w:rsidP="00052882">
          <w:pPr>
            <w:pStyle w:val="TDC2"/>
            <w:tabs>
              <w:tab w:val="right" w:leader="dot" w:pos="8829"/>
            </w:tabs>
            <w:spacing w:line="240" w:lineRule="auto"/>
            <w:rPr>
              <w:rFonts w:asciiTheme="minorHAnsi" w:eastAsiaTheme="minorEastAsia" w:hAnsiTheme="minorHAnsi" w:cstheme="minorBidi"/>
              <w:bCs w:val="0"/>
              <w:noProof/>
              <w:kern w:val="2"/>
              <w:sz w:val="24"/>
              <w:szCs w:val="24"/>
              <w:lang w:val="es-CR" w:eastAsia="es-CR"/>
              <w14:ligatures w14:val="standardContextual"/>
            </w:rPr>
          </w:pPr>
          <w:hyperlink w:anchor="_Toc212406333" w:history="1">
            <w:r w:rsidRPr="00285508">
              <w:rPr>
                <w:rStyle w:val="Hipervnculo"/>
                <w:noProof/>
              </w:rPr>
              <w:t>RESUMEN EJECUTIVO</w:t>
            </w:r>
            <w:r>
              <w:rPr>
                <w:noProof/>
                <w:webHidden/>
              </w:rPr>
              <w:tab/>
            </w:r>
            <w:r>
              <w:rPr>
                <w:noProof/>
                <w:webHidden/>
              </w:rPr>
              <w:fldChar w:fldCharType="begin"/>
            </w:r>
            <w:r>
              <w:rPr>
                <w:noProof/>
                <w:webHidden/>
              </w:rPr>
              <w:instrText xml:space="preserve"> PAGEREF _Toc212406333 \h </w:instrText>
            </w:r>
            <w:r>
              <w:rPr>
                <w:noProof/>
                <w:webHidden/>
              </w:rPr>
            </w:r>
            <w:r>
              <w:rPr>
                <w:noProof/>
                <w:webHidden/>
              </w:rPr>
              <w:fldChar w:fldCharType="separate"/>
            </w:r>
            <w:r>
              <w:rPr>
                <w:noProof/>
                <w:webHidden/>
              </w:rPr>
              <w:t>xiv</w:t>
            </w:r>
            <w:r>
              <w:rPr>
                <w:noProof/>
                <w:webHidden/>
              </w:rPr>
              <w:fldChar w:fldCharType="end"/>
            </w:r>
          </w:hyperlink>
        </w:p>
        <w:p w14:paraId="0AA25394" w14:textId="57953D1E" w:rsidR="00000161" w:rsidRDefault="00000161" w:rsidP="00052882">
          <w:pPr>
            <w:pStyle w:val="TDC1"/>
            <w:spacing w:line="240" w:lineRule="auto"/>
            <w:rPr>
              <w:rFonts w:asciiTheme="minorHAnsi" w:eastAsiaTheme="minorEastAsia" w:hAnsiTheme="minorHAnsi" w:cstheme="minorBidi"/>
              <w:bCs w:val="0"/>
              <w:caps w:val="0"/>
              <w:noProof/>
              <w:kern w:val="2"/>
              <w:sz w:val="24"/>
              <w:lang w:val="es-CR" w:eastAsia="es-CR"/>
              <w14:ligatures w14:val="standardContextual"/>
            </w:rPr>
          </w:pPr>
          <w:hyperlink w:anchor="_Toc212406334" w:history="1">
            <w:r w:rsidRPr="00285508">
              <w:rPr>
                <w:rStyle w:val="Hipervnculo"/>
                <w:noProof/>
              </w:rPr>
              <w:t>1.</w:t>
            </w:r>
            <w:r>
              <w:rPr>
                <w:rFonts w:asciiTheme="minorHAnsi" w:eastAsiaTheme="minorEastAsia" w:hAnsiTheme="minorHAnsi" w:cstheme="minorBidi"/>
                <w:bCs w:val="0"/>
                <w:caps w:val="0"/>
                <w:noProof/>
                <w:kern w:val="2"/>
                <w:sz w:val="24"/>
                <w:lang w:val="es-CR" w:eastAsia="es-CR"/>
                <w14:ligatures w14:val="standardContextual"/>
              </w:rPr>
              <w:tab/>
            </w:r>
            <w:r w:rsidRPr="00285508">
              <w:rPr>
                <w:rStyle w:val="Hipervnculo"/>
                <w:noProof/>
              </w:rPr>
              <w:t>Introducción</w:t>
            </w:r>
            <w:r>
              <w:rPr>
                <w:noProof/>
                <w:webHidden/>
              </w:rPr>
              <w:tab/>
            </w:r>
            <w:r>
              <w:rPr>
                <w:noProof/>
                <w:webHidden/>
              </w:rPr>
              <w:fldChar w:fldCharType="begin"/>
            </w:r>
            <w:r>
              <w:rPr>
                <w:noProof/>
                <w:webHidden/>
              </w:rPr>
              <w:instrText xml:space="preserve"> PAGEREF _Toc212406334 \h </w:instrText>
            </w:r>
            <w:r>
              <w:rPr>
                <w:noProof/>
                <w:webHidden/>
              </w:rPr>
            </w:r>
            <w:r>
              <w:rPr>
                <w:noProof/>
                <w:webHidden/>
              </w:rPr>
              <w:fldChar w:fldCharType="separate"/>
            </w:r>
            <w:r>
              <w:rPr>
                <w:noProof/>
                <w:webHidden/>
              </w:rPr>
              <w:t>1</w:t>
            </w:r>
            <w:r>
              <w:rPr>
                <w:noProof/>
                <w:webHidden/>
              </w:rPr>
              <w:fldChar w:fldCharType="end"/>
            </w:r>
          </w:hyperlink>
        </w:p>
        <w:p w14:paraId="106CFA75" w14:textId="78F85E9D" w:rsidR="00000161" w:rsidRDefault="00000161" w:rsidP="00052882">
          <w:pPr>
            <w:pStyle w:val="TDC3"/>
            <w:tabs>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35" w:history="1">
            <w:r w:rsidRPr="00285508">
              <w:rPr>
                <w:rStyle w:val="Hipervnculo"/>
                <w:noProof/>
              </w:rPr>
              <w:t>1.1 Antecedentes</w:t>
            </w:r>
            <w:r>
              <w:rPr>
                <w:noProof/>
                <w:webHidden/>
              </w:rPr>
              <w:tab/>
            </w:r>
            <w:r>
              <w:rPr>
                <w:noProof/>
                <w:webHidden/>
              </w:rPr>
              <w:fldChar w:fldCharType="begin"/>
            </w:r>
            <w:r>
              <w:rPr>
                <w:noProof/>
                <w:webHidden/>
              </w:rPr>
              <w:instrText xml:space="preserve"> PAGEREF _Toc212406335 \h </w:instrText>
            </w:r>
            <w:r>
              <w:rPr>
                <w:noProof/>
                <w:webHidden/>
              </w:rPr>
            </w:r>
            <w:r>
              <w:rPr>
                <w:noProof/>
                <w:webHidden/>
              </w:rPr>
              <w:fldChar w:fldCharType="separate"/>
            </w:r>
            <w:r>
              <w:rPr>
                <w:noProof/>
                <w:webHidden/>
              </w:rPr>
              <w:t>2</w:t>
            </w:r>
            <w:r>
              <w:rPr>
                <w:noProof/>
                <w:webHidden/>
              </w:rPr>
              <w:fldChar w:fldCharType="end"/>
            </w:r>
          </w:hyperlink>
        </w:p>
        <w:p w14:paraId="3FD11BFE" w14:textId="5C4300B3" w:rsidR="00000161" w:rsidRDefault="00000161" w:rsidP="00052882">
          <w:pPr>
            <w:pStyle w:val="TDC3"/>
            <w:tabs>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36" w:history="1">
            <w:r w:rsidRPr="00285508">
              <w:rPr>
                <w:rStyle w:val="Hipervnculo"/>
                <w:noProof/>
              </w:rPr>
              <w:t>1.2 Problemática</w:t>
            </w:r>
            <w:r>
              <w:rPr>
                <w:noProof/>
                <w:webHidden/>
              </w:rPr>
              <w:tab/>
            </w:r>
            <w:r>
              <w:rPr>
                <w:noProof/>
                <w:webHidden/>
              </w:rPr>
              <w:fldChar w:fldCharType="begin"/>
            </w:r>
            <w:r>
              <w:rPr>
                <w:noProof/>
                <w:webHidden/>
              </w:rPr>
              <w:instrText xml:space="preserve"> PAGEREF _Toc212406336 \h </w:instrText>
            </w:r>
            <w:r>
              <w:rPr>
                <w:noProof/>
                <w:webHidden/>
              </w:rPr>
            </w:r>
            <w:r>
              <w:rPr>
                <w:noProof/>
                <w:webHidden/>
              </w:rPr>
              <w:fldChar w:fldCharType="separate"/>
            </w:r>
            <w:r>
              <w:rPr>
                <w:noProof/>
                <w:webHidden/>
              </w:rPr>
              <w:t>3</w:t>
            </w:r>
            <w:r>
              <w:rPr>
                <w:noProof/>
                <w:webHidden/>
              </w:rPr>
              <w:fldChar w:fldCharType="end"/>
            </w:r>
          </w:hyperlink>
        </w:p>
        <w:p w14:paraId="542BAFAC" w14:textId="44220DAA" w:rsidR="00000161" w:rsidRDefault="00000161" w:rsidP="00052882">
          <w:pPr>
            <w:pStyle w:val="TDC3"/>
            <w:tabs>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37" w:history="1">
            <w:r w:rsidRPr="00285508">
              <w:rPr>
                <w:rStyle w:val="Hipervnculo"/>
                <w:noProof/>
              </w:rPr>
              <w:t>1.3 Justificación del proyecto</w:t>
            </w:r>
            <w:r>
              <w:rPr>
                <w:noProof/>
                <w:webHidden/>
              </w:rPr>
              <w:tab/>
            </w:r>
            <w:r>
              <w:rPr>
                <w:noProof/>
                <w:webHidden/>
              </w:rPr>
              <w:fldChar w:fldCharType="begin"/>
            </w:r>
            <w:r>
              <w:rPr>
                <w:noProof/>
                <w:webHidden/>
              </w:rPr>
              <w:instrText xml:space="preserve"> PAGEREF _Toc212406337 \h </w:instrText>
            </w:r>
            <w:r>
              <w:rPr>
                <w:noProof/>
                <w:webHidden/>
              </w:rPr>
            </w:r>
            <w:r>
              <w:rPr>
                <w:noProof/>
                <w:webHidden/>
              </w:rPr>
              <w:fldChar w:fldCharType="separate"/>
            </w:r>
            <w:r>
              <w:rPr>
                <w:noProof/>
                <w:webHidden/>
              </w:rPr>
              <w:t>5</w:t>
            </w:r>
            <w:r>
              <w:rPr>
                <w:noProof/>
                <w:webHidden/>
              </w:rPr>
              <w:fldChar w:fldCharType="end"/>
            </w:r>
          </w:hyperlink>
        </w:p>
        <w:p w14:paraId="2AFF2F81" w14:textId="7E69533B" w:rsidR="00000161" w:rsidRDefault="00000161" w:rsidP="00052882">
          <w:pPr>
            <w:pStyle w:val="TDC3"/>
            <w:tabs>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38" w:history="1">
            <w:r w:rsidRPr="00285508">
              <w:rPr>
                <w:rStyle w:val="Hipervnculo"/>
                <w:noProof/>
              </w:rPr>
              <w:t>1.4 Objetivo general</w:t>
            </w:r>
            <w:r>
              <w:rPr>
                <w:noProof/>
                <w:webHidden/>
              </w:rPr>
              <w:tab/>
            </w:r>
            <w:r>
              <w:rPr>
                <w:noProof/>
                <w:webHidden/>
              </w:rPr>
              <w:fldChar w:fldCharType="begin"/>
            </w:r>
            <w:r>
              <w:rPr>
                <w:noProof/>
                <w:webHidden/>
              </w:rPr>
              <w:instrText xml:space="preserve"> PAGEREF _Toc212406338 \h </w:instrText>
            </w:r>
            <w:r>
              <w:rPr>
                <w:noProof/>
                <w:webHidden/>
              </w:rPr>
            </w:r>
            <w:r>
              <w:rPr>
                <w:noProof/>
                <w:webHidden/>
              </w:rPr>
              <w:fldChar w:fldCharType="separate"/>
            </w:r>
            <w:r>
              <w:rPr>
                <w:noProof/>
                <w:webHidden/>
              </w:rPr>
              <w:t>6</w:t>
            </w:r>
            <w:r>
              <w:rPr>
                <w:noProof/>
                <w:webHidden/>
              </w:rPr>
              <w:fldChar w:fldCharType="end"/>
            </w:r>
          </w:hyperlink>
        </w:p>
        <w:p w14:paraId="1ACE2F6C" w14:textId="21DA6F3D" w:rsidR="00000161" w:rsidRDefault="00000161" w:rsidP="00052882">
          <w:pPr>
            <w:pStyle w:val="TDC3"/>
            <w:tabs>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39" w:history="1">
            <w:r w:rsidRPr="00285508">
              <w:rPr>
                <w:rStyle w:val="Hipervnculo"/>
                <w:noProof/>
              </w:rPr>
              <w:t>1.5 Objetivos específicos</w:t>
            </w:r>
            <w:r>
              <w:rPr>
                <w:noProof/>
                <w:webHidden/>
              </w:rPr>
              <w:tab/>
            </w:r>
            <w:r>
              <w:rPr>
                <w:noProof/>
                <w:webHidden/>
              </w:rPr>
              <w:fldChar w:fldCharType="begin"/>
            </w:r>
            <w:r>
              <w:rPr>
                <w:noProof/>
                <w:webHidden/>
              </w:rPr>
              <w:instrText xml:space="preserve"> PAGEREF _Toc212406339 \h </w:instrText>
            </w:r>
            <w:r>
              <w:rPr>
                <w:noProof/>
                <w:webHidden/>
              </w:rPr>
            </w:r>
            <w:r>
              <w:rPr>
                <w:noProof/>
                <w:webHidden/>
              </w:rPr>
              <w:fldChar w:fldCharType="separate"/>
            </w:r>
            <w:r>
              <w:rPr>
                <w:noProof/>
                <w:webHidden/>
              </w:rPr>
              <w:t>7</w:t>
            </w:r>
            <w:r>
              <w:rPr>
                <w:noProof/>
                <w:webHidden/>
              </w:rPr>
              <w:fldChar w:fldCharType="end"/>
            </w:r>
          </w:hyperlink>
        </w:p>
        <w:p w14:paraId="72FE079D" w14:textId="5A2798BD" w:rsidR="00000161" w:rsidRDefault="00000161" w:rsidP="00052882">
          <w:pPr>
            <w:pStyle w:val="TDC1"/>
            <w:spacing w:line="240" w:lineRule="auto"/>
            <w:rPr>
              <w:rFonts w:asciiTheme="minorHAnsi" w:eastAsiaTheme="minorEastAsia" w:hAnsiTheme="minorHAnsi" w:cstheme="minorBidi"/>
              <w:bCs w:val="0"/>
              <w:caps w:val="0"/>
              <w:noProof/>
              <w:kern w:val="2"/>
              <w:sz w:val="24"/>
              <w:lang w:val="es-CR" w:eastAsia="es-CR"/>
              <w14:ligatures w14:val="standardContextual"/>
            </w:rPr>
          </w:pPr>
          <w:hyperlink w:anchor="_Toc212406340" w:history="1">
            <w:r w:rsidRPr="00285508">
              <w:rPr>
                <w:rStyle w:val="Hipervnculo"/>
                <w:noProof/>
              </w:rPr>
              <w:t>2.</w:t>
            </w:r>
            <w:r>
              <w:rPr>
                <w:rFonts w:asciiTheme="minorHAnsi" w:eastAsiaTheme="minorEastAsia" w:hAnsiTheme="minorHAnsi" w:cstheme="minorBidi"/>
                <w:bCs w:val="0"/>
                <w:caps w:val="0"/>
                <w:noProof/>
                <w:kern w:val="2"/>
                <w:sz w:val="24"/>
                <w:lang w:val="es-CR" w:eastAsia="es-CR"/>
                <w14:ligatures w14:val="standardContextual"/>
              </w:rPr>
              <w:tab/>
            </w:r>
            <w:r w:rsidRPr="00285508">
              <w:rPr>
                <w:rStyle w:val="Hipervnculo"/>
                <w:noProof/>
              </w:rPr>
              <w:t>Marco Teórico</w:t>
            </w:r>
            <w:r>
              <w:rPr>
                <w:noProof/>
                <w:webHidden/>
              </w:rPr>
              <w:tab/>
            </w:r>
            <w:r>
              <w:rPr>
                <w:noProof/>
                <w:webHidden/>
              </w:rPr>
              <w:fldChar w:fldCharType="begin"/>
            </w:r>
            <w:r>
              <w:rPr>
                <w:noProof/>
                <w:webHidden/>
              </w:rPr>
              <w:instrText xml:space="preserve"> PAGEREF _Toc212406340 \h </w:instrText>
            </w:r>
            <w:r>
              <w:rPr>
                <w:noProof/>
                <w:webHidden/>
              </w:rPr>
            </w:r>
            <w:r>
              <w:rPr>
                <w:noProof/>
                <w:webHidden/>
              </w:rPr>
              <w:fldChar w:fldCharType="separate"/>
            </w:r>
            <w:r>
              <w:rPr>
                <w:noProof/>
                <w:webHidden/>
              </w:rPr>
              <w:t>8</w:t>
            </w:r>
            <w:r>
              <w:rPr>
                <w:noProof/>
                <w:webHidden/>
              </w:rPr>
              <w:fldChar w:fldCharType="end"/>
            </w:r>
          </w:hyperlink>
        </w:p>
        <w:p w14:paraId="167719E2" w14:textId="03302590" w:rsidR="00000161" w:rsidRDefault="00000161" w:rsidP="00052882">
          <w:pPr>
            <w:pStyle w:val="TDC2"/>
            <w:tabs>
              <w:tab w:val="right" w:leader="dot" w:pos="8829"/>
            </w:tabs>
            <w:spacing w:line="240" w:lineRule="auto"/>
            <w:rPr>
              <w:rFonts w:asciiTheme="minorHAnsi" w:eastAsiaTheme="minorEastAsia" w:hAnsiTheme="minorHAnsi" w:cstheme="minorBidi"/>
              <w:bCs w:val="0"/>
              <w:noProof/>
              <w:kern w:val="2"/>
              <w:sz w:val="24"/>
              <w:szCs w:val="24"/>
              <w:lang w:val="es-CR" w:eastAsia="es-CR"/>
              <w14:ligatures w14:val="standardContextual"/>
            </w:rPr>
          </w:pPr>
          <w:hyperlink w:anchor="_Toc212406341" w:history="1">
            <w:r w:rsidRPr="00285508">
              <w:rPr>
                <w:rStyle w:val="Hipervnculo"/>
                <w:noProof/>
              </w:rPr>
              <w:t>2.1 Marco institucional</w:t>
            </w:r>
            <w:r>
              <w:rPr>
                <w:noProof/>
                <w:webHidden/>
              </w:rPr>
              <w:tab/>
            </w:r>
            <w:r>
              <w:rPr>
                <w:noProof/>
                <w:webHidden/>
              </w:rPr>
              <w:fldChar w:fldCharType="begin"/>
            </w:r>
            <w:r>
              <w:rPr>
                <w:noProof/>
                <w:webHidden/>
              </w:rPr>
              <w:instrText xml:space="preserve"> PAGEREF _Toc212406341 \h </w:instrText>
            </w:r>
            <w:r>
              <w:rPr>
                <w:noProof/>
                <w:webHidden/>
              </w:rPr>
            </w:r>
            <w:r>
              <w:rPr>
                <w:noProof/>
                <w:webHidden/>
              </w:rPr>
              <w:fldChar w:fldCharType="separate"/>
            </w:r>
            <w:r>
              <w:rPr>
                <w:noProof/>
                <w:webHidden/>
              </w:rPr>
              <w:t>8</w:t>
            </w:r>
            <w:r>
              <w:rPr>
                <w:noProof/>
                <w:webHidden/>
              </w:rPr>
              <w:fldChar w:fldCharType="end"/>
            </w:r>
          </w:hyperlink>
        </w:p>
        <w:p w14:paraId="7228B2B7" w14:textId="33699904" w:rsidR="00000161" w:rsidRDefault="00000161" w:rsidP="00052882">
          <w:pPr>
            <w:pStyle w:val="TDC3"/>
            <w:tabs>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42" w:history="1">
            <w:r w:rsidRPr="00285508">
              <w:rPr>
                <w:rStyle w:val="Hipervnculo"/>
                <w:noProof/>
              </w:rPr>
              <w:t>2.1.1 Antecedentes de la institución</w:t>
            </w:r>
            <w:r>
              <w:rPr>
                <w:noProof/>
                <w:webHidden/>
              </w:rPr>
              <w:tab/>
            </w:r>
            <w:r>
              <w:rPr>
                <w:noProof/>
                <w:webHidden/>
              </w:rPr>
              <w:fldChar w:fldCharType="begin"/>
            </w:r>
            <w:r>
              <w:rPr>
                <w:noProof/>
                <w:webHidden/>
              </w:rPr>
              <w:instrText xml:space="preserve"> PAGEREF _Toc212406342 \h </w:instrText>
            </w:r>
            <w:r>
              <w:rPr>
                <w:noProof/>
                <w:webHidden/>
              </w:rPr>
            </w:r>
            <w:r>
              <w:rPr>
                <w:noProof/>
                <w:webHidden/>
              </w:rPr>
              <w:fldChar w:fldCharType="separate"/>
            </w:r>
            <w:r>
              <w:rPr>
                <w:noProof/>
                <w:webHidden/>
              </w:rPr>
              <w:t>9</w:t>
            </w:r>
            <w:r>
              <w:rPr>
                <w:noProof/>
                <w:webHidden/>
              </w:rPr>
              <w:fldChar w:fldCharType="end"/>
            </w:r>
          </w:hyperlink>
        </w:p>
        <w:p w14:paraId="1E5CF87D" w14:textId="681C003A" w:rsidR="00000161" w:rsidRDefault="00000161" w:rsidP="00052882">
          <w:pPr>
            <w:pStyle w:val="TDC3"/>
            <w:tabs>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43" w:history="1">
            <w:r w:rsidRPr="00285508">
              <w:rPr>
                <w:rStyle w:val="Hipervnculo"/>
                <w:noProof/>
              </w:rPr>
              <w:t>2.1.2 Misión y visión</w:t>
            </w:r>
            <w:r>
              <w:rPr>
                <w:noProof/>
                <w:webHidden/>
              </w:rPr>
              <w:tab/>
            </w:r>
            <w:r>
              <w:rPr>
                <w:noProof/>
                <w:webHidden/>
              </w:rPr>
              <w:fldChar w:fldCharType="begin"/>
            </w:r>
            <w:r>
              <w:rPr>
                <w:noProof/>
                <w:webHidden/>
              </w:rPr>
              <w:instrText xml:space="preserve"> PAGEREF _Toc212406343 \h </w:instrText>
            </w:r>
            <w:r>
              <w:rPr>
                <w:noProof/>
                <w:webHidden/>
              </w:rPr>
            </w:r>
            <w:r>
              <w:rPr>
                <w:noProof/>
                <w:webHidden/>
              </w:rPr>
              <w:fldChar w:fldCharType="separate"/>
            </w:r>
            <w:r>
              <w:rPr>
                <w:noProof/>
                <w:webHidden/>
              </w:rPr>
              <w:t>11</w:t>
            </w:r>
            <w:r>
              <w:rPr>
                <w:noProof/>
                <w:webHidden/>
              </w:rPr>
              <w:fldChar w:fldCharType="end"/>
            </w:r>
          </w:hyperlink>
        </w:p>
        <w:p w14:paraId="6FB59D5D" w14:textId="12A82E36" w:rsidR="00000161" w:rsidRDefault="00000161" w:rsidP="00052882">
          <w:pPr>
            <w:pStyle w:val="TDC3"/>
            <w:tabs>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44" w:history="1">
            <w:r w:rsidRPr="00285508">
              <w:rPr>
                <w:rStyle w:val="Hipervnculo"/>
                <w:noProof/>
              </w:rPr>
              <w:t>2.1.3 Estructura organizativa</w:t>
            </w:r>
            <w:r>
              <w:rPr>
                <w:noProof/>
                <w:webHidden/>
              </w:rPr>
              <w:tab/>
            </w:r>
            <w:r>
              <w:rPr>
                <w:noProof/>
                <w:webHidden/>
              </w:rPr>
              <w:fldChar w:fldCharType="begin"/>
            </w:r>
            <w:r>
              <w:rPr>
                <w:noProof/>
                <w:webHidden/>
              </w:rPr>
              <w:instrText xml:space="preserve"> PAGEREF _Toc212406344 \h </w:instrText>
            </w:r>
            <w:r>
              <w:rPr>
                <w:noProof/>
                <w:webHidden/>
              </w:rPr>
            </w:r>
            <w:r>
              <w:rPr>
                <w:noProof/>
                <w:webHidden/>
              </w:rPr>
              <w:fldChar w:fldCharType="separate"/>
            </w:r>
            <w:r>
              <w:rPr>
                <w:noProof/>
                <w:webHidden/>
              </w:rPr>
              <w:t>12</w:t>
            </w:r>
            <w:r>
              <w:rPr>
                <w:noProof/>
                <w:webHidden/>
              </w:rPr>
              <w:fldChar w:fldCharType="end"/>
            </w:r>
          </w:hyperlink>
        </w:p>
        <w:p w14:paraId="2562DD57" w14:textId="29EA8595" w:rsidR="00000161" w:rsidRDefault="00000161" w:rsidP="00052882">
          <w:pPr>
            <w:pStyle w:val="TDC3"/>
            <w:tabs>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45" w:history="1">
            <w:r w:rsidRPr="00285508">
              <w:rPr>
                <w:rStyle w:val="Hipervnculo"/>
                <w:noProof/>
              </w:rPr>
              <w:t>2.1.4 Productos y servicios que ofrece</w:t>
            </w:r>
            <w:r>
              <w:rPr>
                <w:noProof/>
                <w:webHidden/>
              </w:rPr>
              <w:tab/>
            </w:r>
            <w:r>
              <w:rPr>
                <w:noProof/>
                <w:webHidden/>
              </w:rPr>
              <w:fldChar w:fldCharType="begin"/>
            </w:r>
            <w:r>
              <w:rPr>
                <w:noProof/>
                <w:webHidden/>
              </w:rPr>
              <w:instrText xml:space="preserve"> PAGEREF _Toc212406345 \h </w:instrText>
            </w:r>
            <w:r>
              <w:rPr>
                <w:noProof/>
                <w:webHidden/>
              </w:rPr>
            </w:r>
            <w:r>
              <w:rPr>
                <w:noProof/>
                <w:webHidden/>
              </w:rPr>
              <w:fldChar w:fldCharType="separate"/>
            </w:r>
            <w:r>
              <w:rPr>
                <w:noProof/>
                <w:webHidden/>
              </w:rPr>
              <w:t>15</w:t>
            </w:r>
            <w:r>
              <w:rPr>
                <w:noProof/>
                <w:webHidden/>
              </w:rPr>
              <w:fldChar w:fldCharType="end"/>
            </w:r>
          </w:hyperlink>
        </w:p>
        <w:p w14:paraId="5CD22374" w14:textId="7503E3E8" w:rsidR="00000161" w:rsidRDefault="00000161" w:rsidP="00052882">
          <w:pPr>
            <w:pStyle w:val="TDC2"/>
            <w:tabs>
              <w:tab w:val="right" w:leader="dot" w:pos="8829"/>
            </w:tabs>
            <w:spacing w:line="240" w:lineRule="auto"/>
            <w:rPr>
              <w:rFonts w:asciiTheme="minorHAnsi" w:eastAsiaTheme="minorEastAsia" w:hAnsiTheme="minorHAnsi" w:cstheme="minorBidi"/>
              <w:bCs w:val="0"/>
              <w:noProof/>
              <w:kern w:val="2"/>
              <w:sz w:val="24"/>
              <w:szCs w:val="24"/>
              <w:lang w:val="es-CR" w:eastAsia="es-CR"/>
              <w14:ligatures w14:val="standardContextual"/>
            </w:rPr>
          </w:pPr>
          <w:hyperlink w:anchor="_Toc212406346" w:history="1">
            <w:r w:rsidRPr="00285508">
              <w:rPr>
                <w:rStyle w:val="Hipervnculo"/>
                <w:noProof/>
              </w:rPr>
              <w:t>2.2 Teoría de Administración de Proyectos</w:t>
            </w:r>
            <w:r>
              <w:rPr>
                <w:noProof/>
                <w:webHidden/>
              </w:rPr>
              <w:tab/>
            </w:r>
            <w:r>
              <w:rPr>
                <w:noProof/>
                <w:webHidden/>
              </w:rPr>
              <w:fldChar w:fldCharType="begin"/>
            </w:r>
            <w:r>
              <w:rPr>
                <w:noProof/>
                <w:webHidden/>
              </w:rPr>
              <w:instrText xml:space="preserve"> PAGEREF _Toc212406346 \h </w:instrText>
            </w:r>
            <w:r>
              <w:rPr>
                <w:noProof/>
                <w:webHidden/>
              </w:rPr>
            </w:r>
            <w:r>
              <w:rPr>
                <w:noProof/>
                <w:webHidden/>
              </w:rPr>
              <w:fldChar w:fldCharType="separate"/>
            </w:r>
            <w:r>
              <w:rPr>
                <w:noProof/>
                <w:webHidden/>
              </w:rPr>
              <w:t>17</w:t>
            </w:r>
            <w:r>
              <w:rPr>
                <w:noProof/>
                <w:webHidden/>
              </w:rPr>
              <w:fldChar w:fldCharType="end"/>
            </w:r>
          </w:hyperlink>
        </w:p>
        <w:p w14:paraId="04A6F29C" w14:textId="2A75C0FD" w:rsidR="00000161" w:rsidRDefault="00000161" w:rsidP="00052882">
          <w:pPr>
            <w:pStyle w:val="TDC3"/>
            <w:tabs>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47" w:history="1">
            <w:r w:rsidRPr="00285508">
              <w:rPr>
                <w:rStyle w:val="Hipervnculo"/>
                <w:noProof/>
              </w:rPr>
              <w:t>2.2.1 Principios de la dirección de proyectos</w:t>
            </w:r>
            <w:r>
              <w:rPr>
                <w:noProof/>
                <w:webHidden/>
              </w:rPr>
              <w:tab/>
            </w:r>
            <w:r>
              <w:rPr>
                <w:noProof/>
                <w:webHidden/>
              </w:rPr>
              <w:fldChar w:fldCharType="begin"/>
            </w:r>
            <w:r>
              <w:rPr>
                <w:noProof/>
                <w:webHidden/>
              </w:rPr>
              <w:instrText xml:space="preserve"> PAGEREF _Toc212406347 \h </w:instrText>
            </w:r>
            <w:r>
              <w:rPr>
                <w:noProof/>
                <w:webHidden/>
              </w:rPr>
            </w:r>
            <w:r>
              <w:rPr>
                <w:noProof/>
                <w:webHidden/>
              </w:rPr>
              <w:fldChar w:fldCharType="separate"/>
            </w:r>
            <w:r>
              <w:rPr>
                <w:noProof/>
                <w:webHidden/>
              </w:rPr>
              <w:t>17</w:t>
            </w:r>
            <w:r>
              <w:rPr>
                <w:noProof/>
                <w:webHidden/>
              </w:rPr>
              <w:fldChar w:fldCharType="end"/>
            </w:r>
          </w:hyperlink>
        </w:p>
        <w:p w14:paraId="13B5F981" w14:textId="0B080B31" w:rsidR="00000161" w:rsidRDefault="00000161" w:rsidP="00052882">
          <w:pPr>
            <w:pStyle w:val="TDC3"/>
            <w:tabs>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48" w:history="1">
            <w:r w:rsidRPr="00285508">
              <w:rPr>
                <w:rStyle w:val="Hipervnculo"/>
                <w:noProof/>
              </w:rPr>
              <w:t>2.2.2 Dominios de desempeño del proyecto</w:t>
            </w:r>
            <w:r>
              <w:rPr>
                <w:noProof/>
                <w:webHidden/>
              </w:rPr>
              <w:tab/>
            </w:r>
            <w:r>
              <w:rPr>
                <w:noProof/>
                <w:webHidden/>
              </w:rPr>
              <w:fldChar w:fldCharType="begin"/>
            </w:r>
            <w:r>
              <w:rPr>
                <w:noProof/>
                <w:webHidden/>
              </w:rPr>
              <w:instrText xml:space="preserve"> PAGEREF _Toc212406348 \h </w:instrText>
            </w:r>
            <w:r>
              <w:rPr>
                <w:noProof/>
                <w:webHidden/>
              </w:rPr>
            </w:r>
            <w:r>
              <w:rPr>
                <w:noProof/>
                <w:webHidden/>
              </w:rPr>
              <w:fldChar w:fldCharType="separate"/>
            </w:r>
            <w:r>
              <w:rPr>
                <w:noProof/>
                <w:webHidden/>
              </w:rPr>
              <w:t>22</w:t>
            </w:r>
            <w:r>
              <w:rPr>
                <w:noProof/>
                <w:webHidden/>
              </w:rPr>
              <w:fldChar w:fldCharType="end"/>
            </w:r>
          </w:hyperlink>
        </w:p>
        <w:p w14:paraId="4731917F" w14:textId="3B2EBA6A" w:rsidR="00000161" w:rsidRDefault="00000161" w:rsidP="00052882">
          <w:pPr>
            <w:pStyle w:val="TDC3"/>
            <w:tabs>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49" w:history="1">
            <w:r w:rsidRPr="00285508">
              <w:rPr>
                <w:rStyle w:val="Hipervnculo"/>
                <w:noProof/>
              </w:rPr>
              <w:t>2.2.3 Enfoques de desarrollo y ciclo de vida de los proyectos.</w:t>
            </w:r>
            <w:r>
              <w:rPr>
                <w:noProof/>
                <w:webHidden/>
              </w:rPr>
              <w:tab/>
            </w:r>
            <w:r>
              <w:rPr>
                <w:noProof/>
                <w:webHidden/>
              </w:rPr>
              <w:fldChar w:fldCharType="begin"/>
            </w:r>
            <w:r>
              <w:rPr>
                <w:noProof/>
                <w:webHidden/>
              </w:rPr>
              <w:instrText xml:space="preserve"> PAGEREF _Toc212406349 \h </w:instrText>
            </w:r>
            <w:r>
              <w:rPr>
                <w:noProof/>
                <w:webHidden/>
              </w:rPr>
            </w:r>
            <w:r>
              <w:rPr>
                <w:noProof/>
                <w:webHidden/>
              </w:rPr>
              <w:fldChar w:fldCharType="separate"/>
            </w:r>
            <w:r>
              <w:rPr>
                <w:noProof/>
                <w:webHidden/>
              </w:rPr>
              <w:t>24</w:t>
            </w:r>
            <w:r>
              <w:rPr>
                <w:noProof/>
                <w:webHidden/>
              </w:rPr>
              <w:fldChar w:fldCharType="end"/>
            </w:r>
          </w:hyperlink>
        </w:p>
        <w:p w14:paraId="53A7817D" w14:textId="73BF91A9" w:rsidR="00000161" w:rsidRDefault="00000161" w:rsidP="00052882">
          <w:pPr>
            <w:pStyle w:val="TDC3"/>
            <w:tabs>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50" w:history="1">
            <w:r w:rsidRPr="00285508">
              <w:rPr>
                <w:rStyle w:val="Hipervnculo"/>
                <w:noProof/>
              </w:rPr>
              <w:t>2.2.4 Administración, dirección o gerencia de proyectos</w:t>
            </w:r>
            <w:r>
              <w:rPr>
                <w:noProof/>
                <w:webHidden/>
              </w:rPr>
              <w:tab/>
            </w:r>
            <w:r>
              <w:rPr>
                <w:noProof/>
                <w:webHidden/>
              </w:rPr>
              <w:fldChar w:fldCharType="begin"/>
            </w:r>
            <w:r>
              <w:rPr>
                <w:noProof/>
                <w:webHidden/>
              </w:rPr>
              <w:instrText xml:space="preserve"> PAGEREF _Toc212406350 \h </w:instrText>
            </w:r>
            <w:r>
              <w:rPr>
                <w:noProof/>
                <w:webHidden/>
              </w:rPr>
            </w:r>
            <w:r>
              <w:rPr>
                <w:noProof/>
                <w:webHidden/>
              </w:rPr>
              <w:fldChar w:fldCharType="separate"/>
            </w:r>
            <w:r>
              <w:rPr>
                <w:noProof/>
                <w:webHidden/>
              </w:rPr>
              <w:t>28</w:t>
            </w:r>
            <w:r>
              <w:rPr>
                <w:noProof/>
                <w:webHidden/>
              </w:rPr>
              <w:fldChar w:fldCharType="end"/>
            </w:r>
          </w:hyperlink>
        </w:p>
        <w:p w14:paraId="5C1F75C5" w14:textId="22E9AC98" w:rsidR="00000161" w:rsidRDefault="00000161" w:rsidP="00052882">
          <w:pPr>
            <w:pStyle w:val="TDC3"/>
            <w:tabs>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51" w:history="1">
            <w:r w:rsidRPr="00285508">
              <w:rPr>
                <w:rStyle w:val="Hipervnculo"/>
                <w:noProof/>
              </w:rPr>
              <w:t>2.2.5 Grupos de procesos de la dirección de proyectos</w:t>
            </w:r>
            <w:r>
              <w:rPr>
                <w:noProof/>
                <w:webHidden/>
              </w:rPr>
              <w:tab/>
            </w:r>
            <w:r>
              <w:rPr>
                <w:noProof/>
                <w:webHidden/>
              </w:rPr>
              <w:fldChar w:fldCharType="begin"/>
            </w:r>
            <w:r>
              <w:rPr>
                <w:noProof/>
                <w:webHidden/>
              </w:rPr>
              <w:instrText xml:space="preserve"> PAGEREF _Toc212406351 \h </w:instrText>
            </w:r>
            <w:r>
              <w:rPr>
                <w:noProof/>
                <w:webHidden/>
              </w:rPr>
            </w:r>
            <w:r>
              <w:rPr>
                <w:noProof/>
                <w:webHidden/>
              </w:rPr>
              <w:fldChar w:fldCharType="separate"/>
            </w:r>
            <w:r>
              <w:rPr>
                <w:noProof/>
                <w:webHidden/>
              </w:rPr>
              <w:t>30</w:t>
            </w:r>
            <w:r>
              <w:rPr>
                <w:noProof/>
                <w:webHidden/>
              </w:rPr>
              <w:fldChar w:fldCharType="end"/>
            </w:r>
          </w:hyperlink>
        </w:p>
        <w:p w14:paraId="3DF5ECD8" w14:textId="01048984" w:rsidR="00000161" w:rsidRDefault="00000161" w:rsidP="00052882">
          <w:pPr>
            <w:pStyle w:val="TDC3"/>
            <w:tabs>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52" w:history="1">
            <w:r w:rsidRPr="00285508">
              <w:rPr>
                <w:rStyle w:val="Hipervnculo"/>
                <w:noProof/>
              </w:rPr>
              <w:t>2.2.6 Estrategia empresarial, portafolios, programas, proyectos</w:t>
            </w:r>
            <w:r>
              <w:rPr>
                <w:noProof/>
                <w:webHidden/>
              </w:rPr>
              <w:tab/>
            </w:r>
            <w:r>
              <w:rPr>
                <w:noProof/>
                <w:webHidden/>
              </w:rPr>
              <w:fldChar w:fldCharType="begin"/>
            </w:r>
            <w:r>
              <w:rPr>
                <w:noProof/>
                <w:webHidden/>
              </w:rPr>
              <w:instrText xml:space="preserve"> PAGEREF _Toc212406352 \h </w:instrText>
            </w:r>
            <w:r>
              <w:rPr>
                <w:noProof/>
                <w:webHidden/>
              </w:rPr>
            </w:r>
            <w:r>
              <w:rPr>
                <w:noProof/>
                <w:webHidden/>
              </w:rPr>
              <w:fldChar w:fldCharType="separate"/>
            </w:r>
            <w:r>
              <w:rPr>
                <w:noProof/>
                <w:webHidden/>
              </w:rPr>
              <w:t>35</w:t>
            </w:r>
            <w:r>
              <w:rPr>
                <w:noProof/>
                <w:webHidden/>
              </w:rPr>
              <w:fldChar w:fldCharType="end"/>
            </w:r>
          </w:hyperlink>
        </w:p>
        <w:p w14:paraId="1E8BF1FD" w14:textId="23931CA3" w:rsidR="00000161" w:rsidRDefault="00000161" w:rsidP="00052882">
          <w:pPr>
            <w:pStyle w:val="TDC2"/>
            <w:tabs>
              <w:tab w:val="right" w:leader="dot" w:pos="8829"/>
            </w:tabs>
            <w:spacing w:line="240" w:lineRule="auto"/>
            <w:rPr>
              <w:rFonts w:asciiTheme="minorHAnsi" w:eastAsiaTheme="minorEastAsia" w:hAnsiTheme="minorHAnsi" w:cstheme="minorBidi"/>
              <w:bCs w:val="0"/>
              <w:noProof/>
              <w:kern w:val="2"/>
              <w:sz w:val="24"/>
              <w:szCs w:val="24"/>
              <w:lang w:val="es-CR" w:eastAsia="es-CR"/>
              <w14:ligatures w14:val="standardContextual"/>
            </w:rPr>
          </w:pPr>
          <w:hyperlink w:anchor="_Toc212406353" w:history="1">
            <w:r w:rsidRPr="00285508">
              <w:rPr>
                <w:rStyle w:val="Hipervnculo"/>
                <w:noProof/>
              </w:rPr>
              <w:t>2.3 Estado de la cuestión y otra teoría propia del tema de interés</w:t>
            </w:r>
            <w:r>
              <w:rPr>
                <w:noProof/>
                <w:webHidden/>
              </w:rPr>
              <w:tab/>
            </w:r>
            <w:r>
              <w:rPr>
                <w:noProof/>
                <w:webHidden/>
              </w:rPr>
              <w:fldChar w:fldCharType="begin"/>
            </w:r>
            <w:r>
              <w:rPr>
                <w:noProof/>
                <w:webHidden/>
              </w:rPr>
              <w:instrText xml:space="preserve"> PAGEREF _Toc212406353 \h </w:instrText>
            </w:r>
            <w:r>
              <w:rPr>
                <w:noProof/>
                <w:webHidden/>
              </w:rPr>
            </w:r>
            <w:r>
              <w:rPr>
                <w:noProof/>
                <w:webHidden/>
              </w:rPr>
              <w:fldChar w:fldCharType="separate"/>
            </w:r>
            <w:r>
              <w:rPr>
                <w:noProof/>
                <w:webHidden/>
              </w:rPr>
              <w:t>37</w:t>
            </w:r>
            <w:r>
              <w:rPr>
                <w:noProof/>
                <w:webHidden/>
              </w:rPr>
              <w:fldChar w:fldCharType="end"/>
            </w:r>
          </w:hyperlink>
        </w:p>
        <w:p w14:paraId="79CF3061" w14:textId="6CDF5260" w:rsidR="00000161" w:rsidRDefault="00000161" w:rsidP="00052882">
          <w:pPr>
            <w:pStyle w:val="TDC3"/>
            <w:tabs>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54" w:history="1">
            <w:r w:rsidRPr="00285508">
              <w:rPr>
                <w:rStyle w:val="Hipervnculo"/>
                <w:noProof/>
              </w:rPr>
              <w:t>2.3.1 Situación actual del problema u oportunidad en estudio (estado de la cuestión)</w:t>
            </w:r>
            <w:r>
              <w:rPr>
                <w:noProof/>
                <w:webHidden/>
              </w:rPr>
              <w:tab/>
            </w:r>
            <w:r>
              <w:rPr>
                <w:noProof/>
                <w:webHidden/>
              </w:rPr>
              <w:fldChar w:fldCharType="begin"/>
            </w:r>
            <w:r>
              <w:rPr>
                <w:noProof/>
                <w:webHidden/>
              </w:rPr>
              <w:instrText xml:space="preserve"> PAGEREF _Toc212406354 \h </w:instrText>
            </w:r>
            <w:r>
              <w:rPr>
                <w:noProof/>
                <w:webHidden/>
              </w:rPr>
            </w:r>
            <w:r>
              <w:rPr>
                <w:noProof/>
                <w:webHidden/>
              </w:rPr>
              <w:fldChar w:fldCharType="separate"/>
            </w:r>
            <w:r>
              <w:rPr>
                <w:noProof/>
                <w:webHidden/>
              </w:rPr>
              <w:t>38</w:t>
            </w:r>
            <w:r>
              <w:rPr>
                <w:noProof/>
                <w:webHidden/>
              </w:rPr>
              <w:fldChar w:fldCharType="end"/>
            </w:r>
          </w:hyperlink>
        </w:p>
        <w:p w14:paraId="1C7FDF4B" w14:textId="0982B8E3" w:rsidR="00000161" w:rsidRDefault="00000161" w:rsidP="00052882">
          <w:pPr>
            <w:pStyle w:val="TDC3"/>
            <w:tabs>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55" w:history="1">
            <w:r w:rsidRPr="00285508">
              <w:rPr>
                <w:rStyle w:val="Hipervnculo"/>
                <w:noProof/>
              </w:rPr>
              <w:t>2.3.2 Investigaciones que se han hecho sobre el tema en estudio</w:t>
            </w:r>
            <w:r>
              <w:rPr>
                <w:noProof/>
                <w:webHidden/>
              </w:rPr>
              <w:tab/>
            </w:r>
            <w:r>
              <w:rPr>
                <w:noProof/>
                <w:webHidden/>
              </w:rPr>
              <w:fldChar w:fldCharType="begin"/>
            </w:r>
            <w:r>
              <w:rPr>
                <w:noProof/>
                <w:webHidden/>
              </w:rPr>
              <w:instrText xml:space="preserve"> PAGEREF _Toc212406355 \h </w:instrText>
            </w:r>
            <w:r>
              <w:rPr>
                <w:noProof/>
                <w:webHidden/>
              </w:rPr>
            </w:r>
            <w:r>
              <w:rPr>
                <w:noProof/>
                <w:webHidden/>
              </w:rPr>
              <w:fldChar w:fldCharType="separate"/>
            </w:r>
            <w:r>
              <w:rPr>
                <w:noProof/>
                <w:webHidden/>
              </w:rPr>
              <w:t>40</w:t>
            </w:r>
            <w:r>
              <w:rPr>
                <w:noProof/>
                <w:webHidden/>
              </w:rPr>
              <w:fldChar w:fldCharType="end"/>
            </w:r>
          </w:hyperlink>
        </w:p>
        <w:p w14:paraId="70A60301" w14:textId="2BB40363" w:rsidR="00000161" w:rsidRDefault="00000161" w:rsidP="00052882">
          <w:pPr>
            <w:pStyle w:val="TDC3"/>
            <w:tabs>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56" w:history="1">
            <w:r w:rsidRPr="00285508">
              <w:rPr>
                <w:rStyle w:val="Hipervnculo"/>
                <w:noProof/>
              </w:rPr>
              <w:t>2.3.3 Otra teoría relacionada con el tema en estudio</w:t>
            </w:r>
            <w:r>
              <w:rPr>
                <w:noProof/>
                <w:webHidden/>
              </w:rPr>
              <w:tab/>
            </w:r>
            <w:r>
              <w:rPr>
                <w:noProof/>
                <w:webHidden/>
              </w:rPr>
              <w:fldChar w:fldCharType="begin"/>
            </w:r>
            <w:r>
              <w:rPr>
                <w:noProof/>
                <w:webHidden/>
              </w:rPr>
              <w:instrText xml:space="preserve"> PAGEREF _Toc212406356 \h </w:instrText>
            </w:r>
            <w:r>
              <w:rPr>
                <w:noProof/>
                <w:webHidden/>
              </w:rPr>
            </w:r>
            <w:r>
              <w:rPr>
                <w:noProof/>
                <w:webHidden/>
              </w:rPr>
              <w:fldChar w:fldCharType="separate"/>
            </w:r>
            <w:r>
              <w:rPr>
                <w:noProof/>
                <w:webHidden/>
              </w:rPr>
              <w:t>42</w:t>
            </w:r>
            <w:r>
              <w:rPr>
                <w:noProof/>
                <w:webHidden/>
              </w:rPr>
              <w:fldChar w:fldCharType="end"/>
            </w:r>
          </w:hyperlink>
        </w:p>
        <w:p w14:paraId="2BCE377F" w14:textId="0382615B" w:rsidR="00000161" w:rsidRDefault="00000161" w:rsidP="00052882">
          <w:pPr>
            <w:pStyle w:val="TDC3"/>
            <w:tabs>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57" w:history="1">
            <w:r w:rsidRPr="00285508">
              <w:rPr>
                <w:rStyle w:val="Hipervnculo"/>
                <w:noProof/>
              </w:rPr>
              <w:t>2.3.3.1 Teoría del Valor en la Gestión de Proyectos</w:t>
            </w:r>
            <w:r>
              <w:rPr>
                <w:noProof/>
                <w:webHidden/>
              </w:rPr>
              <w:tab/>
            </w:r>
            <w:r>
              <w:rPr>
                <w:noProof/>
                <w:webHidden/>
              </w:rPr>
              <w:fldChar w:fldCharType="begin"/>
            </w:r>
            <w:r>
              <w:rPr>
                <w:noProof/>
                <w:webHidden/>
              </w:rPr>
              <w:instrText xml:space="preserve"> PAGEREF _Toc212406357 \h </w:instrText>
            </w:r>
            <w:r>
              <w:rPr>
                <w:noProof/>
                <w:webHidden/>
              </w:rPr>
            </w:r>
            <w:r>
              <w:rPr>
                <w:noProof/>
                <w:webHidden/>
              </w:rPr>
              <w:fldChar w:fldCharType="separate"/>
            </w:r>
            <w:r>
              <w:rPr>
                <w:noProof/>
                <w:webHidden/>
              </w:rPr>
              <w:t>42</w:t>
            </w:r>
            <w:r>
              <w:rPr>
                <w:noProof/>
                <w:webHidden/>
              </w:rPr>
              <w:fldChar w:fldCharType="end"/>
            </w:r>
          </w:hyperlink>
        </w:p>
        <w:p w14:paraId="2133DFFA" w14:textId="4077292A" w:rsidR="00000161" w:rsidRDefault="00000161" w:rsidP="00052882">
          <w:pPr>
            <w:pStyle w:val="TDC3"/>
            <w:tabs>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58" w:history="1">
            <w:r w:rsidRPr="00285508">
              <w:rPr>
                <w:rStyle w:val="Hipervnculo"/>
                <w:noProof/>
              </w:rPr>
              <w:t>2.3.3.2 Teoría de la Complejidad Organizacional en Proyectos Integrados</w:t>
            </w:r>
            <w:r>
              <w:rPr>
                <w:noProof/>
                <w:webHidden/>
              </w:rPr>
              <w:tab/>
            </w:r>
            <w:r>
              <w:rPr>
                <w:noProof/>
                <w:webHidden/>
              </w:rPr>
              <w:fldChar w:fldCharType="begin"/>
            </w:r>
            <w:r>
              <w:rPr>
                <w:noProof/>
                <w:webHidden/>
              </w:rPr>
              <w:instrText xml:space="preserve"> PAGEREF _Toc212406358 \h </w:instrText>
            </w:r>
            <w:r>
              <w:rPr>
                <w:noProof/>
                <w:webHidden/>
              </w:rPr>
            </w:r>
            <w:r>
              <w:rPr>
                <w:noProof/>
                <w:webHidden/>
              </w:rPr>
              <w:fldChar w:fldCharType="separate"/>
            </w:r>
            <w:r>
              <w:rPr>
                <w:noProof/>
                <w:webHidden/>
              </w:rPr>
              <w:t>44</w:t>
            </w:r>
            <w:r>
              <w:rPr>
                <w:noProof/>
                <w:webHidden/>
              </w:rPr>
              <w:fldChar w:fldCharType="end"/>
            </w:r>
          </w:hyperlink>
        </w:p>
        <w:p w14:paraId="5E242F51" w14:textId="745789C5" w:rsidR="00000161" w:rsidRDefault="00000161" w:rsidP="00052882">
          <w:pPr>
            <w:pStyle w:val="TDC3"/>
            <w:tabs>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59" w:history="1">
            <w:r w:rsidRPr="00285508">
              <w:rPr>
                <w:rStyle w:val="Hipervnculo"/>
                <w:noProof/>
              </w:rPr>
              <w:t>2.3.3.3 Teoría de la Gestión por Procesos (Business Process Management)</w:t>
            </w:r>
            <w:r>
              <w:rPr>
                <w:noProof/>
                <w:webHidden/>
              </w:rPr>
              <w:tab/>
            </w:r>
            <w:r>
              <w:rPr>
                <w:noProof/>
                <w:webHidden/>
              </w:rPr>
              <w:fldChar w:fldCharType="begin"/>
            </w:r>
            <w:r>
              <w:rPr>
                <w:noProof/>
                <w:webHidden/>
              </w:rPr>
              <w:instrText xml:space="preserve"> PAGEREF _Toc212406359 \h </w:instrText>
            </w:r>
            <w:r>
              <w:rPr>
                <w:noProof/>
                <w:webHidden/>
              </w:rPr>
            </w:r>
            <w:r>
              <w:rPr>
                <w:noProof/>
                <w:webHidden/>
              </w:rPr>
              <w:fldChar w:fldCharType="separate"/>
            </w:r>
            <w:r>
              <w:rPr>
                <w:noProof/>
                <w:webHidden/>
              </w:rPr>
              <w:t>46</w:t>
            </w:r>
            <w:r>
              <w:rPr>
                <w:noProof/>
                <w:webHidden/>
              </w:rPr>
              <w:fldChar w:fldCharType="end"/>
            </w:r>
          </w:hyperlink>
        </w:p>
        <w:p w14:paraId="2D382ACA" w14:textId="79DB3211" w:rsidR="00000161" w:rsidRDefault="00000161" w:rsidP="00052882">
          <w:pPr>
            <w:pStyle w:val="TDC1"/>
            <w:spacing w:line="240" w:lineRule="auto"/>
            <w:rPr>
              <w:rFonts w:asciiTheme="minorHAnsi" w:eastAsiaTheme="minorEastAsia" w:hAnsiTheme="minorHAnsi" w:cstheme="minorBidi"/>
              <w:bCs w:val="0"/>
              <w:caps w:val="0"/>
              <w:noProof/>
              <w:kern w:val="2"/>
              <w:sz w:val="24"/>
              <w:lang w:val="es-CR" w:eastAsia="es-CR"/>
              <w14:ligatures w14:val="standardContextual"/>
            </w:rPr>
          </w:pPr>
          <w:hyperlink w:anchor="_Toc212406360" w:history="1">
            <w:r w:rsidRPr="00285508">
              <w:rPr>
                <w:rStyle w:val="Hipervnculo"/>
                <w:noProof/>
              </w:rPr>
              <w:t>3.</w:t>
            </w:r>
            <w:r>
              <w:rPr>
                <w:rFonts w:asciiTheme="minorHAnsi" w:eastAsiaTheme="minorEastAsia" w:hAnsiTheme="minorHAnsi" w:cstheme="minorBidi"/>
                <w:bCs w:val="0"/>
                <w:caps w:val="0"/>
                <w:noProof/>
                <w:kern w:val="2"/>
                <w:sz w:val="24"/>
                <w:lang w:val="es-CR" w:eastAsia="es-CR"/>
                <w14:ligatures w14:val="standardContextual"/>
              </w:rPr>
              <w:tab/>
            </w:r>
            <w:r w:rsidRPr="00285508">
              <w:rPr>
                <w:rStyle w:val="Hipervnculo"/>
                <w:noProof/>
              </w:rPr>
              <w:t>Marco Metodológico</w:t>
            </w:r>
            <w:r>
              <w:rPr>
                <w:noProof/>
                <w:webHidden/>
              </w:rPr>
              <w:tab/>
            </w:r>
            <w:r>
              <w:rPr>
                <w:noProof/>
                <w:webHidden/>
              </w:rPr>
              <w:fldChar w:fldCharType="begin"/>
            </w:r>
            <w:r>
              <w:rPr>
                <w:noProof/>
                <w:webHidden/>
              </w:rPr>
              <w:instrText xml:space="preserve"> PAGEREF _Toc212406360 \h </w:instrText>
            </w:r>
            <w:r>
              <w:rPr>
                <w:noProof/>
                <w:webHidden/>
              </w:rPr>
            </w:r>
            <w:r>
              <w:rPr>
                <w:noProof/>
                <w:webHidden/>
              </w:rPr>
              <w:fldChar w:fldCharType="separate"/>
            </w:r>
            <w:r>
              <w:rPr>
                <w:noProof/>
                <w:webHidden/>
              </w:rPr>
              <w:t>48</w:t>
            </w:r>
            <w:r>
              <w:rPr>
                <w:noProof/>
                <w:webHidden/>
              </w:rPr>
              <w:fldChar w:fldCharType="end"/>
            </w:r>
          </w:hyperlink>
        </w:p>
        <w:p w14:paraId="5ECE6498" w14:textId="0E708ED9" w:rsidR="00000161" w:rsidRDefault="00000161" w:rsidP="00052882">
          <w:pPr>
            <w:pStyle w:val="TDC2"/>
            <w:tabs>
              <w:tab w:val="right" w:leader="dot" w:pos="8829"/>
            </w:tabs>
            <w:spacing w:line="240" w:lineRule="auto"/>
            <w:rPr>
              <w:rFonts w:asciiTheme="minorHAnsi" w:eastAsiaTheme="minorEastAsia" w:hAnsiTheme="minorHAnsi" w:cstheme="minorBidi"/>
              <w:bCs w:val="0"/>
              <w:noProof/>
              <w:kern w:val="2"/>
              <w:sz w:val="24"/>
              <w:szCs w:val="24"/>
              <w:lang w:val="es-CR" w:eastAsia="es-CR"/>
              <w14:ligatures w14:val="standardContextual"/>
            </w:rPr>
          </w:pPr>
          <w:hyperlink w:anchor="_Toc212406361" w:history="1">
            <w:r w:rsidRPr="00285508">
              <w:rPr>
                <w:rStyle w:val="Hipervnculo"/>
                <w:noProof/>
              </w:rPr>
              <w:t>3.1 Fuentes de información</w:t>
            </w:r>
            <w:r>
              <w:rPr>
                <w:noProof/>
                <w:webHidden/>
              </w:rPr>
              <w:tab/>
            </w:r>
            <w:r>
              <w:rPr>
                <w:noProof/>
                <w:webHidden/>
              </w:rPr>
              <w:fldChar w:fldCharType="begin"/>
            </w:r>
            <w:r>
              <w:rPr>
                <w:noProof/>
                <w:webHidden/>
              </w:rPr>
              <w:instrText xml:space="preserve"> PAGEREF _Toc212406361 \h </w:instrText>
            </w:r>
            <w:r>
              <w:rPr>
                <w:noProof/>
                <w:webHidden/>
              </w:rPr>
            </w:r>
            <w:r>
              <w:rPr>
                <w:noProof/>
                <w:webHidden/>
              </w:rPr>
              <w:fldChar w:fldCharType="separate"/>
            </w:r>
            <w:r>
              <w:rPr>
                <w:noProof/>
                <w:webHidden/>
              </w:rPr>
              <w:t>49</w:t>
            </w:r>
            <w:r>
              <w:rPr>
                <w:noProof/>
                <w:webHidden/>
              </w:rPr>
              <w:fldChar w:fldCharType="end"/>
            </w:r>
          </w:hyperlink>
        </w:p>
        <w:p w14:paraId="2EF5F390" w14:textId="1145274C" w:rsidR="00000161" w:rsidRDefault="00000161" w:rsidP="00052882">
          <w:pPr>
            <w:pStyle w:val="TDC3"/>
            <w:tabs>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62" w:history="1">
            <w:r w:rsidRPr="00285508">
              <w:rPr>
                <w:rStyle w:val="Hipervnculo"/>
                <w:noProof/>
              </w:rPr>
              <w:t>3.1.1 Fuentes primarias</w:t>
            </w:r>
            <w:r>
              <w:rPr>
                <w:noProof/>
                <w:webHidden/>
              </w:rPr>
              <w:tab/>
            </w:r>
            <w:r>
              <w:rPr>
                <w:noProof/>
                <w:webHidden/>
              </w:rPr>
              <w:fldChar w:fldCharType="begin"/>
            </w:r>
            <w:r>
              <w:rPr>
                <w:noProof/>
                <w:webHidden/>
              </w:rPr>
              <w:instrText xml:space="preserve"> PAGEREF _Toc212406362 \h </w:instrText>
            </w:r>
            <w:r>
              <w:rPr>
                <w:noProof/>
                <w:webHidden/>
              </w:rPr>
            </w:r>
            <w:r>
              <w:rPr>
                <w:noProof/>
                <w:webHidden/>
              </w:rPr>
              <w:fldChar w:fldCharType="separate"/>
            </w:r>
            <w:r>
              <w:rPr>
                <w:noProof/>
                <w:webHidden/>
              </w:rPr>
              <w:t>49</w:t>
            </w:r>
            <w:r>
              <w:rPr>
                <w:noProof/>
                <w:webHidden/>
              </w:rPr>
              <w:fldChar w:fldCharType="end"/>
            </w:r>
          </w:hyperlink>
        </w:p>
        <w:p w14:paraId="2C8D94B6" w14:textId="3E9E5D27" w:rsidR="00000161" w:rsidRDefault="00000161" w:rsidP="00052882">
          <w:pPr>
            <w:pStyle w:val="TDC3"/>
            <w:tabs>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63" w:history="1">
            <w:r w:rsidRPr="00285508">
              <w:rPr>
                <w:rStyle w:val="Hipervnculo"/>
                <w:noProof/>
              </w:rPr>
              <w:t>3.1.2 Fuentes secundarias</w:t>
            </w:r>
            <w:r>
              <w:rPr>
                <w:noProof/>
                <w:webHidden/>
              </w:rPr>
              <w:tab/>
            </w:r>
            <w:r>
              <w:rPr>
                <w:noProof/>
                <w:webHidden/>
              </w:rPr>
              <w:fldChar w:fldCharType="begin"/>
            </w:r>
            <w:r>
              <w:rPr>
                <w:noProof/>
                <w:webHidden/>
              </w:rPr>
              <w:instrText xml:space="preserve"> PAGEREF _Toc212406363 \h </w:instrText>
            </w:r>
            <w:r>
              <w:rPr>
                <w:noProof/>
                <w:webHidden/>
              </w:rPr>
            </w:r>
            <w:r>
              <w:rPr>
                <w:noProof/>
                <w:webHidden/>
              </w:rPr>
              <w:fldChar w:fldCharType="separate"/>
            </w:r>
            <w:r>
              <w:rPr>
                <w:noProof/>
                <w:webHidden/>
              </w:rPr>
              <w:t>50</w:t>
            </w:r>
            <w:r>
              <w:rPr>
                <w:noProof/>
                <w:webHidden/>
              </w:rPr>
              <w:fldChar w:fldCharType="end"/>
            </w:r>
          </w:hyperlink>
        </w:p>
        <w:p w14:paraId="4E8EC2D6" w14:textId="2F12EF99" w:rsidR="00000161" w:rsidRDefault="00000161" w:rsidP="00052882">
          <w:pPr>
            <w:pStyle w:val="TDC2"/>
            <w:tabs>
              <w:tab w:val="right" w:leader="dot" w:pos="8829"/>
            </w:tabs>
            <w:spacing w:line="240" w:lineRule="auto"/>
            <w:rPr>
              <w:rFonts w:asciiTheme="minorHAnsi" w:eastAsiaTheme="minorEastAsia" w:hAnsiTheme="minorHAnsi" w:cstheme="minorBidi"/>
              <w:bCs w:val="0"/>
              <w:noProof/>
              <w:kern w:val="2"/>
              <w:sz w:val="24"/>
              <w:szCs w:val="24"/>
              <w:lang w:val="es-CR" w:eastAsia="es-CR"/>
              <w14:ligatures w14:val="standardContextual"/>
            </w:rPr>
          </w:pPr>
          <w:hyperlink w:anchor="_Toc212406364" w:history="1">
            <w:r w:rsidRPr="00285508">
              <w:rPr>
                <w:rStyle w:val="Hipervnculo"/>
                <w:noProof/>
              </w:rPr>
              <w:t>3.2 Métodos de Investigación</w:t>
            </w:r>
            <w:r>
              <w:rPr>
                <w:noProof/>
                <w:webHidden/>
              </w:rPr>
              <w:tab/>
            </w:r>
            <w:r>
              <w:rPr>
                <w:noProof/>
                <w:webHidden/>
              </w:rPr>
              <w:fldChar w:fldCharType="begin"/>
            </w:r>
            <w:r>
              <w:rPr>
                <w:noProof/>
                <w:webHidden/>
              </w:rPr>
              <w:instrText xml:space="preserve"> PAGEREF _Toc212406364 \h </w:instrText>
            </w:r>
            <w:r>
              <w:rPr>
                <w:noProof/>
                <w:webHidden/>
              </w:rPr>
            </w:r>
            <w:r>
              <w:rPr>
                <w:noProof/>
                <w:webHidden/>
              </w:rPr>
              <w:fldChar w:fldCharType="separate"/>
            </w:r>
            <w:r>
              <w:rPr>
                <w:noProof/>
                <w:webHidden/>
              </w:rPr>
              <w:t>53</w:t>
            </w:r>
            <w:r>
              <w:rPr>
                <w:noProof/>
                <w:webHidden/>
              </w:rPr>
              <w:fldChar w:fldCharType="end"/>
            </w:r>
          </w:hyperlink>
        </w:p>
        <w:p w14:paraId="55D578D6" w14:textId="06E5DF32" w:rsidR="00000161" w:rsidRDefault="00000161" w:rsidP="00052882">
          <w:pPr>
            <w:pStyle w:val="TDC3"/>
            <w:tabs>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65" w:history="1">
            <w:r w:rsidRPr="00285508">
              <w:rPr>
                <w:rStyle w:val="Hipervnculo"/>
                <w:noProof/>
                <w:lang w:val="es-CR" w:eastAsia="es-CR"/>
              </w:rPr>
              <w:t>3.2.1 Método analítico-sintético aplicado a la descomposición y rediseño de procesos</w:t>
            </w:r>
            <w:r>
              <w:rPr>
                <w:noProof/>
                <w:webHidden/>
              </w:rPr>
              <w:tab/>
            </w:r>
            <w:r>
              <w:rPr>
                <w:noProof/>
                <w:webHidden/>
              </w:rPr>
              <w:fldChar w:fldCharType="begin"/>
            </w:r>
            <w:r>
              <w:rPr>
                <w:noProof/>
                <w:webHidden/>
              </w:rPr>
              <w:instrText xml:space="preserve"> PAGEREF _Toc212406365 \h </w:instrText>
            </w:r>
            <w:r>
              <w:rPr>
                <w:noProof/>
                <w:webHidden/>
              </w:rPr>
            </w:r>
            <w:r>
              <w:rPr>
                <w:noProof/>
                <w:webHidden/>
              </w:rPr>
              <w:fldChar w:fldCharType="separate"/>
            </w:r>
            <w:r>
              <w:rPr>
                <w:noProof/>
                <w:webHidden/>
              </w:rPr>
              <w:t>54</w:t>
            </w:r>
            <w:r>
              <w:rPr>
                <w:noProof/>
                <w:webHidden/>
              </w:rPr>
              <w:fldChar w:fldCharType="end"/>
            </w:r>
          </w:hyperlink>
        </w:p>
        <w:p w14:paraId="79899590" w14:textId="72FCDC72" w:rsidR="00000161" w:rsidRDefault="00000161" w:rsidP="00052882">
          <w:pPr>
            <w:pStyle w:val="TDC3"/>
            <w:tabs>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66" w:history="1">
            <w:r w:rsidRPr="00285508">
              <w:rPr>
                <w:rStyle w:val="Hipervnculo"/>
                <w:noProof/>
                <w:lang w:val="es-CR"/>
              </w:rPr>
              <w:t>3.2.2 M</w:t>
            </w:r>
            <w:r w:rsidRPr="00285508">
              <w:rPr>
                <w:rStyle w:val="Hipervnculo"/>
                <w:noProof/>
              </w:rPr>
              <w:t>étodo deductivo aplicado a la validación de mejoras según marcos teóricos</w:t>
            </w:r>
            <w:r>
              <w:rPr>
                <w:noProof/>
                <w:webHidden/>
              </w:rPr>
              <w:tab/>
            </w:r>
            <w:r>
              <w:rPr>
                <w:noProof/>
                <w:webHidden/>
              </w:rPr>
              <w:fldChar w:fldCharType="begin"/>
            </w:r>
            <w:r>
              <w:rPr>
                <w:noProof/>
                <w:webHidden/>
              </w:rPr>
              <w:instrText xml:space="preserve"> PAGEREF _Toc212406366 \h </w:instrText>
            </w:r>
            <w:r>
              <w:rPr>
                <w:noProof/>
                <w:webHidden/>
              </w:rPr>
            </w:r>
            <w:r>
              <w:rPr>
                <w:noProof/>
                <w:webHidden/>
              </w:rPr>
              <w:fldChar w:fldCharType="separate"/>
            </w:r>
            <w:r>
              <w:rPr>
                <w:noProof/>
                <w:webHidden/>
              </w:rPr>
              <w:t>55</w:t>
            </w:r>
            <w:r>
              <w:rPr>
                <w:noProof/>
                <w:webHidden/>
              </w:rPr>
              <w:fldChar w:fldCharType="end"/>
            </w:r>
          </w:hyperlink>
        </w:p>
        <w:p w14:paraId="2E3B9DC4" w14:textId="036D66E2" w:rsidR="00000161" w:rsidRDefault="00000161" w:rsidP="00052882">
          <w:pPr>
            <w:pStyle w:val="TDC3"/>
            <w:tabs>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67" w:history="1">
            <w:r w:rsidRPr="00285508">
              <w:rPr>
                <w:rStyle w:val="Hipervnculo"/>
                <w:noProof/>
                <w:lang w:val="es-CR"/>
              </w:rPr>
              <w:t>3.2.3 Método comparativo para la evaluación de procesos y propuestas</w:t>
            </w:r>
            <w:r>
              <w:rPr>
                <w:noProof/>
                <w:webHidden/>
              </w:rPr>
              <w:tab/>
            </w:r>
            <w:r>
              <w:rPr>
                <w:noProof/>
                <w:webHidden/>
              </w:rPr>
              <w:fldChar w:fldCharType="begin"/>
            </w:r>
            <w:r>
              <w:rPr>
                <w:noProof/>
                <w:webHidden/>
              </w:rPr>
              <w:instrText xml:space="preserve"> PAGEREF _Toc212406367 \h </w:instrText>
            </w:r>
            <w:r>
              <w:rPr>
                <w:noProof/>
                <w:webHidden/>
              </w:rPr>
            </w:r>
            <w:r>
              <w:rPr>
                <w:noProof/>
                <w:webHidden/>
              </w:rPr>
              <w:fldChar w:fldCharType="separate"/>
            </w:r>
            <w:r>
              <w:rPr>
                <w:noProof/>
                <w:webHidden/>
              </w:rPr>
              <w:t>56</w:t>
            </w:r>
            <w:r>
              <w:rPr>
                <w:noProof/>
                <w:webHidden/>
              </w:rPr>
              <w:fldChar w:fldCharType="end"/>
            </w:r>
          </w:hyperlink>
        </w:p>
        <w:p w14:paraId="402023C5" w14:textId="71290091" w:rsidR="00000161" w:rsidRDefault="00000161" w:rsidP="00052882">
          <w:pPr>
            <w:pStyle w:val="TDC2"/>
            <w:tabs>
              <w:tab w:val="right" w:leader="dot" w:pos="8829"/>
            </w:tabs>
            <w:spacing w:line="240" w:lineRule="auto"/>
            <w:rPr>
              <w:rFonts w:asciiTheme="minorHAnsi" w:eastAsiaTheme="minorEastAsia" w:hAnsiTheme="minorHAnsi" w:cstheme="minorBidi"/>
              <w:bCs w:val="0"/>
              <w:noProof/>
              <w:kern w:val="2"/>
              <w:sz w:val="24"/>
              <w:szCs w:val="24"/>
              <w:lang w:val="es-CR" w:eastAsia="es-CR"/>
              <w14:ligatures w14:val="standardContextual"/>
            </w:rPr>
          </w:pPr>
          <w:hyperlink w:anchor="_Toc212406368" w:history="1">
            <w:r w:rsidRPr="00285508">
              <w:rPr>
                <w:rStyle w:val="Hipervnculo"/>
                <w:noProof/>
              </w:rPr>
              <w:t>3.3 Herramientas</w:t>
            </w:r>
            <w:r>
              <w:rPr>
                <w:noProof/>
                <w:webHidden/>
              </w:rPr>
              <w:tab/>
            </w:r>
            <w:r>
              <w:rPr>
                <w:noProof/>
                <w:webHidden/>
              </w:rPr>
              <w:fldChar w:fldCharType="begin"/>
            </w:r>
            <w:r>
              <w:rPr>
                <w:noProof/>
                <w:webHidden/>
              </w:rPr>
              <w:instrText xml:space="preserve"> PAGEREF _Toc212406368 \h </w:instrText>
            </w:r>
            <w:r>
              <w:rPr>
                <w:noProof/>
                <w:webHidden/>
              </w:rPr>
            </w:r>
            <w:r>
              <w:rPr>
                <w:noProof/>
                <w:webHidden/>
              </w:rPr>
              <w:fldChar w:fldCharType="separate"/>
            </w:r>
            <w:r>
              <w:rPr>
                <w:noProof/>
                <w:webHidden/>
              </w:rPr>
              <w:t>59</w:t>
            </w:r>
            <w:r>
              <w:rPr>
                <w:noProof/>
                <w:webHidden/>
              </w:rPr>
              <w:fldChar w:fldCharType="end"/>
            </w:r>
          </w:hyperlink>
        </w:p>
        <w:p w14:paraId="2C0925EB" w14:textId="3CB2FA3F" w:rsidR="00000161" w:rsidRDefault="00000161" w:rsidP="00052882">
          <w:pPr>
            <w:pStyle w:val="TDC2"/>
            <w:tabs>
              <w:tab w:val="right" w:leader="dot" w:pos="8829"/>
            </w:tabs>
            <w:spacing w:line="240" w:lineRule="auto"/>
            <w:rPr>
              <w:rFonts w:asciiTheme="minorHAnsi" w:eastAsiaTheme="minorEastAsia" w:hAnsiTheme="minorHAnsi" w:cstheme="minorBidi"/>
              <w:bCs w:val="0"/>
              <w:noProof/>
              <w:kern w:val="2"/>
              <w:sz w:val="24"/>
              <w:szCs w:val="24"/>
              <w:lang w:val="es-CR" w:eastAsia="es-CR"/>
              <w14:ligatures w14:val="standardContextual"/>
            </w:rPr>
          </w:pPr>
          <w:hyperlink w:anchor="_Toc212406369" w:history="1">
            <w:r w:rsidRPr="00285508">
              <w:rPr>
                <w:rStyle w:val="Hipervnculo"/>
                <w:noProof/>
              </w:rPr>
              <w:t>3.4 Supuestos y restricciones</w:t>
            </w:r>
            <w:r>
              <w:rPr>
                <w:noProof/>
                <w:webHidden/>
              </w:rPr>
              <w:tab/>
            </w:r>
            <w:r>
              <w:rPr>
                <w:noProof/>
                <w:webHidden/>
              </w:rPr>
              <w:fldChar w:fldCharType="begin"/>
            </w:r>
            <w:r>
              <w:rPr>
                <w:noProof/>
                <w:webHidden/>
              </w:rPr>
              <w:instrText xml:space="preserve"> PAGEREF _Toc212406369 \h </w:instrText>
            </w:r>
            <w:r>
              <w:rPr>
                <w:noProof/>
                <w:webHidden/>
              </w:rPr>
            </w:r>
            <w:r>
              <w:rPr>
                <w:noProof/>
                <w:webHidden/>
              </w:rPr>
              <w:fldChar w:fldCharType="separate"/>
            </w:r>
            <w:r>
              <w:rPr>
                <w:noProof/>
                <w:webHidden/>
              </w:rPr>
              <w:t>63</w:t>
            </w:r>
            <w:r>
              <w:rPr>
                <w:noProof/>
                <w:webHidden/>
              </w:rPr>
              <w:fldChar w:fldCharType="end"/>
            </w:r>
          </w:hyperlink>
        </w:p>
        <w:p w14:paraId="76006AAE" w14:textId="12757BD3" w:rsidR="00000161" w:rsidRDefault="00000161" w:rsidP="00052882">
          <w:pPr>
            <w:pStyle w:val="TDC2"/>
            <w:tabs>
              <w:tab w:val="right" w:leader="dot" w:pos="8829"/>
            </w:tabs>
            <w:spacing w:line="240" w:lineRule="auto"/>
            <w:rPr>
              <w:rFonts w:asciiTheme="minorHAnsi" w:eastAsiaTheme="minorEastAsia" w:hAnsiTheme="minorHAnsi" w:cstheme="minorBidi"/>
              <w:bCs w:val="0"/>
              <w:noProof/>
              <w:kern w:val="2"/>
              <w:sz w:val="24"/>
              <w:szCs w:val="24"/>
              <w:lang w:val="es-CR" w:eastAsia="es-CR"/>
              <w14:ligatures w14:val="standardContextual"/>
            </w:rPr>
          </w:pPr>
          <w:hyperlink w:anchor="_Toc212406370" w:history="1">
            <w:r w:rsidRPr="00285508">
              <w:rPr>
                <w:rStyle w:val="Hipervnculo"/>
                <w:noProof/>
              </w:rPr>
              <w:t>3.5 Entregables</w:t>
            </w:r>
            <w:r>
              <w:rPr>
                <w:noProof/>
                <w:webHidden/>
              </w:rPr>
              <w:tab/>
            </w:r>
            <w:r>
              <w:rPr>
                <w:noProof/>
                <w:webHidden/>
              </w:rPr>
              <w:fldChar w:fldCharType="begin"/>
            </w:r>
            <w:r>
              <w:rPr>
                <w:noProof/>
                <w:webHidden/>
              </w:rPr>
              <w:instrText xml:space="preserve"> PAGEREF _Toc212406370 \h </w:instrText>
            </w:r>
            <w:r>
              <w:rPr>
                <w:noProof/>
                <w:webHidden/>
              </w:rPr>
            </w:r>
            <w:r>
              <w:rPr>
                <w:noProof/>
                <w:webHidden/>
              </w:rPr>
              <w:fldChar w:fldCharType="separate"/>
            </w:r>
            <w:r>
              <w:rPr>
                <w:noProof/>
                <w:webHidden/>
              </w:rPr>
              <w:t>66</w:t>
            </w:r>
            <w:r>
              <w:rPr>
                <w:noProof/>
                <w:webHidden/>
              </w:rPr>
              <w:fldChar w:fldCharType="end"/>
            </w:r>
          </w:hyperlink>
        </w:p>
        <w:p w14:paraId="09098BE7" w14:textId="0C478D78" w:rsidR="00000161" w:rsidRDefault="00000161" w:rsidP="00052882">
          <w:pPr>
            <w:pStyle w:val="TDC1"/>
            <w:spacing w:line="240" w:lineRule="auto"/>
            <w:rPr>
              <w:rFonts w:asciiTheme="minorHAnsi" w:eastAsiaTheme="minorEastAsia" w:hAnsiTheme="minorHAnsi" w:cstheme="minorBidi"/>
              <w:bCs w:val="0"/>
              <w:caps w:val="0"/>
              <w:noProof/>
              <w:kern w:val="2"/>
              <w:sz w:val="24"/>
              <w:lang w:val="es-CR" w:eastAsia="es-CR"/>
              <w14:ligatures w14:val="standardContextual"/>
            </w:rPr>
          </w:pPr>
          <w:hyperlink w:anchor="_Toc212406371" w:history="1">
            <w:r w:rsidRPr="00285508">
              <w:rPr>
                <w:rStyle w:val="Hipervnculo"/>
                <w:noProof/>
              </w:rPr>
              <w:t>4.</w:t>
            </w:r>
            <w:r>
              <w:rPr>
                <w:rFonts w:asciiTheme="minorHAnsi" w:eastAsiaTheme="minorEastAsia" w:hAnsiTheme="minorHAnsi" w:cstheme="minorBidi"/>
                <w:bCs w:val="0"/>
                <w:caps w:val="0"/>
                <w:noProof/>
                <w:kern w:val="2"/>
                <w:sz w:val="24"/>
                <w:lang w:val="es-CR" w:eastAsia="es-CR"/>
                <w14:ligatures w14:val="standardContextual"/>
              </w:rPr>
              <w:tab/>
            </w:r>
            <w:r w:rsidRPr="00285508">
              <w:rPr>
                <w:rStyle w:val="Hipervnculo"/>
                <w:noProof/>
              </w:rPr>
              <w:t>Desarrollo</w:t>
            </w:r>
            <w:r>
              <w:rPr>
                <w:noProof/>
                <w:webHidden/>
              </w:rPr>
              <w:tab/>
            </w:r>
            <w:r>
              <w:rPr>
                <w:noProof/>
                <w:webHidden/>
              </w:rPr>
              <w:fldChar w:fldCharType="begin"/>
            </w:r>
            <w:r>
              <w:rPr>
                <w:noProof/>
                <w:webHidden/>
              </w:rPr>
              <w:instrText xml:space="preserve"> PAGEREF _Toc212406371 \h </w:instrText>
            </w:r>
            <w:r>
              <w:rPr>
                <w:noProof/>
                <w:webHidden/>
              </w:rPr>
            </w:r>
            <w:r>
              <w:rPr>
                <w:noProof/>
                <w:webHidden/>
              </w:rPr>
              <w:fldChar w:fldCharType="separate"/>
            </w:r>
            <w:r>
              <w:rPr>
                <w:noProof/>
                <w:webHidden/>
              </w:rPr>
              <w:t>68</w:t>
            </w:r>
            <w:r>
              <w:rPr>
                <w:noProof/>
                <w:webHidden/>
              </w:rPr>
              <w:fldChar w:fldCharType="end"/>
            </w:r>
          </w:hyperlink>
        </w:p>
        <w:p w14:paraId="4E48C59A" w14:textId="2B4B052C" w:rsidR="00000161" w:rsidRDefault="00000161" w:rsidP="00052882">
          <w:pPr>
            <w:pStyle w:val="TDC2"/>
            <w:tabs>
              <w:tab w:val="right" w:leader="dot" w:pos="8829"/>
            </w:tabs>
            <w:spacing w:line="240" w:lineRule="auto"/>
            <w:rPr>
              <w:rFonts w:asciiTheme="minorHAnsi" w:eastAsiaTheme="minorEastAsia" w:hAnsiTheme="minorHAnsi" w:cstheme="minorBidi"/>
              <w:bCs w:val="0"/>
              <w:noProof/>
              <w:kern w:val="2"/>
              <w:sz w:val="24"/>
              <w:szCs w:val="24"/>
              <w:lang w:val="es-CR" w:eastAsia="es-CR"/>
              <w14:ligatures w14:val="standardContextual"/>
            </w:rPr>
          </w:pPr>
          <w:hyperlink w:anchor="_Toc212406372" w:history="1">
            <w:r w:rsidRPr="00285508">
              <w:rPr>
                <w:rStyle w:val="Hipervnculo"/>
                <w:noProof/>
              </w:rPr>
              <w:t>4.1 Analizar el grupo de procesos actual de planificación y control de proyectos “Design &amp; Build” en Contract Workplaces, para identificar las fortalezas, debilidades y oportunidades de mejora.</w:t>
            </w:r>
            <w:r>
              <w:rPr>
                <w:noProof/>
                <w:webHidden/>
              </w:rPr>
              <w:tab/>
            </w:r>
            <w:r>
              <w:rPr>
                <w:noProof/>
                <w:webHidden/>
              </w:rPr>
              <w:fldChar w:fldCharType="begin"/>
            </w:r>
            <w:r>
              <w:rPr>
                <w:noProof/>
                <w:webHidden/>
              </w:rPr>
              <w:instrText xml:space="preserve"> PAGEREF _Toc212406372 \h </w:instrText>
            </w:r>
            <w:r>
              <w:rPr>
                <w:noProof/>
                <w:webHidden/>
              </w:rPr>
            </w:r>
            <w:r>
              <w:rPr>
                <w:noProof/>
                <w:webHidden/>
              </w:rPr>
              <w:fldChar w:fldCharType="separate"/>
            </w:r>
            <w:r>
              <w:rPr>
                <w:noProof/>
                <w:webHidden/>
              </w:rPr>
              <w:t>68</w:t>
            </w:r>
            <w:r>
              <w:rPr>
                <w:noProof/>
                <w:webHidden/>
              </w:rPr>
              <w:fldChar w:fldCharType="end"/>
            </w:r>
          </w:hyperlink>
        </w:p>
        <w:p w14:paraId="58D196FC" w14:textId="6DFF5CD1" w:rsidR="00000161" w:rsidRDefault="00000161" w:rsidP="00052882">
          <w:pPr>
            <w:pStyle w:val="TDC3"/>
            <w:tabs>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73" w:history="1">
            <w:r w:rsidRPr="00285508">
              <w:rPr>
                <w:rStyle w:val="Hipervnculo"/>
                <w:noProof/>
              </w:rPr>
              <w:t>4.1.2 Mapa de flujo actual de planificación, diseño y ejecución</w:t>
            </w:r>
            <w:r>
              <w:rPr>
                <w:noProof/>
                <w:webHidden/>
              </w:rPr>
              <w:tab/>
            </w:r>
            <w:r>
              <w:rPr>
                <w:noProof/>
                <w:webHidden/>
              </w:rPr>
              <w:fldChar w:fldCharType="begin"/>
            </w:r>
            <w:r>
              <w:rPr>
                <w:noProof/>
                <w:webHidden/>
              </w:rPr>
              <w:instrText xml:space="preserve"> PAGEREF _Toc212406373 \h </w:instrText>
            </w:r>
            <w:r>
              <w:rPr>
                <w:noProof/>
                <w:webHidden/>
              </w:rPr>
            </w:r>
            <w:r>
              <w:rPr>
                <w:noProof/>
                <w:webHidden/>
              </w:rPr>
              <w:fldChar w:fldCharType="separate"/>
            </w:r>
            <w:r>
              <w:rPr>
                <w:noProof/>
                <w:webHidden/>
              </w:rPr>
              <w:t>73</w:t>
            </w:r>
            <w:r>
              <w:rPr>
                <w:noProof/>
                <w:webHidden/>
              </w:rPr>
              <w:fldChar w:fldCharType="end"/>
            </w:r>
          </w:hyperlink>
        </w:p>
        <w:p w14:paraId="7B9A2CEA" w14:textId="130874AD" w:rsidR="00000161" w:rsidRDefault="00000161" w:rsidP="00052882">
          <w:pPr>
            <w:pStyle w:val="TDC3"/>
            <w:tabs>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74" w:history="1">
            <w:r w:rsidRPr="00285508">
              <w:rPr>
                <w:rStyle w:val="Hipervnculo"/>
                <w:noProof/>
              </w:rPr>
              <w:t>4.1.3 Identificación de debilidades o fallas de integración</w:t>
            </w:r>
            <w:r>
              <w:rPr>
                <w:noProof/>
                <w:webHidden/>
              </w:rPr>
              <w:tab/>
            </w:r>
            <w:r>
              <w:rPr>
                <w:noProof/>
                <w:webHidden/>
              </w:rPr>
              <w:fldChar w:fldCharType="begin"/>
            </w:r>
            <w:r>
              <w:rPr>
                <w:noProof/>
                <w:webHidden/>
              </w:rPr>
              <w:instrText xml:space="preserve"> PAGEREF _Toc212406374 \h </w:instrText>
            </w:r>
            <w:r>
              <w:rPr>
                <w:noProof/>
                <w:webHidden/>
              </w:rPr>
            </w:r>
            <w:r>
              <w:rPr>
                <w:noProof/>
                <w:webHidden/>
              </w:rPr>
              <w:fldChar w:fldCharType="separate"/>
            </w:r>
            <w:r>
              <w:rPr>
                <w:noProof/>
                <w:webHidden/>
              </w:rPr>
              <w:t>76</w:t>
            </w:r>
            <w:r>
              <w:rPr>
                <w:noProof/>
                <w:webHidden/>
              </w:rPr>
              <w:fldChar w:fldCharType="end"/>
            </w:r>
          </w:hyperlink>
        </w:p>
        <w:p w14:paraId="64BA185F" w14:textId="6E3700AF" w:rsidR="00000161" w:rsidRDefault="00000161" w:rsidP="00052882">
          <w:pPr>
            <w:pStyle w:val="TDC2"/>
            <w:tabs>
              <w:tab w:val="right" w:leader="dot" w:pos="8829"/>
            </w:tabs>
            <w:spacing w:line="240" w:lineRule="auto"/>
            <w:rPr>
              <w:rFonts w:asciiTheme="minorHAnsi" w:eastAsiaTheme="minorEastAsia" w:hAnsiTheme="minorHAnsi" w:cstheme="minorBidi"/>
              <w:bCs w:val="0"/>
              <w:noProof/>
              <w:kern w:val="2"/>
              <w:sz w:val="24"/>
              <w:szCs w:val="24"/>
              <w:lang w:val="es-CR" w:eastAsia="es-CR"/>
              <w14:ligatures w14:val="standardContextual"/>
            </w:rPr>
          </w:pPr>
          <w:hyperlink w:anchor="_Toc212406375" w:history="1">
            <w:r w:rsidRPr="00285508">
              <w:rPr>
                <w:rStyle w:val="Hipervnculo"/>
                <w:noProof/>
              </w:rPr>
              <w:t>4.2 Determinar las necesidades de integración entre diseño y ejecución, para fortalecer la toma de decisiones durante la ejecución del proyecto.</w:t>
            </w:r>
            <w:r>
              <w:rPr>
                <w:noProof/>
                <w:webHidden/>
              </w:rPr>
              <w:tab/>
            </w:r>
            <w:r>
              <w:rPr>
                <w:noProof/>
                <w:webHidden/>
              </w:rPr>
              <w:fldChar w:fldCharType="begin"/>
            </w:r>
            <w:r>
              <w:rPr>
                <w:noProof/>
                <w:webHidden/>
              </w:rPr>
              <w:instrText xml:space="preserve"> PAGEREF _Toc212406375 \h </w:instrText>
            </w:r>
            <w:r>
              <w:rPr>
                <w:noProof/>
                <w:webHidden/>
              </w:rPr>
            </w:r>
            <w:r>
              <w:rPr>
                <w:noProof/>
                <w:webHidden/>
              </w:rPr>
              <w:fldChar w:fldCharType="separate"/>
            </w:r>
            <w:r>
              <w:rPr>
                <w:noProof/>
                <w:webHidden/>
              </w:rPr>
              <w:t>79</w:t>
            </w:r>
            <w:r>
              <w:rPr>
                <w:noProof/>
                <w:webHidden/>
              </w:rPr>
              <w:fldChar w:fldCharType="end"/>
            </w:r>
          </w:hyperlink>
        </w:p>
        <w:p w14:paraId="5245EF05" w14:textId="6F209843" w:rsidR="00000161" w:rsidRDefault="00000161" w:rsidP="00052882">
          <w:pPr>
            <w:pStyle w:val="TDC3"/>
            <w:tabs>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76" w:history="1">
            <w:r w:rsidRPr="00285508">
              <w:rPr>
                <w:rStyle w:val="Hipervnculo"/>
                <w:noProof/>
              </w:rPr>
              <w:t>4.2.1 Análisis de metodologías de gestión de proyectos (PMI, Lean, IPD)</w:t>
            </w:r>
            <w:r>
              <w:rPr>
                <w:noProof/>
                <w:webHidden/>
              </w:rPr>
              <w:tab/>
            </w:r>
            <w:r>
              <w:rPr>
                <w:noProof/>
                <w:webHidden/>
              </w:rPr>
              <w:fldChar w:fldCharType="begin"/>
            </w:r>
            <w:r>
              <w:rPr>
                <w:noProof/>
                <w:webHidden/>
              </w:rPr>
              <w:instrText xml:space="preserve"> PAGEREF _Toc212406376 \h </w:instrText>
            </w:r>
            <w:r>
              <w:rPr>
                <w:noProof/>
                <w:webHidden/>
              </w:rPr>
            </w:r>
            <w:r>
              <w:rPr>
                <w:noProof/>
                <w:webHidden/>
              </w:rPr>
              <w:fldChar w:fldCharType="separate"/>
            </w:r>
            <w:r>
              <w:rPr>
                <w:noProof/>
                <w:webHidden/>
              </w:rPr>
              <w:t>79</w:t>
            </w:r>
            <w:r>
              <w:rPr>
                <w:noProof/>
                <w:webHidden/>
              </w:rPr>
              <w:fldChar w:fldCharType="end"/>
            </w:r>
          </w:hyperlink>
        </w:p>
        <w:p w14:paraId="5FEF6BFB" w14:textId="14111F99" w:rsidR="00000161" w:rsidRDefault="00000161" w:rsidP="00052882">
          <w:pPr>
            <w:pStyle w:val="TDC3"/>
            <w:tabs>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77" w:history="1">
            <w:r w:rsidRPr="00285508">
              <w:rPr>
                <w:rStyle w:val="Hipervnculo"/>
                <w:noProof/>
              </w:rPr>
              <w:t>4.2.2 Cuadro comparativo de herramientas y enfoques</w:t>
            </w:r>
            <w:r>
              <w:rPr>
                <w:noProof/>
                <w:webHidden/>
              </w:rPr>
              <w:tab/>
            </w:r>
            <w:r>
              <w:rPr>
                <w:noProof/>
                <w:webHidden/>
              </w:rPr>
              <w:fldChar w:fldCharType="begin"/>
            </w:r>
            <w:r>
              <w:rPr>
                <w:noProof/>
                <w:webHidden/>
              </w:rPr>
              <w:instrText xml:space="preserve"> PAGEREF _Toc212406377 \h </w:instrText>
            </w:r>
            <w:r>
              <w:rPr>
                <w:noProof/>
                <w:webHidden/>
              </w:rPr>
            </w:r>
            <w:r>
              <w:rPr>
                <w:noProof/>
                <w:webHidden/>
              </w:rPr>
              <w:fldChar w:fldCharType="separate"/>
            </w:r>
            <w:r>
              <w:rPr>
                <w:noProof/>
                <w:webHidden/>
              </w:rPr>
              <w:t>82</w:t>
            </w:r>
            <w:r>
              <w:rPr>
                <w:noProof/>
                <w:webHidden/>
              </w:rPr>
              <w:fldChar w:fldCharType="end"/>
            </w:r>
          </w:hyperlink>
        </w:p>
        <w:p w14:paraId="7F0E5BDD" w14:textId="47C1FF0B" w:rsidR="00000161" w:rsidRDefault="00000161" w:rsidP="00052882">
          <w:pPr>
            <w:pStyle w:val="TDC3"/>
            <w:tabs>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78" w:history="1">
            <w:r w:rsidRPr="00285508">
              <w:rPr>
                <w:rStyle w:val="Hipervnculo"/>
                <w:noProof/>
              </w:rPr>
              <w:t>4.2.3 Casos similares en diseño y construcción de oficinas</w:t>
            </w:r>
            <w:r>
              <w:rPr>
                <w:noProof/>
                <w:webHidden/>
              </w:rPr>
              <w:tab/>
            </w:r>
            <w:r>
              <w:rPr>
                <w:noProof/>
                <w:webHidden/>
              </w:rPr>
              <w:fldChar w:fldCharType="begin"/>
            </w:r>
            <w:r>
              <w:rPr>
                <w:noProof/>
                <w:webHidden/>
              </w:rPr>
              <w:instrText xml:space="preserve"> PAGEREF _Toc212406378 \h </w:instrText>
            </w:r>
            <w:r>
              <w:rPr>
                <w:noProof/>
                <w:webHidden/>
              </w:rPr>
            </w:r>
            <w:r>
              <w:rPr>
                <w:noProof/>
                <w:webHidden/>
              </w:rPr>
              <w:fldChar w:fldCharType="separate"/>
            </w:r>
            <w:r>
              <w:rPr>
                <w:noProof/>
                <w:webHidden/>
              </w:rPr>
              <w:t>84</w:t>
            </w:r>
            <w:r>
              <w:rPr>
                <w:noProof/>
                <w:webHidden/>
              </w:rPr>
              <w:fldChar w:fldCharType="end"/>
            </w:r>
          </w:hyperlink>
        </w:p>
        <w:p w14:paraId="64E72BC3" w14:textId="6789014B" w:rsidR="00000161" w:rsidRDefault="00000161" w:rsidP="00052882">
          <w:pPr>
            <w:pStyle w:val="TDC2"/>
            <w:tabs>
              <w:tab w:val="right" w:leader="dot" w:pos="8829"/>
            </w:tabs>
            <w:spacing w:line="240" w:lineRule="auto"/>
            <w:rPr>
              <w:rFonts w:asciiTheme="minorHAnsi" w:eastAsiaTheme="minorEastAsia" w:hAnsiTheme="minorHAnsi" w:cstheme="minorBidi"/>
              <w:bCs w:val="0"/>
              <w:noProof/>
              <w:kern w:val="2"/>
              <w:sz w:val="24"/>
              <w:szCs w:val="24"/>
              <w:lang w:val="es-CR" w:eastAsia="es-CR"/>
              <w14:ligatures w14:val="standardContextual"/>
            </w:rPr>
          </w:pPr>
          <w:hyperlink w:anchor="_Toc212406379" w:history="1">
            <w:r w:rsidRPr="00285508">
              <w:rPr>
                <w:rStyle w:val="Hipervnculo"/>
                <w:noProof/>
              </w:rPr>
              <w:t>4.3 Diseñar propuestas de mejora en los procesos de planificación y control, para optimizar la integración entre diseño y construcción y mejorar los resultados del proyecto.</w:t>
            </w:r>
            <w:r>
              <w:rPr>
                <w:noProof/>
                <w:webHidden/>
              </w:rPr>
              <w:tab/>
            </w:r>
            <w:r>
              <w:rPr>
                <w:noProof/>
                <w:webHidden/>
              </w:rPr>
              <w:fldChar w:fldCharType="begin"/>
            </w:r>
            <w:r>
              <w:rPr>
                <w:noProof/>
                <w:webHidden/>
              </w:rPr>
              <w:instrText xml:space="preserve"> PAGEREF _Toc212406379 \h </w:instrText>
            </w:r>
            <w:r>
              <w:rPr>
                <w:noProof/>
                <w:webHidden/>
              </w:rPr>
            </w:r>
            <w:r>
              <w:rPr>
                <w:noProof/>
                <w:webHidden/>
              </w:rPr>
              <w:fldChar w:fldCharType="separate"/>
            </w:r>
            <w:r>
              <w:rPr>
                <w:noProof/>
                <w:webHidden/>
              </w:rPr>
              <w:t>86</w:t>
            </w:r>
            <w:r>
              <w:rPr>
                <w:noProof/>
                <w:webHidden/>
              </w:rPr>
              <w:fldChar w:fldCharType="end"/>
            </w:r>
          </w:hyperlink>
        </w:p>
        <w:p w14:paraId="1386C90F" w14:textId="36BFB3B3" w:rsidR="00000161" w:rsidRDefault="00000161" w:rsidP="00052882">
          <w:pPr>
            <w:pStyle w:val="TDC3"/>
            <w:tabs>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80" w:history="1">
            <w:r w:rsidRPr="00285508">
              <w:rPr>
                <w:rStyle w:val="Hipervnculo"/>
                <w:noProof/>
              </w:rPr>
              <w:t>4.3.1 Nuevo flujo de trabajo propuesto</w:t>
            </w:r>
            <w:r>
              <w:rPr>
                <w:noProof/>
                <w:webHidden/>
              </w:rPr>
              <w:tab/>
            </w:r>
            <w:r>
              <w:rPr>
                <w:noProof/>
                <w:webHidden/>
              </w:rPr>
              <w:fldChar w:fldCharType="begin"/>
            </w:r>
            <w:r>
              <w:rPr>
                <w:noProof/>
                <w:webHidden/>
              </w:rPr>
              <w:instrText xml:space="preserve"> PAGEREF _Toc212406380 \h </w:instrText>
            </w:r>
            <w:r>
              <w:rPr>
                <w:noProof/>
                <w:webHidden/>
              </w:rPr>
            </w:r>
            <w:r>
              <w:rPr>
                <w:noProof/>
                <w:webHidden/>
              </w:rPr>
              <w:fldChar w:fldCharType="separate"/>
            </w:r>
            <w:r>
              <w:rPr>
                <w:noProof/>
                <w:webHidden/>
              </w:rPr>
              <w:t>86</w:t>
            </w:r>
            <w:r>
              <w:rPr>
                <w:noProof/>
                <w:webHidden/>
              </w:rPr>
              <w:fldChar w:fldCharType="end"/>
            </w:r>
          </w:hyperlink>
        </w:p>
        <w:p w14:paraId="34DC0989" w14:textId="694385ED" w:rsidR="00000161" w:rsidRDefault="00000161" w:rsidP="00052882">
          <w:pPr>
            <w:pStyle w:val="TDC3"/>
            <w:tabs>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81" w:history="1">
            <w:r w:rsidRPr="00285508">
              <w:rPr>
                <w:rStyle w:val="Hipervnculo"/>
                <w:noProof/>
              </w:rPr>
              <w:t>4.3.2 Herramientas sugeridas para planificación y control</w:t>
            </w:r>
            <w:r>
              <w:rPr>
                <w:noProof/>
                <w:webHidden/>
              </w:rPr>
              <w:tab/>
            </w:r>
            <w:r>
              <w:rPr>
                <w:noProof/>
                <w:webHidden/>
              </w:rPr>
              <w:fldChar w:fldCharType="begin"/>
            </w:r>
            <w:r>
              <w:rPr>
                <w:noProof/>
                <w:webHidden/>
              </w:rPr>
              <w:instrText xml:space="preserve"> PAGEREF _Toc212406381 \h </w:instrText>
            </w:r>
            <w:r>
              <w:rPr>
                <w:noProof/>
                <w:webHidden/>
              </w:rPr>
            </w:r>
            <w:r>
              <w:rPr>
                <w:noProof/>
                <w:webHidden/>
              </w:rPr>
              <w:fldChar w:fldCharType="separate"/>
            </w:r>
            <w:r>
              <w:rPr>
                <w:noProof/>
                <w:webHidden/>
              </w:rPr>
              <w:t>88</w:t>
            </w:r>
            <w:r>
              <w:rPr>
                <w:noProof/>
                <w:webHidden/>
              </w:rPr>
              <w:fldChar w:fldCharType="end"/>
            </w:r>
          </w:hyperlink>
        </w:p>
        <w:p w14:paraId="78669260" w14:textId="67E6CF44" w:rsidR="00000161" w:rsidRDefault="00000161" w:rsidP="00052882">
          <w:pPr>
            <w:pStyle w:val="TDC3"/>
            <w:tabs>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82" w:history="1">
            <w:r w:rsidRPr="00285508">
              <w:rPr>
                <w:rStyle w:val="Hipervnculo"/>
                <w:noProof/>
              </w:rPr>
              <w:t>4.3.3 Reconocimientos organizacionales y de roles</w:t>
            </w:r>
            <w:r>
              <w:rPr>
                <w:noProof/>
                <w:webHidden/>
              </w:rPr>
              <w:tab/>
            </w:r>
            <w:r>
              <w:rPr>
                <w:noProof/>
                <w:webHidden/>
              </w:rPr>
              <w:fldChar w:fldCharType="begin"/>
            </w:r>
            <w:r>
              <w:rPr>
                <w:noProof/>
                <w:webHidden/>
              </w:rPr>
              <w:instrText xml:space="preserve"> PAGEREF _Toc212406382 \h </w:instrText>
            </w:r>
            <w:r>
              <w:rPr>
                <w:noProof/>
                <w:webHidden/>
              </w:rPr>
            </w:r>
            <w:r>
              <w:rPr>
                <w:noProof/>
                <w:webHidden/>
              </w:rPr>
              <w:fldChar w:fldCharType="separate"/>
            </w:r>
            <w:r>
              <w:rPr>
                <w:noProof/>
                <w:webHidden/>
              </w:rPr>
              <w:t>89</w:t>
            </w:r>
            <w:r>
              <w:rPr>
                <w:noProof/>
                <w:webHidden/>
              </w:rPr>
              <w:fldChar w:fldCharType="end"/>
            </w:r>
          </w:hyperlink>
        </w:p>
        <w:p w14:paraId="120A6344" w14:textId="4CA870E8" w:rsidR="00000161" w:rsidRDefault="00000161" w:rsidP="00052882">
          <w:pPr>
            <w:pStyle w:val="TDC2"/>
            <w:tabs>
              <w:tab w:val="left" w:pos="1320"/>
              <w:tab w:val="right" w:leader="dot" w:pos="8829"/>
            </w:tabs>
            <w:spacing w:line="240" w:lineRule="auto"/>
            <w:rPr>
              <w:rFonts w:asciiTheme="minorHAnsi" w:eastAsiaTheme="minorEastAsia" w:hAnsiTheme="minorHAnsi" w:cstheme="minorBidi"/>
              <w:bCs w:val="0"/>
              <w:noProof/>
              <w:kern w:val="2"/>
              <w:sz w:val="24"/>
              <w:szCs w:val="24"/>
              <w:lang w:val="es-CR" w:eastAsia="es-CR"/>
              <w14:ligatures w14:val="standardContextual"/>
            </w:rPr>
          </w:pPr>
          <w:hyperlink w:anchor="_Toc212406383" w:history="1">
            <w:r w:rsidRPr="00285508">
              <w:rPr>
                <w:rStyle w:val="Hipervnculo"/>
                <w:noProof/>
              </w:rPr>
              <w:t>4.4</w:t>
            </w:r>
            <w:r>
              <w:rPr>
                <w:rFonts w:asciiTheme="minorHAnsi" w:eastAsiaTheme="minorEastAsia" w:hAnsiTheme="minorHAnsi" w:cstheme="minorBidi"/>
                <w:bCs w:val="0"/>
                <w:noProof/>
                <w:kern w:val="2"/>
                <w:sz w:val="24"/>
                <w:szCs w:val="24"/>
                <w:lang w:val="es-CR" w:eastAsia="es-CR"/>
                <w14:ligatures w14:val="standardContextual"/>
              </w:rPr>
              <w:tab/>
            </w:r>
            <w:r w:rsidRPr="00285508">
              <w:rPr>
                <w:rStyle w:val="Hipervnculo"/>
                <w:noProof/>
              </w:rPr>
              <w:t>Desarrollar un plan de implementación de las mejoras propuestas, para facilitar su adopción en los proyectos futuros</w:t>
            </w:r>
            <w:r>
              <w:rPr>
                <w:noProof/>
                <w:webHidden/>
              </w:rPr>
              <w:tab/>
            </w:r>
            <w:r>
              <w:rPr>
                <w:noProof/>
                <w:webHidden/>
              </w:rPr>
              <w:fldChar w:fldCharType="begin"/>
            </w:r>
            <w:r>
              <w:rPr>
                <w:noProof/>
                <w:webHidden/>
              </w:rPr>
              <w:instrText xml:space="preserve"> PAGEREF _Toc212406383 \h </w:instrText>
            </w:r>
            <w:r>
              <w:rPr>
                <w:noProof/>
                <w:webHidden/>
              </w:rPr>
            </w:r>
            <w:r>
              <w:rPr>
                <w:noProof/>
                <w:webHidden/>
              </w:rPr>
              <w:fldChar w:fldCharType="separate"/>
            </w:r>
            <w:r>
              <w:rPr>
                <w:noProof/>
                <w:webHidden/>
              </w:rPr>
              <w:t>91</w:t>
            </w:r>
            <w:r>
              <w:rPr>
                <w:noProof/>
                <w:webHidden/>
              </w:rPr>
              <w:fldChar w:fldCharType="end"/>
            </w:r>
          </w:hyperlink>
        </w:p>
        <w:p w14:paraId="338EDAE1" w14:textId="26E756C4" w:rsidR="00000161" w:rsidRDefault="00000161" w:rsidP="00052882">
          <w:pPr>
            <w:pStyle w:val="TDC2"/>
            <w:tabs>
              <w:tab w:val="left" w:pos="1540"/>
              <w:tab w:val="right" w:leader="dot" w:pos="8829"/>
            </w:tabs>
            <w:spacing w:line="240" w:lineRule="auto"/>
            <w:rPr>
              <w:rFonts w:asciiTheme="minorHAnsi" w:eastAsiaTheme="minorEastAsia" w:hAnsiTheme="minorHAnsi" w:cstheme="minorBidi"/>
              <w:bCs w:val="0"/>
              <w:noProof/>
              <w:kern w:val="2"/>
              <w:sz w:val="24"/>
              <w:szCs w:val="24"/>
              <w:lang w:val="es-CR" w:eastAsia="es-CR"/>
              <w14:ligatures w14:val="standardContextual"/>
            </w:rPr>
          </w:pPr>
          <w:hyperlink w:anchor="_Toc212406384" w:history="1">
            <w:r w:rsidRPr="00285508">
              <w:rPr>
                <w:rStyle w:val="Hipervnculo"/>
                <w:noProof/>
              </w:rPr>
              <w:t>4.4.1</w:t>
            </w:r>
            <w:r>
              <w:rPr>
                <w:rFonts w:asciiTheme="minorHAnsi" w:eastAsiaTheme="minorEastAsia" w:hAnsiTheme="minorHAnsi" w:cstheme="minorBidi"/>
                <w:bCs w:val="0"/>
                <w:noProof/>
                <w:kern w:val="2"/>
                <w:sz w:val="24"/>
                <w:szCs w:val="24"/>
                <w:lang w:val="es-CR" w:eastAsia="es-CR"/>
                <w14:ligatures w14:val="standardContextual"/>
              </w:rPr>
              <w:tab/>
            </w:r>
            <w:r w:rsidRPr="00285508">
              <w:rPr>
                <w:rStyle w:val="Hipervnculo"/>
                <w:noProof/>
              </w:rPr>
              <w:t>Objetivo y alcance del plan de implementación</w:t>
            </w:r>
            <w:r>
              <w:rPr>
                <w:noProof/>
                <w:webHidden/>
              </w:rPr>
              <w:tab/>
            </w:r>
            <w:r>
              <w:rPr>
                <w:noProof/>
                <w:webHidden/>
              </w:rPr>
              <w:fldChar w:fldCharType="begin"/>
            </w:r>
            <w:r>
              <w:rPr>
                <w:noProof/>
                <w:webHidden/>
              </w:rPr>
              <w:instrText xml:space="preserve"> PAGEREF _Toc212406384 \h </w:instrText>
            </w:r>
            <w:r>
              <w:rPr>
                <w:noProof/>
                <w:webHidden/>
              </w:rPr>
            </w:r>
            <w:r>
              <w:rPr>
                <w:noProof/>
                <w:webHidden/>
              </w:rPr>
              <w:fldChar w:fldCharType="separate"/>
            </w:r>
            <w:r>
              <w:rPr>
                <w:noProof/>
                <w:webHidden/>
              </w:rPr>
              <w:t>91</w:t>
            </w:r>
            <w:r>
              <w:rPr>
                <w:noProof/>
                <w:webHidden/>
              </w:rPr>
              <w:fldChar w:fldCharType="end"/>
            </w:r>
          </w:hyperlink>
        </w:p>
        <w:p w14:paraId="0A6FC5E7" w14:textId="1F19D028" w:rsidR="00000161" w:rsidRDefault="00000161" w:rsidP="00052882">
          <w:pPr>
            <w:pStyle w:val="TDC2"/>
            <w:tabs>
              <w:tab w:val="left" w:pos="1540"/>
              <w:tab w:val="right" w:leader="dot" w:pos="8829"/>
            </w:tabs>
            <w:spacing w:line="240" w:lineRule="auto"/>
            <w:rPr>
              <w:rFonts w:asciiTheme="minorHAnsi" w:eastAsiaTheme="minorEastAsia" w:hAnsiTheme="minorHAnsi" w:cstheme="minorBidi"/>
              <w:bCs w:val="0"/>
              <w:noProof/>
              <w:kern w:val="2"/>
              <w:sz w:val="24"/>
              <w:szCs w:val="24"/>
              <w:lang w:val="es-CR" w:eastAsia="es-CR"/>
              <w14:ligatures w14:val="standardContextual"/>
            </w:rPr>
          </w:pPr>
          <w:hyperlink w:anchor="_Toc212406385" w:history="1">
            <w:r w:rsidRPr="00285508">
              <w:rPr>
                <w:rStyle w:val="Hipervnculo"/>
                <w:noProof/>
              </w:rPr>
              <w:t>4.4.2</w:t>
            </w:r>
            <w:r>
              <w:rPr>
                <w:rFonts w:asciiTheme="minorHAnsi" w:eastAsiaTheme="minorEastAsia" w:hAnsiTheme="minorHAnsi" w:cstheme="minorBidi"/>
                <w:bCs w:val="0"/>
                <w:noProof/>
                <w:kern w:val="2"/>
                <w:sz w:val="24"/>
                <w:szCs w:val="24"/>
                <w:lang w:val="es-CR" w:eastAsia="es-CR"/>
                <w14:ligatures w14:val="standardContextual"/>
              </w:rPr>
              <w:tab/>
            </w:r>
            <w:r w:rsidRPr="00285508">
              <w:rPr>
                <w:rStyle w:val="Hipervnculo"/>
                <w:noProof/>
              </w:rPr>
              <w:t>Estrategia de implementación basada en acciones, roles y herramientas colaborativas</w:t>
            </w:r>
            <w:r>
              <w:rPr>
                <w:noProof/>
                <w:webHidden/>
              </w:rPr>
              <w:t>………………………………………………………………………………………</w:t>
            </w:r>
            <w:r>
              <w:rPr>
                <w:noProof/>
                <w:webHidden/>
              </w:rPr>
              <w:fldChar w:fldCharType="begin"/>
            </w:r>
            <w:r>
              <w:rPr>
                <w:noProof/>
                <w:webHidden/>
              </w:rPr>
              <w:instrText xml:space="preserve"> PAGEREF _Toc212406385 \h </w:instrText>
            </w:r>
            <w:r>
              <w:rPr>
                <w:noProof/>
                <w:webHidden/>
              </w:rPr>
            </w:r>
            <w:r>
              <w:rPr>
                <w:noProof/>
                <w:webHidden/>
              </w:rPr>
              <w:fldChar w:fldCharType="separate"/>
            </w:r>
            <w:r>
              <w:rPr>
                <w:noProof/>
                <w:webHidden/>
              </w:rPr>
              <w:t>91</w:t>
            </w:r>
            <w:r>
              <w:rPr>
                <w:noProof/>
                <w:webHidden/>
              </w:rPr>
              <w:fldChar w:fldCharType="end"/>
            </w:r>
          </w:hyperlink>
        </w:p>
        <w:p w14:paraId="7D07F26D" w14:textId="07F1C7FA" w:rsidR="00000161" w:rsidRDefault="00000161" w:rsidP="00052882">
          <w:pPr>
            <w:pStyle w:val="TDC2"/>
            <w:tabs>
              <w:tab w:val="left" w:pos="1540"/>
              <w:tab w:val="right" w:leader="dot" w:pos="8829"/>
            </w:tabs>
            <w:spacing w:line="240" w:lineRule="auto"/>
            <w:rPr>
              <w:rFonts w:asciiTheme="minorHAnsi" w:eastAsiaTheme="minorEastAsia" w:hAnsiTheme="minorHAnsi" w:cstheme="minorBidi"/>
              <w:bCs w:val="0"/>
              <w:noProof/>
              <w:kern w:val="2"/>
              <w:sz w:val="24"/>
              <w:szCs w:val="24"/>
              <w:lang w:val="es-CR" w:eastAsia="es-CR"/>
              <w14:ligatures w14:val="standardContextual"/>
            </w:rPr>
          </w:pPr>
          <w:hyperlink w:anchor="_Toc212406386" w:history="1">
            <w:r w:rsidRPr="00285508">
              <w:rPr>
                <w:rStyle w:val="Hipervnculo"/>
                <w:noProof/>
              </w:rPr>
              <w:t>4.4.3</w:t>
            </w:r>
            <w:r>
              <w:rPr>
                <w:rFonts w:asciiTheme="minorHAnsi" w:eastAsiaTheme="minorEastAsia" w:hAnsiTheme="minorHAnsi" w:cstheme="minorBidi"/>
                <w:bCs w:val="0"/>
                <w:noProof/>
                <w:kern w:val="2"/>
                <w:sz w:val="24"/>
                <w:szCs w:val="24"/>
                <w:lang w:val="es-CR" w:eastAsia="es-CR"/>
                <w14:ligatures w14:val="standardContextual"/>
              </w:rPr>
              <w:tab/>
            </w:r>
            <w:r w:rsidRPr="00285508">
              <w:rPr>
                <w:rStyle w:val="Hipervnculo"/>
                <w:noProof/>
              </w:rPr>
              <w:t>Fases de ejecución e indicadores para el seguimiento y medición del éxito</w:t>
            </w:r>
            <w:r>
              <w:rPr>
                <w:rStyle w:val="Hipervnculo"/>
                <w:noProof/>
              </w:rPr>
              <w:t>……………………………………</w:t>
            </w:r>
            <w:r>
              <w:rPr>
                <w:noProof/>
                <w:webHidden/>
              </w:rPr>
              <w:tab/>
            </w:r>
            <w:r>
              <w:rPr>
                <w:noProof/>
                <w:webHidden/>
              </w:rPr>
              <w:fldChar w:fldCharType="begin"/>
            </w:r>
            <w:r>
              <w:rPr>
                <w:noProof/>
                <w:webHidden/>
              </w:rPr>
              <w:instrText xml:space="preserve"> PAGEREF _Toc212406386 \h </w:instrText>
            </w:r>
            <w:r>
              <w:rPr>
                <w:noProof/>
                <w:webHidden/>
              </w:rPr>
            </w:r>
            <w:r>
              <w:rPr>
                <w:noProof/>
                <w:webHidden/>
              </w:rPr>
              <w:fldChar w:fldCharType="separate"/>
            </w:r>
            <w:r>
              <w:rPr>
                <w:noProof/>
                <w:webHidden/>
              </w:rPr>
              <w:t>93</w:t>
            </w:r>
            <w:r>
              <w:rPr>
                <w:noProof/>
                <w:webHidden/>
              </w:rPr>
              <w:fldChar w:fldCharType="end"/>
            </w:r>
          </w:hyperlink>
        </w:p>
        <w:p w14:paraId="34EC32B0" w14:textId="59B7569B" w:rsidR="00000161" w:rsidRDefault="00000161" w:rsidP="00052882">
          <w:pPr>
            <w:pStyle w:val="TDC2"/>
            <w:tabs>
              <w:tab w:val="left" w:pos="1320"/>
              <w:tab w:val="right" w:leader="dot" w:pos="8829"/>
            </w:tabs>
            <w:spacing w:line="240" w:lineRule="auto"/>
            <w:rPr>
              <w:rFonts w:asciiTheme="minorHAnsi" w:eastAsiaTheme="minorEastAsia" w:hAnsiTheme="minorHAnsi" w:cstheme="minorBidi"/>
              <w:bCs w:val="0"/>
              <w:noProof/>
              <w:kern w:val="2"/>
              <w:sz w:val="24"/>
              <w:szCs w:val="24"/>
              <w:lang w:val="es-CR" w:eastAsia="es-CR"/>
              <w14:ligatures w14:val="standardContextual"/>
            </w:rPr>
          </w:pPr>
          <w:hyperlink w:anchor="_Toc212406387" w:history="1">
            <w:r w:rsidRPr="00285508">
              <w:rPr>
                <w:rStyle w:val="Hipervnculo"/>
                <w:noProof/>
              </w:rPr>
              <w:t>4.5</w:t>
            </w:r>
            <w:r>
              <w:rPr>
                <w:rFonts w:asciiTheme="minorHAnsi" w:eastAsiaTheme="minorEastAsia" w:hAnsiTheme="minorHAnsi" w:cstheme="minorBidi"/>
                <w:bCs w:val="0"/>
                <w:noProof/>
                <w:kern w:val="2"/>
                <w:sz w:val="24"/>
                <w:szCs w:val="24"/>
                <w:lang w:val="es-CR" w:eastAsia="es-CR"/>
                <w14:ligatures w14:val="standardContextual"/>
              </w:rPr>
              <w:tab/>
            </w:r>
            <w:r w:rsidRPr="00285508">
              <w:rPr>
                <w:rStyle w:val="Hipervnculo"/>
                <w:noProof/>
              </w:rPr>
              <w:t>Comparar los procesos actuales con las propuestas de mejora desarrolladas, para identificar sus principales diferencias y beneficios en la gestión de proyectos “Design &amp; Build” en Contract Workplaces</w:t>
            </w:r>
            <w:r>
              <w:rPr>
                <w:noProof/>
                <w:webHidden/>
              </w:rPr>
              <w:tab/>
            </w:r>
            <w:r>
              <w:rPr>
                <w:noProof/>
                <w:webHidden/>
              </w:rPr>
              <w:fldChar w:fldCharType="begin"/>
            </w:r>
            <w:r>
              <w:rPr>
                <w:noProof/>
                <w:webHidden/>
              </w:rPr>
              <w:instrText xml:space="preserve"> PAGEREF _Toc212406387 \h </w:instrText>
            </w:r>
            <w:r>
              <w:rPr>
                <w:noProof/>
                <w:webHidden/>
              </w:rPr>
            </w:r>
            <w:r>
              <w:rPr>
                <w:noProof/>
                <w:webHidden/>
              </w:rPr>
              <w:fldChar w:fldCharType="separate"/>
            </w:r>
            <w:r>
              <w:rPr>
                <w:noProof/>
                <w:webHidden/>
              </w:rPr>
              <w:t>94</w:t>
            </w:r>
            <w:r>
              <w:rPr>
                <w:noProof/>
                <w:webHidden/>
              </w:rPr>
              <w:fldChar w:fldCharType="end"/>
            </w:r>
          </w:hyperlink>
        </w:p>
        <w:p w14:paraId="646163C6" w14:textId="481A8787" w:rsidR="00000161" w:rsidRDefault="00000161" w:rsidP="00052882">
          <w:pPr>
            <w:pStyle w:val="TDC3"/>
            <w:tabs>
              <w:tab w:val="left" w:pos="1658"/>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88" w:history="1">
            <w:r w:rsidRPr="00285508">
              <w:rPr>
                <w:rStyle w:val="Hipervnculo"/>
                <w:noProof/>
              </w:rPr>
              <w:t>4.5.1</w:t>
            </w:r>
            <w:r>
              <w:rPr>
                <w:rFonts w:asciiTheme="minorHAnsi" w:eastAsiaTheme="minorEastAsia" w:hAnsiTheme="minorHAnsi" w:cstheme="minorBidi"/>
                <w:noProof/>
                <w:kern w:val="2"/>
                <w:sz w:val="24"/>
                <w:szCs w:val="24"/>
                <w:lang w:val="es-CR" w:eastAsia="es-CR"/>
                <w14:ligatures w14:val="standardContextual"/>
              </w:rPr>
              <w:tab/>
            </w:r>
            <w:r w:rsidRPr="00285508">
              <w:rPr>
                <w:rStyle w:val="Hipervnculo"/>
                <w:noProof/>
              </w:rPr>
              <w:t>Comparación entre el proceso actual y el proceso propuesto</w:t>
            </w:r>
            <w:r>
              <w:rPr>
                <w:noProof/>
                <w:webHidden/>
              </w:rPr>
              <w:tab/>
            </w:r>
            <w:r>
              <w:rPr>
                <w:noProof/>
                <w:webHidden/>
              </w:rPr>
              <w:fldChar w:fldCharType="begin"/>
            </w:r>
            <w:r>
              <w:rPr>
                <w:noProof/>
                <w:webHidden/>
              </w:rPr>
              <w:instrText xml:space="preserve"> PAGEREF _Toc212406388 \h </w:instrText>
            </w:r>
            <w:r>
              <w:rPr>
                <w:noProof/>
                <w:webHidden/>
              </w:rPr>
            </w:r>
            <w:r>
              <w:rPr>
                <w:noProof/>
                <w:webHidden/>
              </w:rPr>
              <w:fldChar w:fldCharType="separate"/>
            </w:r>
            <w:r>
              <w:rPr>
                <w:noProof/>
                <w:webHidden/>
              </w:rPr>
              <w:t>94</w:t>
            </w:r>
            <w:r>
              <w:rPr>
                <w:noProof/>
                <w:webHidden/>
              </w:rPr>
              <w:fldChar w:fldCharType="end"/>
            </w:r>
          </w:hyperlink>
        </w:p>
        <w:p w14:paraId="073D9AF8" w14:textId="1D16D107" w:rsidR="00000161" w:rsidRDefault="00000161" w:rsidP="00052882">
          <w:pPr>
            <w:pStyle w:val="TDC3"/>
            <w:tabs>
              <w:tab w:val="left" w:pos="1658"/>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89" w:history="1">
            <w:r w:rsidRPr="00285508">
              <w:rPr>
                <w:rStyle w:val="Hipervnculo"/>
                <w:noProof/>
              </w:rPr>
              <w:t>4.5.2</w:t>
            </w:r>
            <w:r>
              <w:rPr>
                <w:rFonts w:asciiTheme="minorHAnsi" w:eastAsiaTheme="minorEastAsia" w:hAnsiTheme="minorHAnsi" w:cstheme="minorBidi"/>
                <w:noProof/>
                <w:kern w:val="2"/>
                <w:sz w:val="24"/>
                <w:szCs w:val="24"/>
                <w:lang w:val="es-CR" w:eastAsia="es-CR"/>
                <w14:ligatures w14:val="standardContextual"/>
              </w:rPr>
              <w:tab/>
            </w:r>
            <w:r w:rsidRPr="00285508">
              <w:rPr>
                <w:rStyle w:val="Hipervnculo"/>
                <w:noProof/>
              </w:rPr>
              <w:t>Identificación de diferencias clave en planificación, control e integració</w:t>
            </w:r>
            <w:r>
              <w:rPr>
                <w:rStyle w:val="Hipervnculo"/>
                <w:noProof/>
              </w:rPr>
              <w:t>n…...</w:t>
            </w:r>
            <w:r>
              <w:rPr>
                <w:noProof/>
                <w:webHidden/>
              </w:rPr>
              <w:t>………………………………………………………………………………….</w:t>
            </w:r>
            <w:r>
              <w:rPr>
                <w:noProof/>
                <w:webHidden/>
              </w:rPr>
              <w:fldChar w:fldCharType="begin"/>
            </w:r>
            <w:r>
              <w:rPr>
                <w:noProof/>
                <w:webHidden/>
              </w:rPr>
              <w:instrText xml:space="preserve"> PAGEREF _Toc212406389 \h </w:instrText>
            </w:r>
            <w:r>
              <w:rPr>
                <w:noProof/>
                <w:webHidden/>
              </w:rPr>
            </w:r>
            <w:r>
              <w:rPr>
                <w:noProof/>
                <w:webHidden/>
              </w:rPr>
              <w:fldChar w:fldCharType="separate"/>
            </w:r>
            <w:r>
              <w:rPr>
                <w:noProof/>
                <w:webHidden/>
              </w:rPr>
              <w:t>98</w:t>
            </w:r>
            <w:r>
              <w:rPr>
                <w:noProof/>
                <w:webHidden/>
              </w:rPr>
              <w:fldChar w:fldCharType="end"/>
            </w:r>
          </w:hyperlink>
        </w:p>
        <w:p w14:paraId="616ECF1E" w14:textId="3D89EFE2" w:rsidR="00000161" w:rsidRDefault="00000161" w:rsidP="00052882">
          <w:pPr>
            <w:pStyle w:val="TDC3"/>
            <w:tabs>
              <w:tab w:val="left" w:pos="1658"/>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90" w:history="1">
            <w:r w:rsidRPr="00285508">
              <w:rPr>
                <w:rStyle w:val="Hipervnculo"/>
                <w:noProof/>
              </w:rPr>
              <w:t>4.5.3</w:t>
            </w:r>
            <w:r>
              <w:rPr>
                <w:rFonts w:asciiTheme="minorHAnsi" w:eastAsiaTheme="minorEastAsia" w:hAnsiTheme="minorHAnsi" w:cstheme="minorBidi"/>
                <w:noProof/>
                <w:kern w:val="2"/>
                <w:sz w:val="24"/>
                <w:szCs w:val="24"/>
                <w:lang w:val="es-CR" w:eastAsia="es-CR"/>
                <w14:ligatures w14:val="standardContextual"/>
              </w:rPr>
              <w:tab/>
            </w:r>
            <w:r w:rsidRPr="00285508">
              <w:rPr>
                <w:rStyle w:val="Hipervnculo"/>
                <w:noProof/>
              </w:rPr>
              <w:t>Análisis de beneficios potenciales en tiempo, costo y calidad</w:t>
            </w:r>
            <w:r>
              <w:rPr>
                <w:noProof/>
                <w:webHidden/>
              </w:rPr>
              <w:tab/>
            </w:r>
            <w:r>
              <w:rPr>
                <w:noProof/>
                <w:webHidden/>
              </w:rPr>
              <w:fldChar w:fldCharType="begin"/>
            </w:r>
            <w:r>
              <w:rPr>
                <w:noProof/>
                <w:webHidden/>
              </w:rPr>
              <w:instrText xml:space="preserve"> PAGEREF _Toc212406390 \h </w:instrText>
            </w:r>
            <w:r>
              <w:rPr>
                <w:noProof/>
                <w:webHidden/>
              </w:rPr>
            </w:r>
            <w:r>
              <w:rPr>
                <w:noProof/>
                <w:webHidden/>
              </w:rPr>
              <w:fldChar w:fldCharType="separate"/>
            </w:r>
            <w:r>
              <w:rPr>
                <w:noProof/>
                <w:webHidden/>
              </w:rPr>
              <w:t>98</w:t>
            </w:r>
            <w:r>
              <w:rPr>
                <w:noProof/>
                <w:webHidden/>
              </w:rPr>
              <w:fldChar w:fldCharType="end"/>
            </w:r>
          </w:hyperlink>
        </w:p>
        <w:p w14:paraId="730CA67C" w14:textId="5ECBB6FC" w:rsidR="00000161" w:rsidRDefault="00000161" w:rsidP="00052882">
          <w:pPr>
            <w:pStyle w:val="TDC1"/>
            <w:spacing w:line="240" w:lineRule="auto"/>
            <w:rPr>
              <w:rFonts w:asciiTheme="minorHAnsi" w:eastAsiaTheme="minorEastAsia" w:hAnsiTheme="minorHAnsi" w:cstheme="minorBidi"/>
              <w:bCs w:val="0"/>
              <w:caps w:val="0"/>
              <w:noProof/>
              <w:kern w:val="2"/>
              <w:sz w:val="24"/>
              <w:lang w:val="es-CR" w:eastAsia="es-CR"/>
              <w14:ligatures w14:val="standardContextual"/>
            </w:rPr>
          </w:pPr>
          <w:hyperlink w:anchor="_Toc212406391" w:history="1">
            <w:r w:rsidRPr="00285508">
              <w:rPr>
                <w:rStyle w:val="Hipervnculo"/>
                <w:noProof/>
                <w:lang w:val="es-CR"/>
              </w:rPr>
              <w:t>5.</w:t>
            </w:r>
            <w:r>
              <w:rPr>
                <w:rFonts w:asciiTheme="minorHAnsi" w:eastAsiaTheme="minorEastAsia" w:hAnsiTheme="minorHAnsi" w:cstheme="minorBidi"/>
                <w:bCs w:val="0"/>
                <w:caps w:val="0"/>
                <w:noProof/>
                <w:kern w:val="2"/>
                <w:sz w:val="24"/>
                <w:lang w:val="es-CR" w:eastAsia="es-CR"/>
                <w14:ligatures w14:val="standardContextual"/>
              </w:rPr>
              <w:tab/>
            </w:r>
            <w:r w:rsidRPr="00285508">
              <w:rPr>
                <w:rStyle w:val="Hipervnculo"/>
                <w:noProof/>
                <w:lang w:val="es-CR"/>
              </w:rPr>
              <w:t>Conclusiones</w:t>
            </w:r>
            <w:r>
              <w:rPr>
                <w:noProof/>
                <w:webHidden/>
              </w:rPr>
              <w:tab/>
            </w:r>
            <w:r>
              <w:rPr>
                <w:noProof/>
                <w:webHidden/>
              </w:rPr>
              <w:fldChar w:fldCharType="begin"/>
            </w:r>
            <w:r>
              <w:rPr>
                <w:noProof/>
                <w:webHidden/>
              </w:rPr>
              <w:instrText xml:space="preserve"> PAGEREF _Toc212406391 \h </w:instrText>
            </w:r>
            <w:r>
              <w:rPr>
                <w:noProof/>
                <w:webHidden/>
              </w:rPr>
            </w:r>
            <w:r>
              <w:rPr>
                <w:noProof/>
                <w:webHidden/>
              </w:rPr>
              <w:fldChar w:fldCharType="separate"/>
            </w:r>
            <w:r>
              <w:rPr>
                <w:noProof/>
                <w:webHidden/>
              </w:rPr>
              <w:t>100</w:t>
            </w:r>
            <w:r>
              <w:rPr>
                <w:noProof/>
                <w:webHidden/>
              </w:rPr>
              <w:fldChar w:fldCharType="end"/>
            </w:r>
          </w:hyperlink>
        </w:p>
        <w:p w14:paraId="475BD52A" w14:textId="1F2D7ED8" w:rsidR="00000161" w:rsidRDefault="00000161" w:rsidP="00052882">
          <w:pPr>
            <w:pStyle w:val="TDC1"/>
            <w:spacing w:line="240" w:lineRule="auto"/>
            <w:rPr>
              <w:rFonts w:asciiTheme="minorHAnsi" w:eastAsiaTheme="minorEastAsia" w:hAnsiTheme="minorHAnsi" w:cstheme="minorBidi"/>
              <w:bCs w:val="0"/>
              <w:caps w:val="0"/>
              <w:noProof/>
              <w:kern w:val="2"/>
              <w:sz w:val="24"/>
              <w:lang w:val="es-CR" w:eastAsia="es-CR"/>
              <w14:ligatures w14:val="standardContextual"/>
            </w:rPr>
          </w:pPr>
          <w:hyperlink w:anchor="_Toc212406392" w:history="1">
            <w:r w:rsidRPr="00285508">
              <w:rPr>
                <w:rStyle w:val="Hipervnculo"/>
                <w:noProof/>
                <w:lang w:val="es-CR"/>
              </w:rPr>
              <w:t>6.</w:t>
            </w:r>
            <w:r>
              <w:rPr>
                <w:rFonts w:asciiTheme="minorHAnsi" w:eastAsiaTheme="minorEastAsia" w:hAnsiTheme="minorHAnsi" w:cstheme="minorBidi"/>
                <w:bCs w:val="0"/>
                <w:caps w:val="0"/>
                <w:noProof/>
                <w:kern w:val="2"/>
                <w:sz w:val="24"/>
                <w:lang w:val="es-CR" w:eastAsia="es-CR"/>
                <w14:ligatures w14:val="standardContextual"/>
              </w:rPr>
              <w:tab/>
            </w:r>
            <w:r w:rsidRPr="00285508">
              <w:rPr>
                <w:rStyle w:val="Hipervnculo"/>
                <w:noProof/>
                <w:lang w:val="es-CR"/>
              </w:rPr>
              <w:t>Recomendaciones</w:t>
            </w:r>
            <w:r>
              <w:rPr>
                <w:noProof/>
                <w:webHidden/>
              </w:rPr>
              <w:tab/>
            </w:r>
            <w:r>
              <w:rPr>
                <w:noProof/>
                <w:webHidden/>
              </w:rPr>
              <w:fldChar w:fldCharType="begin"/>
            </w:r>
            <w:r>
              <w:rPr>
                <w:noProof/>
                <w:webHidden/>
              </w:rPr>
              <w:instrText xml:space="preserve"> PAGEREF _Toc212406392 \h </w:instrText>
            </w:r>
            <w:r>
              <w:rPr>
                <w:noProof/>
                <w:webHidden/>
              </w:rPr>
            </w:r>
            <w:r>
              <w:rPr>
                <w:noProof/>
                <w:webHidden/>
              </w:rPr>
              <w:fldChar w:fldCharType="separate"/>
            </w:r>
            <w:r>
              <w:rPr>
                <w:noProof/>
                <w:webHidden/>
              </w:rPr>
              <w:t>103</w:t>
            </w:r>
            <w:r>
              <w:rPr>
                <w:noProof/>
                <w:webHidden/>
              </w:rPr>
              <w:fldChar w:fldCharType="end"/>
            </w:r>
          </w:hyperlink>
        </w:p>
        <w:p w14:paraId="290D7850" w14:textId="3F1BE1D8" w:rsidR="00000161" w:rsidRDefault="00000161" w:rsidP="00052882">
          <w:pPr>
            <w:pStyle w:val="TDC1"/>
            <w:spacing w:line="240" w:lineRule="auto"/>
            <w:rPr>
              <w:rFonts w:asciiTheme="minorHAnsi" w:eastAsiaTheme="minorEastAsia" w:hAnsiTheme="minorHAnsi" w:cstheme="minorBidi"/>
              <w:bCs w:val="0"/>
              <w:caps w:val="0"/>
              <w:noProof/>
              <w:kern w:val="2"/>
              <w:sz w:val="24"/>
              <w:lang w:val="es-CR" w:eastAsia="es-CR"/>
              <w14:ligatures w14:val="standardContextual"/>
            </w:rPr>
          </w:pPr>
          <w:hyperlink w:anchor="_Toc212406393" w:history="1">
            <w:r w:rsidRPr="00285508">
              <w:rPr>
                <w:rStyle w:val="Hipervnculo"/>
                <w:noProof/>
                <w:lang w:val="es-CR"/>
              </w:rPr>
              <w:t>7.</w:t>
            </w:r>
            <w:r>
              <w:rPr>
                <w:rFonts w:asciiTheme="minorHAnsi" w:eastAsiaTheme="minorEastAsia" w:hAnsiTheme="minorHAnsi" w:cstheme="minorBidi"/>
                <w:bCs w:val="0"/>
                <w:caps w:val="0"/>
                <w:noProof/>
                <w:kern w:val="2"/>
                <w:sz w:val="24"/>
                <w:lang w:val="es-CR" w:eastAsia="es-CR"/>
                <w14:ligatures w14:val="standardContextual"/>
              </w:rPr>
              <w:tab/>
            </w:r>
            <w:r w:rsidRPr="00285508">
              <w:rPr>
                <w:rStyle w:val="Hipervnculo"/>
                <w:noProof/>
                <w:lang w:val="es-CR"/>
              </w:rPr>
              <w:t>Validación del trabajo en el campo del desarrollo regenerativo y/o sostenible</w:t>
            </w:r>
            <w:r>
              <w:rPr>
                <w:noProof/>
                <w:webHidden/>
              </w:rPr>
              <w:tab/>
            </w:r>
            <w:r>
              <w:rPr>
                <w:noProof/>
                <w:webHidden/>
              </w:rPr>
              <w:fldChar w:fldCharType="begin"/>
            </w:r>
            <w:r>
              <w:rPr>
                <w:noProof/>
                <w:webHidden/>
              </w:rPr>
              <w:instrText xml:space="preserve"> PAGEREF _Toc212406393 \h </w:instrText>
            </w:r>
            <w:r>
              <w:rPr>
                <w:noProof/>
                <w:webHidden/>
              </w:rPr>
            </w:r>
            <w:r>
              <w:rPr>
                <w:noProof/>
                <w:webHidden/>
              </w:rPr>
              <w:fldChar w:fldCharType="separate"/>
            </w:r>
            <w:r>
              <w:rPr>
                <w:noProof/>
                <w:webHidden/>
              </w:rPr>
              <w:t>106</w:t>
            </w:r>
            <w:r>
              <w:rPr>
                <w:noProof/>
                <w:webHidden/>
              </w:rPr>
              <w:fldChar w:fldCharType="end"/>
            </w:r>
          </w:hyperlink>
        </w:p>
        <w:p w14:paraId="04CD568E" w14:textId="305B3A71" w:rsidR="00000161" w:rsidRDefault="00000161" w:rsidP="00052882">
          <w:pPr>
            <w:pStyle w:val="TDC3"/>
            <w:tabs>
              <w:tab w:val="left" w:pos="1540"/>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94" w:history="1">
            <w:r w:rsidRPr="00285508">
              <w:rPr>
                <w:rStyle w:val="Hipervnculo"/>
                <w:noProof/>
              </w:rPr>
              <w:t>7.1</w:t>
            </w:r>
            <w:r>
              <w:rPr>
                <w:rFonts w:asciiTheme="minorHAnsi" w:eastAsiaTheme="minorEastAsia" w:hAnsiTheme="minorHAnsi" w:cstheme="minorBidi"/>
                <w:noProof/>
                <w:kern w:val="2"/>
                <w:sz w:val="24"/>
                <w:szCs w:val="24"/>
                <w:lang w:val="es-CR" w:eastAsia="es-CR"/>
                <w14:ligatures w14:val="standardContextual"/>
              </w:rPr>
              <w:tab/>
            </w:r>
            <w:r w:rsidRPr="00285508">
              <w:rPr>
                <w:rStyle w:val="Hipervnculo"/>
                <w:noProof/>
              </w:rPr>
              <w:t>Relación del proyecto con los objetivos de Desarrollo Sostenible</w:t>
            </w:r>
            <w:r>
              <w:rPr>
                <w:noProof/>
                <w:webHidden/>
              </w:rPr>
              <w:tab/>
            </w:r>
            <w:r>
              <w:rPr>
                <w:noProof/>
                <w:webHidden/>
              </w:rPr>
              <w:fldChar w:fldCharType="begin"/>
            </w:r>
            <w:r>
              <w:rPr>
                <w:noProof/>
                <w:webHidden/>
              </w:rPr>
              <w:instrText xml:space="preserve"> PAGEREF _Toc212406394 \h </w:instrText>
            </w:r>
            <w:r>
              <w:rPr>
                <w:noProof/>
                <w:webHidden/>
              </w:rPr>
            </w:r>
            <w:r>
              <w:rPr>
                <w:noProof/>
                <w:webHidden/>
              </w:rPr>
              <w:fldChar w:fldCharType="separate"/>
            </w:r>
            <w:r>
              <w:rPr>
                <w:noProof/>
                <w:webHidden/>
              </w:rPr>
              <w:t>107</w:t>
            </w:r>
            <w:r>
              <w:rPr>
                <w:noProof/>
                <w:webHidden/>
              </w:rPr>
              <w:fldChar w:fldCharType="end"/>
            </w:r>
          </w:hyperlink>
        </w:p>
        <w:p w14:paraId="547E2F9F" w14:textId="791A6360" w:rsidR="00000161" w:rsidRDefault="00000161" w:rsidP="00052882">
          <w:pPr>
            <w:pStyle w:val="TDC3"/>
            <w:tabs>
              <w:tab w:val="left" w:pos="1540"/>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95" w:history="1">
            <w:r w:rsidRPr="00285508">
              <w:rPr>
                <w:rStyle w:val="Hipervnculo"/>
                <w:noProof/>
              </w:rPr>
              <w:t>7.2</w:t>
            </w:r>
            <w:r>
              <w:rPr>
                <w:rFonts w:asciiTheme="minorHAnsi" w:eastAsiaTheme="minorEastAsia" w:hAnsiTheme="minorHAnsi" w:cstheme="minorBidi"/>
                <w:noProof/>
                <w:kern w:val="2"/>
                <w:sz w:val="24"/>
                <w:szCs w:val="24"/>
                <w:lang w:val="es-CR" w:eastAsia="es-CR"/>
                <w14:ligatures w14:val="standardContextual"/>
              </w:rPr>
              <w:tab/>
            </w:r>
            <w:r w:rsidRPr="00285508">
              <w:rPr>
                <w:rStyle w:val="Hipervnculo"/>
                <w:noProof/>
              </w:rPr>
              <w:t>Análisis del proyecto de acuerdo con el Estándar P5</w:t>
            </w:r>
            <w:r>
              <w:rPr>
                <w:noProof/>
                <w:webHidden/>
              </w:rPr>
              <w:tab/>
            </w:r>
            <w:r>
              <w:rPr>
                <w:noProof/>
                <w:webHidden/>
              </w:rPr>
              <w:fldChar w:fldCharType="begin"/>
            </w:r>
            <w:r>
              <w:rPr>
                <w:noProof/>
                <w:webHidden/>
              </w:rPr>
              <w:instrText xml:space="preserve"> PAGEREF _Toc212406395 \h </w:instrText>
            </w:r>
            <w:r>
              <w:rPr>
                <w:noProof/>
                <w:webHidden/>
              </w:rPr>
            </w:r>
            <w:r>
              <w:rPr>
                <w:noProof/>
                <w:webHidden/>
              </w:rPr>
              <w:fldChar w:fldCharType="separate"/>
            </w:r>
            <w:r>
              <w:rPr>
                <w:noProof/>
                <w:webHidden/>
              </w:rPr>
              <w:t>110</w:t>
            </w:r>
            <w:r>
              <w:rPr>
                <w:noProof/>
                <w:webHidden/>
              </w:rPr>
              <w:fldChar w:fldCharType="end"/>
            </w:r>
          </w:hyperlink>
        </w:p>
        <w:p w14:paraId="07F5BCC8" w14:textId="71139390" w:rsidR="00000161" w:rsidRDefault="00000161" w:rsidP="00052882">
          <w:pPr>
            <w:pStyle w:val="TDC1"/>
            <w:spacing w:line="240" w:lineRule="auto"/>
            <w:rPr>
              <w:rFonts w:asciiTheme="minorHAnsi" w:eastAsiaTheme="minorEastAsia" w:hAnsiTheme="minorHAnsi" w:cstheme="minorBidi"/>
              <w:bCs w:val="0"/>
              <w:caps w:val="0"/>
              <w:noProof/>
              <w:kern w:val="2"/>
              <w:sz w:val="24"/>
              <w:lang w:val="es-CR" w:eastAsia="es-CR"/>
              <w14:ligatures w14:val="standardContextual"/>
            </w:rPr>
          </w:pPr>
          <w:hyperlink w:anchor="_Toc212406396" w:history="1">
            <w:r w:rsidRPr="00285508">
              <w:rPr>
                <w:rStyle w:val="Hipervnculo"/>
                <w:noProof/>
              </w:rPr>
              <w:t>7.1</w:t>
            </w:r>
            <w:r>
              <w:rPr>
                <w:rFonts w:asciiTheme="minorHAnsi" w:eastAsiaTheme="minorEastAsia" w:hAnsiTheme="minorHAnsi" w:cstheme="minorBidi"/>
                <w:bCs w:val="0"/>
                <w:caps w:val="0"/>
                <w:noProof/>
                <w:kern w:val="2"/>
                <w:sz w:val="24"/>
                <w:lang w:val="es-CR" w:eastAsia="es-CR"/>
                <w14:ligatures w14:val="standardContextual"/>
              </w:rPr>
              <w:tab/>
            </w:r>
            <w:r w:rsidRPr="00285508">
              <w:rPr>
                <w:rStyle w:val="Hipervnculo"/>
                <w:noProof/>
              </w:rPr>
              <w:t>Relación del proyecto con las dimensiones del Desarrollo Regenerativo</w:t>
            </w:r>
            <w:r>
              <w:rPr>
                <w:noProof/>
                <w:webHidden/>
              </w:rPr>
              <w:tab/>
            </w:r>
            <w:r>
              <w:rPr>
                <w:noProof/>
                <w:webHidden/>
              </w:rPr>
              <w:fldChar w:fldCharType="begin"/>
            </w:r>
            <w:r>
              <w:rPr>
                <w:noProof/>
                <w:webHidden/>
              </w:rPr>
              <w:instrText xml:space="preserve"> PAGEREF _Toc212406396 \h </w:instrText>
            </w:r>
            <w:r>
              <w:rPr>
                <w:noProof/>
                <w:webHidden/>
              </w:rPr>
            </w:r>
            <w:r>
              <w:rPr>
                <w:noProof/>
                <w:webHidden/>
              </w:rPr>
              <w:fldChar w:fldCharType="separate"/>
            </w:r>
            <w:r>
              <w:rPr>
                <w:noProof/>
                <w:webHidden/>
              </w:rPr>
              <w:t>156</w:t>
            </w:r>
            <w:r>
              <w:rPr>
                <w:noProof/>
                <w:webHidden/>
              </w:rPr>
              <w:fldChar w:fldCharType="end"/>
            </w:r>
          </w:hyperlink>
        </w:p>
        <w:p w14:paraId="79580C36" w14:textId="0117EE15" w:rsidR="00000161" w:rsidRDefault="00000161" w:rsidP="00052882">
          <w:pPr>
            <w:pStyle w:val="TDC1"/>
            <w:spacing w:line="240" w:lineRule="auto"/>
            <w:rPr>
              <w:rFonts w:asciiTheme="minorHAnsi" w:eastAsiaTheme="minorEastAsia" w:hAnsiTheme="minorHAnsi" w:cstheme="minorBidi"/>
              <w:bCs w:val="0"/>
              <w:caps w:val="0"/>
              <w:noProof/>
              <w:kern w:val="2"/>
              <w:sz w:val="24"/>
              <w:lang w:val="es-CR" w:eastAsia="es-CR"/>
              <w14:ligatures w14:val="standardContextual"/>
            </w:rPr>
          </w:pPr>
          <w:hyperlink w:anchor="_Toc212406397" w:history="1">
            <w:r w:rsidRPr="00285508">
              <w:rPr>
                <w:rStyle w:val="Hipervnculo"/>
                <w:noProof/>
                <w:lang w:val="es-CR"/>
              </w:rPr>
              <w:t>8.</w:t>
            </w:r>
            <w:r>
              <w:rPr>
                <w:rFonts w:asciiTheme="minorHAnsi" w:eastAsiaTheme="minorEastAsia" w:hAnsiTheme="minorHAnsi" w:cstheme="minorBidi"/>
                <w:bCs w:val="0"/>
                <w:caps w:val="0"/>
                <w:noProof/>
                <w:kern w:val="2"/>
                <w:sz w:val="24"/>
                <w:lang w:val="es-CR" w:eastAsia="es-CR"/>
                <w14:ligatures w14:val="standardContextual"/>
              </w:rPr>
              <w:tab/>
            </w:r>
            <w:r w:rsidRPr="00285508">
              <w:rPr>
                <w:rStyle w:val="Hipervnculo"/>
                <w:noProof/>
              </w:rPr>
              <w:t>B</w:t>
            </w:r>
            <w:r w:rsidRPr="00285508">
              <w:rPr>
                <w:rStyle w:val="Hipervnculo"/>
                <w:noProof/>
                <w:lang w:val="es-CR"/>
              </w:rPr>
              <w:t>ibliografía</w:t>
            </w:r>
            <w:r>
              <w:rPr>
                <w:noProof/>
                <w:webHidden/>
              </w:rPr>
              <w:tab/>
            </w:r>
            <w:r>
              <w:rPr>
                <w:noProof/>
                <w:webHidden/>
              </w:rPr>
              <w:fldChar w:fldCharType="begin"/>
            </w:r>
            <w:r>
              <w:rPr>
                <w:noProof/>
                <w:webHidden/>
              </w:rPr>
              <w:instrText xml:space="preserve"> PAGEREF _Toc212406397 \h </w:instrText>
            </w:r>
            <w:r>
              <w:rPr>
                <w:noProof/>
                <w:webHidden/>
              </w:rPr>
            </w:r>
            <w:r>
              <w:rPr>
                <w:noProof/>
                <w:webHidden/>
              </w:rPr>
              <w:fldChar w:fldCharType="separate"/>
            </w:r>
            <w:r>
              <w:rPr>
                <w:noProof/>
                <w:webHidden/>
              </w:rPr>
              <w:t>159</w:t>
            </w:r>
            <w:r>
              <w:rPr>
                <w:noProof/>
                <w:webHidden/>
              </w:rPr>
              <w:fldChar w:fldCharType="end"/>
            </w:r>
          </w:hyperlink>
        </w:p>
        <w:p w14:paraId="41D95F5D" w14:textId="612140A5" w:rsidR="00000161" w:rsidRDefault="00000161" w:rsidP="00052882">
          <w:pPr>
            <w:pStyle w:val="TDC1"/>
            <w:spacing w:line="240" w:lineRule="auto"/>
            <w:rPr>
              <w:rFonts w:asciiTheme="minorHAnsi" w:eastAsiaTheme="minorEastAsia" w:hAnsiTheme="minorHAnsi" w:cstheme="minorBidi"/>
              <w:bCs w:val="0"/>
              <w:caps w:val="0"/>
              <w:noProof/>
              <w:kern w:val="2"/>
              <w:sz w:val="24"/>
              <w:lang w:val="es-CR" w:eastAsia="es-CR"/>
              <w14:ligatures w14:val="standardContextual"/>
            </w:rPr>
          </w:pPr>
          <w:hyperlink w:anchor="_Toc212406398" w:history="1">
            <w:r w:rsidRPr="00285508">
              <w:rPr>
                <w:rStyle w:val="Hipervnculo"/>
                <w:noProof/>
              </w:rPr>
              <w:t>Anexos</w:t>
            </w:r>
            <w:r>
              <w:rPr>
                <w:noProof/>
                <w:webHidden/>
              </w:rPr>
              <w:tab/>
            </w:r>
            <w:r>
              <w:rPr>
                <w:noProof/>
                <w:webHidden/>
              </w:rPr>
              <w:fldChar w:fldCharType="begin"/>
            </w:r>
            <w:r>
              <w:rPr>
                <w:noProof/>
                <w:webHidden/>
              </w:rPr>
              <w:instrText xml:space="preserve"> PAGEREF _Toc212406398 \h </w:instrText>
            </w:r>
            <w:r>
              <w:rPr>
                <w:noProof/>
                <w:webHidden/>
              </w:rPr>
            </w:r>
            <w:r>
              <w:rPr>
                <w:noProof/>
                <w:webHidden/>
              </w:rPr>
              <w:fldChar w:fldCharType="separate"/>
            </w:r>
            <w:r>
              <w:rPr>
                <w:noProof/>
                <w:webHidden/>
              </w:rPr>
              <w:t>161</w:t>
            </w:r>
            <w:r>
              <w:rPr>
                <w:noProof/>
                <w:webHidden/>
              </w:rPr>
              <w:fldChar w:fldCharType="end"/>
            </w:r>
          </w:hyperlink>
        </w:p>
        <w:p w14:paraId="4B2C546B" w14:textId="1F1BF1E5" w:rsidR="00000161" w:rsidRDefault="00000161" w:rsidP="00052882">
          <w:pPr>
            <w:pStyle w:val="TDC3"/>
            <w:tabs>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399" w:history="1">
            <w:r w:rsidRPr="00285508">
              <w:rPr>
                <w:rStyle w:val="Hipervnculo"/>
                <w:noProof/>
              </w:rPr>
              <w:t>Anexo 1: ACTA (CHÁRTER) DEL PFG</w:t>
            </w:r>
            <w:r>
              <w:rPr>
                <w:noProof/>
                <w:webHidden/>
              </w:rPr>
              <w:tab/>
            </w:r>
            <w:r>
              <w:rPr>
                <w:noProof/>
                <w:webHidden/>
              </w:rPr>
              <w:fldChar w:fldCharType="begin"/>
            </w:r>
            <w:r>
              <w:rPr>
                <w:noProof/>
                <w:webHidden/>
              </w:rPr>
              <w:instrText xml:space="preserve"> PAGEREF _Toc212406399 \h </w:instrText>
            </w:r>
            <w:r>
              <w:rPr>
                <w:noProof/>
                <w:webHidden/>
              </w:rPr>
            </w:r>
            <w:r>
              <w:rPr>
                <w:noProof/>
                <w:webHidden/>
              </w:rPr>
              <w:fldChar w:fldCharType="separate"/>
            </w:r>
            <w:r>
              <w:rPr>
                <w:noProof/>
                <w:webHidden/>
              </w:rPr>
              <w:t>161</w:t>
            </w:r>
            <w:r>
              <w:rPr>
                <w:noProof/>
                <w:webHidden/>
              </w:rPr>
              <w:fldChar w:fldCharType="end"/>
            </w:r>
          </w:hyperlink>
        </w:p>
        <w:p w14:paraId="7EAF5A58" w14:textId="55B83BE0" w:rsidR="00000161" w:rsidRDefault="00000161" w:rsidP="00052882">
          <w:pPr>
            <w:pStyle w:val="TDC3"/>
            <w:tabs>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400" w:history="1">
            <w:r w:rsidRPr="00285508">
              <w:rPr>
                <w:rStyle w:val="Hipervnculo"/>
                <w:noProof/>
              </w:rPr>
              <w:t>Anexo 2: EDT del PFG</w:t>
            </w:r>
            <w:r>
              <w:rPr>
                <w:noProof/>
                <w:webHidden/>
              </w:rPr>
              <w:tab/>
            </w:r>
            <w:r>
              <w:rPr>
                <w:noProof/>
                <w:webHidden/>
              </w:rPr>
              <w:fldChar w:fldCharType="begin"/>
            </w:r>
            <w:r>
              <w:rPr>
                <w:noProof/>
                <w:webHidden/>
              </w:rPr>
              <w:instrText xml:space="preserve"> PAGEREF _Toc212406400 \h </w:instrText>
            </w:r>
            <w:r>
              <w:rPr>
                <w:noProof/>
                <w:webHidden/>
              </w:rPr>
            </w:r>
            <w:r>
              <w:rPr>
                <w:noProof/>
                <w:webHidden/>
              </w:rPr>
              <w:fldChar w:fldCharType="separate"/>
            </w:r>
            <w:r>
              <w:rPr>
                <w:noProof/>
                <w:webHidden/>
              </w:rPr>
              <w:t>169</w:t>
            </w:r>
            <w:r>
              <w:rPr>
                <w:noProof/>
                <w:webHidden/>
              </w:rPr>
              <w:fldChar w:fldCharType="end"/>
            </w:r>
          </w:hyperlink>
        </w:p>
        <w:p w14:paraId="2829DB21" w14:textId="34F242B0" w:rsidR="00000161" w:rsidRDefault="00000161" w:rsidP="00052882">
          <w:pPr>
            <w:pStyle w:val="TDC3"/>
            <w:tabs>
              <w:tab w:val="right" w:leader="dot" w:pos="8829"/>
            </w:tabs>
            <w:spacing w:line="240" w:lineRule="auto"/>
            <w:rPr>
              <w:rFonts w:asciiTheme="minorHAnsi" w:eastAsiaTheme="minorEastAsia" w:hAnsiTheme="minorHAnsi" w:cstheme="minorBidi"/>
              <w:noProof/>
              <w:kern w:val="2"/>
              <w:sz w:val="24"/>
              <w:szCs w:val="24"/>
              <w:lang w:val="es-CR" w:eastAsia="es-CR"/>
              <w14:ligatures w14:val="standardContextual"/>
            </w:rPr>
          </w:pPr>
          <w:hyperlink w:anchor="_Toc212406401" w:history="1">
            <w:r w:rsidRPr="00285508">
              <w:rPr>
                <w:rStyle w:val="Hipervnculo"/>
                <w:noProof/>
              </w:rPr>
              <w:t>Anexo 3: CRONOGRAMA del PFG</w:t>
            </w:r>
            <w:r>
              <w:rPr>
                <w:noProof/>
                <w:webHidden/>
              </w:rPr>
              <w:tab/>
            </w:r>
            <w:r>
              <w:rPr>
                <w:noProof/>
                <w:webHidden/>
              </w:rPr>
              <w:fldChar w:fldCharType="begin"/>
            </w:r>
            <w:r>
              <w:rPr>
                <w:noProof/>
                <w:webHidden/>
              </w:rPr>
              <w:instrText xml:space="preserve"> PAGEREF _Toc212406401 \h </w:instrText>
            </w:r>
            <w:r>
              <w:rPr>
                <w:noProof/>
                <w:webHidden/>
              </w:rPr>
            </w:r>
            <w:r>
              <w:rPr>
                <w:noProof/>
                <w:webHidden/>
              </w:rPr>
              <w:fldChar w:fldCharType="separate"/>
            </w:r>
            <w:r>
              <w:rPr>
                <w:noProof/>
                <w:webHidden/>
              </w:rPr>
              <w:t>170</w:t>
            </w:r>
            <w:r>
              <w:rPr>
                <w:noProof/>
                <w:webHidden/>
              </w:rPr>
              <w:fldChar w:fldCharType="end"/>
            </w:r>
          </w:hyperlink>
        </w:p>
        <w:p w14:paraId="4B5B5312" w14:textId="178F1828" w:rsidR="00EC386A" w:rsidRDefault="00EC386A" w:rsidP="00971534">
          <w:pPr>
            <w:spacing w:line="240" w:lineRule="auto"/>
          </w:pPr>
          <w:r w:rsidRPr="00C34653">
            <w:rPr>
              <w:b/>
              <w:bCs/>
              <w:szCs w:val="22"/>
            </w:rPr>
            <w:fldChar w:fldCharType="end"/>
          </w:r>
        </w:p>
      </w:sdtContent>
    </w:sdt>
    <w:p w14:paraId="197DE259" w14:textId="34FF5A8D" w:rsidR="00F24388" w:rsidRDefault="00990D5A" w:rsidP="008813FA">
      <w:pPr>
        <w:pStyle w:val="Ttulo1"/>
        <w:numPr>
          <w:ilvl w:val="0"/>
          <w:numId w:val="0"/>
        </w:numPr>
        <w:rPr>
          <w:bCs w:val="0"/>
        </w:rPr>
      </w:pPr>
      <w:r>
        <w:br w:type="page"/>
      </w:r>
    </w:p>
    <w:p w14:paraId="734862D4" w14:textId="77777777" w:rsidR="00F24388" w:rsidRDefault="00F24388">
      <w:pPr>
        <w:spacing w:line="240" w:lineRule="auto"/>
        <w:rPr>
          <w:bCs/>
        </w:rPr>
      </w:pPr>
    </w:p>
    <w:p w14:paraId="0EA17A79" w14:textId="77777777" w:rsidR="00421B17" w:rsidRPr="00A53C01" w:rsidRDefault="00421B17" w:rsidP="00421B17">
      <w:pPr>
        <w:pStyle w:val="Ttulo1"/>
        <w:numPr>
          <w:ilvl w:val="0"/>
          <w:numId w:val="0"/>
        </w:numPr>
      </w:pPr>
      <w:bookmarkStart w:id="2" w:name="_Toc212406330"/>
      <w:r w:rsidRPr="00A53C01">
        <w:t>LISTA DE FIGURAS</w:t>
      </w:r>
      <w:bookmarkEnd w:id="2"/>
    </w:p>
    <w:p w14:paraId="47CCF171" w14:textId="088155B9" w:rsidR="00421B17" w:rsidRPr="00421B17" w:rsidRDefault="00421B17" w:rsidP="00421B17">
      <w:pPr>
        <w:pStyle w:val="Tabladeilustraciones"/>
        <w:spacing w:line="240" w:lineRule="auto"/>
        <w:rPr>
          <w:rFonts w:asciiTheme="minorHAnsi" w:eastAsiaTheme="minorEastAsia" w:hAnsiTheme="minorHAnsi" w:cstheme="minorBidi"/>
          <w:noProof/>
          <w:kern w:val="2"/>
          <w:sz w:val="24"/>
          <w:lang w:eastAsia="es-CR"/>
          <w14:ligatures w14:val="standardContextual"/>
        </w:rPr>
      </w:pPr>
      <w:r>
        <w:fldChar w:fldCharType="begin"/>
      </w:r>
      <w:r>
        <w:instrText xml:space="preserve"> TOC \h \z \c "Figura" </w:instrText>
      </w:r>
      <w:r>
        <w:fldChar w:fldCharType="separate"/>
      </w:r>
      <w:hyperlink w:anchor="_Toc210425672" w:history="1">
        <w:r w:rsidRPr="00421B17">
          <w:rPr>
            <w:rStyle w:val="Hipervnculo"/>
            <w:noProof/>
          </w:rPr>
          <w:t>Figura 1</w:t>
        </w:r>
        <w:r w:rsidRPr="00421B17">
          <w:rPr>
            <w:noProof/>
          </w:rPr>
          <w:t xml:space="preserve"> </w:t>
        </w:r>
        <w:r w:rsidRPr="00421B17">
          <w:rPr>
            <w:rStyle w:val="Hipervnculo"/>
            <w:noProof/>
          </w:rPr>
          <w:t>Estructura Organizacional Contract Workplaces</w:t>
        </w:r>
        <w:r w:rsidRPr="00421B17">
          <w:rPr>
            <w:noProof/>
            <w:webHidden/>
          </w:rPr>
          <w:tab/>
        </w:r>
        <w:r w:rsidRPr="00421B17">
          <w:rPr>
            <w:noProof/>
            <w:webHidden/>
          </w:rPr>
          <w:fldChar w:fldCharType="begin"/>
        </w:r>
        <w:r w:rsidRPr="00421B17">
          <w:rPr>
            <w:noProof/>
            <w:webHidden/>
          </w:rPr>
          <w:instrText xml:space="preserve"> PAGEREF _Toc210425672 \h </w:instrText>
        </w:r>
        <w:r w:rsidRPr="00421B17">
          <w:rPr>
            <w:noProof/>
            <w:webHidden/>
          </w:rPr>
        </w:r>
        <w:r w:rsidRPr="00421B17">
          <w:rPr>
            <w:noProof/>
            <w:webHidden/>
          </w:rPr>
          <w:fldChar w:fldCharType="separate"/>
        </w:r>
        <w:r w:rsidR="00052882">
          <w:rPr>
            <w:noProof/>
            <w:webHidden/>
          </w:rPr>
          <w:t>13</w:t>
        </w:r>
        <w:r w:rsidRPr="00421B17">
          <w:rPr>
            <w:noProof/>
            <w:webHidden/>
          </w:rPr>
          <w:fldChar w:fldCharType="end"/>
        </w:r>
      </w:hyperlink>
    </w:p>
    <w:p w14:paraId="1C5746D5" w14:textId="0DB4FE0B" w:rsidR="00421B17" w:rsidRPr="00421B17" w:rsidRDefault="00421B17" w:rsidP="00421B17">
      <w:pPr>
        <w:pStyle w:val="Tabladeilustraciones"/>
        <w:spacing w:line="240" w:lineRule="auto"/>
        <w:rPr>
          <w:rFonts w:asciiTheme="minorHAnsi" w:eastAsiaTheme="minorEastAsia" w:hAnsiTheme="minorHAnsi" w:cstheme="minorBidi"/>
          <w:noProof/>
          <w:kern w:val="2"/>
          <w:sz w:val="24"/>
          <w:lang w:eastAsia="es-CR"/>
          <w14:ligatures w14:val="standardContextual"/>
        </w:rPr>
      </w:pPr>
      <w:hyperlink w:anchor="_Toc210425673" w:history="1">
        <w:r w:rsidRPr="00421B17">
          <w:rPr>
            <w:rStyle w:val="Hipervnculo"/>
            <w:noProof/>
          </w:rPr>
          <w:t>Figura 2 Enfoques de Desarrollo</w:t>
        </w:r>
        <w:r w:rsidRPr="00421B17">
          <w:rPr>
            <w:noProof/>
            <w:webHidden/>
          </w:rPr>
          <w:tab/>
        </w:r>
        <w:r w:rsidRPr="00421B17">
          <w:rPr>
            <w:noProof/>
            <w:webHidden/>
          </w:rPr>
          <w:fldChar w:fldCharType="begin"/>
        </w:r>
        <w:r w:rsidRPr="00421B17">
          <w:rPr>
            <w:noProof/>
            <w:webHidden/>
          </w:rPr>
          <w:instrText xml:space="preserve"> PAGEREF _Toc210425673 \h </w:instrText>
        </w:r>
        <w:r w:rsidRPr="00421B17">
          <w:rPr>
            <w:noProof/>
            <w:webHidden/>
          </w:rPr>
        </w:r>
        <w:r w:rsidRPr="00421B17">
          <w:rPr>
            <w:noProof/>
            <w:webHidden/>
          </w:rPr>
          <w:fldChar w:fldCharType="separate"/>
        </w:r>
        <w:r w:rsidR="00052882">
          <w:rPr>
            <w:noProof/>
            <w:webHidden/>
          </w:rPr>
          <w:t>27</w:t>
        </w:r>
        <w:r w:rsidRPr="00421B17">
          <w:rPr>
            <w:noProof/>
            <w:webHidden/>
          </w:rPr>
          <w:fldChar w:fldCharType="end"/>
        </w:r>
      </w:hyperlink>
    </w:p>
    <w:p w14:paraId="5B45177E" w14:textId="743581BF" w:rsidR="00421B17" w:rsidRPr="00421B17" w:rsidRDefault="00421B17" w:rsidP="00421B17">
      <w:pPr>
        <w:pStyle w:val="Tabladeilustraciones"/>
        <w:spacing w:line="240" w:lineRule="auto"/>
        <w:rPr>
          <w:rFonts w:asciiTheme="minorHAnsi" w:eastAsiaTheme="minorEastAsia" w:hAnsiTheme="minorHAnsi" w:cstheme="minorBidi"/>
          <w:noProof/>
          <w:kern w:val="2"/>
          <w:sz w:val="24"/>
          <w:lang w:eastAsia="es-CR"/>
          <w14:ligatures w14:val="standardContextual"/>
        </w:rPr>
      </w:pPr>
      <w:hyperlink w:anchor="_Toc210425674" w:history="1">
        <w:r w:rsidRPr="00421B17">
          <w:rPr>
            <w:rStyle w:val="Hipervnculo"/>
            <w:noProof/>
          </w:rPr>
          <w:t>Figura 3 Desarrollo Iterativo e Incremental</w:t>
        </w:r>
        <w:r w:rsidRPr="00421B17">
          <w:rPr>
            <w:noProof/>
            <w:webHidden/>
          </w:rPr>
          <w:tab/>
        </w:r>
        <w:r w:rsidRPr="00421B17">
          <w:rPr>
            <w:noProof/>
            <w:webHidden/>
          </w:rPr>
          <w:fldChar w:fldCharType="begin"/>
        </w:r>
        <w:r w:rsidRPr="00421B17">
          <w:rPr>
            <w:noProof/>
            <w:webHidden/>
          </w:rPr>
          <w:instrText xml:space="preserve"> PAGEREF _Toc210425674 \h </w:instrText>
        </w:r>
        <w:r w:rsidRPr="00421B17">
          <w:rPr>
            <w:noProof/>
            <w:webHidden/>
          </w:rPr>
        </w:r>
        <w:r w:rsidRPr="00421B17">
          <w:rPr>
            <w:noProof/>
            <w:webHidden/>
          </w:rPr>
          <w:fldChar w:fldCharType="separate"/>
        </w:r>
        <w:r w:rsidR="00052882">
          <w:rPr>
            <w:noProof/>
            <w:webHidden/>
          </w:rPr>
          <w:t>28</w:t>
        </w:r>
        <w:r w:rsidRPr="00421B17">
          <w:rPr>
            <w:noProof/>
            <w:webHidden/>
          </w:rPr>
          <w:fldChar w:fldCharType="end"/>
        </w:r>
      </w:hyperlink>
    </w:p>
    <w:p w14:paraId="04A32CDF" w14:textId="2568EF9A" w:rsidR="00421B17" w:rsidRPr="00421B17" w:rsidRDefault="00421B17" w:rsidP="00421B17">
      <w:pPr>
        <w:pStyle w:val="Tabladeilustraciones"/>
        <w:spacing w:line="240" w:lineRule="auto"/>
        <w:rPr>
          <w:rFonts w:asciiTheme="minorHAnsi" w:eastAsiaTheme="minorEastAsia" w:hAnsiTheme="minorHAnsi" w:cstheme="minorBidi"/>
          <w:noProof/>
          <w:kern w:val="2"/>
          <w:sz w:val="24"/>
          <w:lang w:eastAsia="es-CR"/>
          <w14:ligatures w14:val="standardContextual"/>
        </w:rPr>
      </w:pPr>
      <w:hyperlink w:anchor="_Toc210425675" w:history="1">
        <w:r w:rsidRPr="00421B17">
          <w:rPr>
            <w:rStyle w:val="Hipervnculo"/>
            <w:noProof/>
          </w:rPr>
          <w:t>Figura 4 Grupo de Procesos de la Dirección de Proyectos</w:t>
        </w:r>
        <w:r w:rsidRPr="00421B17">
          <w:rPr>
            <w:noProof/>
            <w:webHidden/>
          </w:rPr>
          <w:tab/>
        </w:r>
        <w:r w:rsidRPr="00421B17">
          <w:rPr>
            <w:noProof/>
            <w:webHidden/>
          </w:rPr>
          <w:fldChar w:fldCharType="begin"/>
        </w:r>
        <w:r w:rsidRPr="00421B17">
          <w:rPr>
            <w:noProof/>
            <w:webHidden/>
          </w:rPr>
          <w:instrText xml:space="preserve"> PAGEREF _Toc210425675 \h </w:instrText>
        </w:r>
        <w:r w:rsidRPr="00421B17">
          <w:rPr>
            <w:noProof/>
            <w:webHidden/>
          </w:rPr>
        </w:r>
        <w:r w:rsidRPr="00421B17">
          <w:rPr>
            <w:noProof/>
            <w:webHidden/>
          </w:rPr>
          <w:fldChar w:fldCharType="separate"/>
        </w:r>
        <w:r w:rsidR="00052882">
          <w:rPr>
            <w:noProof/>
            <w:webHidden/>
          </w:rPr>
          <w:t>33</w:t>
        </w:r>
        <w:r w:rsidRPr="00421B17">
          <w:rPr>
            <w:noProof/>
            <w:webHidden/>
          </w:rPr>
          <w:fldChar w:fldCharType="end"/>
        </w:r>
      </w:hyperlink>
    </w:p>
    <w:p w14:paraId="02FD104D" w14:textId="739063F5" w:rsidR="00421B17" w:rsidRPr="00421B17" w:rsidRDefault="00421B17" w:rsidP="00421B17">
      <w:pPr>
        <w:pStyle w:val="Tabladeilustraciones"/>
        <w:spacing w:line="240" w:lineRule="auto"/>
        <w:rPr>
          <w:rFonts w:asciiTheme="minorHAnsi" w:eastAsiaTheme="minorEastAsia" w:hAnsiTheme="minorHAnsi" w:cstheme="minorBidi"/>
          <w:noProof/>
          <w:kern w:val="2"/>
          <w:sz w:val="24"/>
          <w:lang w:eastAsia="es-CR"/>
          <w14:ligatures w14:val="standardContextual"/>
        </w:rPr>
      </w:pPr>
      <w:hyperlink w:anchor="_Toc210425676" w:history="1">
        <w:r w:rsidRPr="00421B17">
          <w:rPr>
            <w:rStyle w:val="Hipervnculo"/>
            <w:noProof/>
          </w:rPr>
          <w:t>Figura 5 Ciclo de Vida del Proyecto</w:t>
        </w:r>
        <w:r w:rsidRPr="00421B17">
          <w:rPr>
            <w:noProof/>
            <w:webHidden/>
          </w:rPr>
          <w:tab/>
        </w:r>
        <w:r w:rsidRPr="00421B17">
          <w:rPr>
            <w:noProof/>
            <w:webHidden/>
          </w:rPr>
          <w:fldChar w:fldCharType="begin"/>
        </w:r>
        <w:r w:rsidRPr="00421B17">
          <w:rPr>
            <w:noProof/>
            <w:webHidden/>
          </w:rPr>
          <w:instrText xml:space="preserve"> PAGEREF _Toc210425676 \h </w:instrText>
        </w:r>
        <w:r w:rsidRPr="00421B17">
          <w:rPr>
            <w:noProof/>
            <w:webHidden/>
          </w:rPr>
        </w:r>
        <w:r w:rsidRPr="00421B17">
          <w:rPr>
            <w:noProof/>
            <w:webHidden/>
          </w:rPr>
          <w:fldChar w:fldCharType="separate"/>
        </w:r>
        <w:r w:rsidR="00052882">
          <w:rPr>
            <w:noProof/>
            <w:webHidden/>
          </w:rPr>
          <w:t>34</w:t>
        </w:r>
        <w:r w:rsidRPr="00421B17">
          <w:rPr>
            <w:noProof/>
            <w:webHidden/>
          </w:rPr>
          <w:fldChar w:fldCharType="end"/>
        </w:r>
      </w:hyperlink>
    </w:p>
    <w:p w14:paraId="416710AC" w14:textId="0FBA5951" w:rsidR="00421B17" w:rsidRPr="00421B17" w:rsidRDefault="00421B17" w:rsidP="00421B17">
      <w:pPr>
        <w:pStyle w:val="Tabladeilustraciones"/>
        <w:spacing w:line="240" w:lineRule="auto"/>
        <w:rPr>
          <w:rStyle w:val="Hipervnculo"/>
          <w:noProof/>
        </w:rPr>
      </w:pPr>
      <w:hyperlink w:anchor="_Toc210425677" w:history="1">
        <w:r w:rsidRPr="00421B17">
          <w:rPr>
            <w:rStyle w:val="Hipervnculo"/>
            <w:noProof/>
          </w:rPr>
          <w:t>Figura 6</w:t>
        </w:r>
        <w:r w:rsidRPr="00421B17">
          <w:rPr>
            <w:noProof/>
          </w:rPr>
          <w:t xml:space="preserve"> </w:t>
        </w:r>
        <w:r w:rsidRPr="00421B17">
          <w:rPr>
            <w:rStyle w:val="Hipervnculo"/>
            <w:noProof/>
          </w:rPr>
          <w:t>Dirección Organizacional de Proyectos</w:t>
        </w:r>
        <w:r w:rsidRPr="00421B17">
          <w:rPr>
            <w:noProof/>
            <w:webHidden/>
          </w:rPr>
          <w:tab/>
        </w:r>
        <w:r w:rsidRPr="00421B17">
          <w:rPr>
            <w:noProof/>
            <w:webHidden/>
          </w:rPr>
          <w:fldChar w:fldCharType="begin"/>
        </w:r>
        <w:r w:rsidRPr="00421B17">
          <w:rPr>
            <w:noProof/>
            <w:webHidden/>
          </w:rPr>
          <w:instrText xml:space="preserve"> PAGEREF _Toc210425677 \h </w:instrText>
        </w:r>
        <w:r w:rsidRPr="00421B17">
          <w:rPr>
            <w:noProof/>
            <w:webHidden/>
          </w:rPr>
        </w:r>
        <w:r w:rsidRPr="00421B17">
          <w:rPr>
            <w:noProof/>
            <w:webHidden/>
          </w:rPr>
          <w:fldChar w:fldCharType="separate"/>
        </w:r>
        <w:r w:rsidR="00052882">
          <w:rPr>
            <w:noProof/>
            <w:webHidden/>
          </w:rPr>
          <w:t>37</w:t>
        </w:r>
        <w:r w:rsidRPr="00421B17">
          <w:rPr>
            <w:noProof/>
            <w:webHidden/>
          </w:rPr>
          <w:fldChar w:fldCharType="end"/>
        </w:r>
      </w:hyperlink>
    </w:p>
    <w:p w14:paraId="4581B420" w14:textId="77777777" w:rsidR="00421B17" w:rsidRDefault="00421B17" w:rsidP="00421B17">
      <w:pPr>
        <w:spacing w:line="240" w:lineRule="auto"/>
        <w:rPr>
          <w:noProof/>
          <w:lang w:val="es-CR" w:eastAsia="es-MX"/>
        </w:rPr>
      </w:pPr>
    </w:p>
    <w:p w14:paraId="0102B2D2" w14:textId="29F760E4" w:rsidR="00F24388" w:rsidRDefault="00421B17" w:rsidP="00421B17">
      <w:pPr>
        <w:spacing w:line="240" w:lineRule="auto"/>
        <w:rPr>
          <w:bCs/>
        </w:rPr>
      </w:pPr>
      <w:r>
        <w:rPr>
          <w:lang w:val="es-CR" w:eastAsia="es-MX"/>
        </w:rPr>
        <w:fldChar w:fldCharType="end"/>
      </w:r>
    </w:p>
    <w:p w14:paraId="0BF0A18C" w14:textId="188CE6B2" w:rsidR="00F24388" w:rsidRDefault="00F24388" w:rsidP="0098201D">
      <w:pPr>
        <w:spacing w:line="240" w:lineRule="auto"/>
      </w:pPr>
    </w:p>
    <w:p w14:paraId="0000009C" w14:textId="33B4CD3B" w:rsidR="00A2355F" w:rsidRDefault="00990D5A" w:rsidP="008813FA">
      <w:pPr>
        <w:pStyle w:val="Ttulo1"/>
        <w:numPr>
          <w:ilvl w:val="0"/>
          <w:numId w:val="0"/>
        </w:numPr>
        <w:rPr>
          <w:b w:val="0"/>
          <w:bCs w:val="0"/>
        </w:rPr>
      </w:pPr>
      <w:r>
        <w:br w:type="page"/>
      </w:r>
      <w:bookmarkStart w:id="3" w:name="_Toc212406331"/>
      <w:r w:rsidRPr="00A957BE">
        <w:lastRenderedPageBreak/>
        <w:t>LISTA DE TABLAS</w:t>
      </w:r>
      <w:bookmarkEnd w:id="3"/>
    </w:p>
    <w:p w14:paraId="79086A03" w14:textId="77777777" w:rsidR="00772100" w:rsidRPr="00A957BE" w:rsidRDefault="00772100" w:rsidP="0098201D">
      <w:pPr>
        <w:spacing w:line="240" w:lineRule="auto"/>
      </w:pPr>
    </w:p>
    <w:p w14:paraId="5610C5ED" w14:textId="78C71A06" w:rsidR="00421B17" w:rsidRPr="00421B17" w:rsidRDefault="00421B17" w:rsidP="00421B17">
      <w:pPr>
        <w:pStyle w:val="Tabladeilustraciones"/>
        <w:spacing w:line="240" w:lineRule="auto"/>
        <w:rPr>
          <w:rFonts w:asciiTheme="minorHAnsi" w:eastAsiaTheme="minorEastAsia" w:hAnsiTheme="minorHAnsi" w:cstheme="minorBidi"/>
          <w:noProof/>
          <w:kern w:val="2"/>
          <w:sz w:val="24"/>
          <w:lang w:eastAsia="es-CR"/>
          <w14:ligatures w14:val="standardContextual"/>
        </w:rPr>
      </w:pPr>
      <w:r w:rsidRPr="00421B17">
        <w:fldChar w:fldCharType="begin"/>
      </w:r>
      <w:r w:rsidRPr="00421B17">
        <w:instrText xml:space="preserve"> TOC \h \z \c "Tabla" </w:instrText>
      </w:r>
      <w:r w:rsidRPr="00421B17">
        <w:fldChar w:fldCharType="separate"/>
      </w:r>
      <w:hyperlink w:anchor="_Toc210425788" w:history="1">
        <w:r w:rsidRPr="00421B17">
          <w:rPr>
            <w:rStyle w:val="Hipervnculo"/>
            <w:noProof/>
          </w:rPr>
          <w:t>Tabla 1</w:t>
        </w:r>
        <w:r w:rsidRPr="00421B17">
          <w:rPr>
            <w:noProof/>
          </w:rPr>
          <w:t xml:space="preserve"> </w:t>
        </w:r>
        <w:r w:rsidRPr="00421B17">
          <w:rPr>
            <w:rStyle w:val="Hipervnculo"/>
            <w:noProof/>
          </w:rPr>
          <w:t>Fuentes de Información Utilizadas</w:t>
        </w:r>
        <w:r w:rsidRPr="00421B17">
          <w:rPr>
            <w:noProof/>
            <w:webHidden/>
          </w:rPr>
          <w:tab/>
        </w:r>
        <w:r w:rsidRPr="00421B17">
          <w:rPr>
            <w:noProof/>
            <w:webHidden/>
          </w:rPr>
          <w:fldChar w:fldCharType="begin"/>
        </w:r>
        <w:r w:rsidRPr="00421B17">
          <w:rPr>
            <w:noProof/>
            <w:webHidden/>
          </w:rPr>
          <w:instrText xml:space="preserve"> PAGEREF _Toc210425788 \h </w:instrText>
        </w:r>
        <w:r w:rsidRPr="00421B17">
          <w:rPr>
            <w:noProof/>
            <w:webHidden/>
          </w:rPr>
        </w:r>
        <w:r w:rsidRPr="00421B17">
          <w:rPr>
            <w:noProof/>
            <w:webHidden/>
          </w:rPr>
          <w:fldChar w:fldCharType="separate"/>
        </w:r>
        <w:r w:rsidR="00052882">
          <w:rPr>
            <w:noProof/>
            <w:webHidden/>
          </w:rPr>
          <w:t>51</w:t>
        </w:r>
        <w:r w:rsidRPr="00421B17">
          <w:rPr>
            <w:noProof/>
            <w:webHidden/>
          </w:rPr>
          <w:fldChar w:fldCharType="end"/>
        </w:r>
      </w:hyperlink>
    </w:p>
    <w:p w14:paraId="5C85F7ED" w14:textId="374D3F4C" w:rsidR="00421B17" w:rsidRPr="00421B17" w:rsidRDefault="00421B17" w:rsidP="00421B17">
      <w:pPr>
        <w:pStyle w:val="Tabladeilustraciones"/>
        <w:spacing w:line="240" w:lineRule="auto"/>
        <w:rPr>
          <w:rFonts w:asciiTheme="minorHAnsi" w:eastAsiaTheme="minorEastAsia" w:hAnsiTheme="minorHAnsi" w:cstheme="minorBidi"/>
          <w:noProof/>
          <w:kern w:val="2"/>
          <w:sz w:val="24"/>
          <w:lang w:eastAsia="es-CR"/>
          <w14:ligatures w14:val="standardContextual"/>
        </w:rPr>
      </w:pPr>
      <w:hyperlink w:anchor="_Toc210425789" w:history="1">
        <w:r w:rsidRPr="00421B17">
          <w:rPr>
            <w:rStyle w:val="Hipervnculo"/>
            <w:noProof/>
          </w:rPr>
          <w:t>Tabla 2</w:t>
        </w:r>
        <w:r w:rsidRPr="00421B17">
          <w:rPr>
            <w:noProof/>
          </w:rPr>
          <w:t xml:space="preserve"> </w:t>
        </w:r>
        <w:r w:rsidRPr="00421B17">
          <w:rPr>
            <w:rStyle w:val="Hipervnculo"/>
            <w:noProof/>
          </w:rPr>
          <w:t>Métodos de Investigación Utilizados</w:t>
        </w:r>
        <w:r w:rsidRPr="00421B17">
          <w:rPr>
            <w:noProof/>
            <w:webHidden/>
          </w:rPr>
          <w:tab/>
        </w:r>
        <w:r w:rsidRPr="00421B17">
          <w:rPr>
            <w:noProof/>
            <w:webHidden/>
          </w:rPr>
          <w:fldChar w:fldCharType="begin"/>
        </w:r>
        <w:r w:rsidRPr="00421B17">
          <w:rPr>
            <w:noProof/>
            <w:webHidden/>
          </w:rPr>
          <w:instrText xml:space="preserve"> PAGEREF _Toc210425789 \h </w:instrText>
        </w:r>
        <w:r w:rsidRPr="00421B17">
          <w:rPr>
            <w:noProof/>
            <w:webHidden/>
          </w:rPr>
        </w:r>
        <w:r w:rsidRPr="00421B17">
          <w:rPr>
            <w:noProof/>
            <w:webHidden/>
          </w:rPr>
          <w:fldChar w:fldCharType="separate"/>
        </w:r>
        <w:r w:rsidR="00052882">
          <w:rPr>
            <w:noProof/>
            <w:webHidden/>
          </w:rPr>
          <w:t>57</w:t>
        </w:r>
        <w:r w:rsidRPr="00421B17">
          <w:rPr>
            <w:noProof/>
            <w:webHidden/>
          </w:rPr>
          <w:fldChar w:fldCharType="end"/>
        </w:r>
      </w:hyperlink>
    </w:p>
    <w:p w14:paraId="1A852F58" w14:textId="00C78615" w:rsidR="00421B17" w:rsidRPr="00421B17" w:rsidRDefault="00421B17" w:rsidP="00421B17">
      <w:pPr>
        <w:pStyle w:val="Tabladeilustraciones"/>
        <w:spacing w:line="240" w:lineRule="auto"/>
        <w:rPr>
          <w:rFonts w:asciiTheme="minorHAnsi" w:eastAsiaTheme="minorEastAsia" w:hAnsiTheme="minorHAnsi" w:cstheme="minorBidi"/>
          <w:noProof/>
          <w:kern w:val="2"/>
          <w:sz w:val="24"/>
          <w:lang w:eastAsia="es-CR"/>
          <w14:ligatures w14:val="standardContextual"/>
        </w:rPr>
      </w:pPr>
      <w:hyperlink w:anchor="_Toc210425790" w:history="1">
        <w:r w:rsidRPr="00421B17">
          <w:rPr>
            <w:rStyle w:val="Hipervnculo"/>
            <w:noProof/>
          </w:rPr>
          <w:t>Tabla 3</w:t>
        </w:r>
        <w:r w:rsidRPr="00421B17">
          <w:rPr>
            <w:noProof/>
          </w:rPr>
          <w:t xml:space="preserve"> </w:t>
        </w:r>
        <w:r w:rsidRPr="00421B17">
          <w:rPr>
            <w:rStyle w:val="Hipervnculo"/>
            <w:noProof/>
          </w:rPr>
          <w:t>Herramientas Utilizadas</w:t>
        </w:r>
        <w:r w:rsidRPr="00421B17">
          <w:rPr>
            <w:noProof/>
            <w:webHidden/>
          </w:rPr>
          <w:tab/>
        </w:r>
        <w:r w:rsidRPr="00421B17">
          <w:rPr>
            <w:noProof/>
            <w:webHidden/>
          </w:rPr>
          <w:fldChar w:fldCharType="begin"/>
        </w:r>
        <w:r w:rsidRPr="00421B17">
          <w:rPr>
            <w:noProof/>
            <w:webHidden/>
          </w:rPr>
          <w:instrText xml:space="preserve"> PAGEREF _Toc210425790 \h </w:instrText>
        </w:r>
        <w:r w:rsidRPr="00421B17">
          <w:rPr>
            <w:noProof/>
            <w:webHidden/>
          </w:rPr>
        </w:r>
        <w:r w:rsidRPr="00421B17">
          <w:rPr>
            <w:noProof/>
            <w:webHidden/>
          </w:rPr>
          <w:fldChar w:fldCharType="separate"/>
        </w:r>
        <w:r w:rsidR="00052882">
          <w:rPr>
            <w:noProof/>
            <w:webHidden/>
          </w:rPr>
          <w:t>61</w:t>
        </w:r>
        <w:r w:rsidRPr="00421B17">
          <w:rPr>
            <w:noProof/>
            <w:webHidden/>
          </w:rPr>
          <w:fldChar w:fldCharType="end"/>
        </w:r>
      </w:hyperlink>
    </w:p>
    <w:p w14:paraId="0275FA32" w14:textId="2DD89168" w:rsidR="00421B17" w:rsidRPr="00421B17" w:rsidRDefault="00421B17" w:rsidP="00421B17">
      <w:pPr>
        <w:pStyle w:val="Tabladeilustraciones"/>
        <w:spacing w:line="240" w:lineRule="auto"/>
        <w:rPr>
          <w:rFonts w:asciiTheme="minorHAnsi" w:eastAsiaTheme="minorEastAsia" w:hAnsiTheme="minorHAnsi" w:cstheme="minorBidi"/>
          <w:noProof/>
          <w:kern w:val="2"/>
          <w:sz w:val="24"/>
          <w:lang w:eastAsia="es-CR"/>
          <w14:ligatures w14:val="standardContextual"/>
        </w:rPr>
      </w:pPr>
      <w:hyperlink w:anchor="_Toc210425791" w:history="1">
        <w:r w:rsidRPr="00421B17">
          <w:rPr>
            <w:rStyle w:val="Hipervnculo"/>
            <w:noProof/>
          </w:rPr>
          <w:t>Tabla 4</w:t>
        </w:r>
        <w:r w:rsidRPr="00421B17">
          <w:rPr>
            <w:noProof/>
          </w:rPr>
          <w:t xml:space="preserve"> </w:t>
        </w:r>
        <w:r w:rsidRPr="00421B17">
          <w:rPr>
            <w:rStyle w:val="Hipervnculo"/>
            <w:noProof/>
          </w:rPr>
          <w:t>Suspuestos y Restricciones</w:t>
        </w:r>
        <w:r w:rsidRPr="00421B17">
          <w:rPr>
            <w:noProof/>
            <w:webHidden/>
          </w:rPr>
          <w:tab/>
        </w:r>
        <w:r w:rsidRPr="00421B17">
          <w:rPr>
            <w:noProof/>
            <w:webHidden/>
          </w:rPr>
          <w:fldChar w:fldCharType="begin"/>
        </w:r>
        <w:r w:rsidRPr="00421B17">
          <w:rPr>
            <w:noProof/>
            <w:webHidden/>
          </w:rPr>
          <w:instrText xml:space="preserve"> PAGEREF _Toc210425791 \h </w:instrText>
        </w:r>
        <w:r w:rsidRPr="00421B17">
          <w:rPr>
            <w:noProof/>
            <w:webHidden/>
          </w:rPr>
        </w:r>
        <w:r w:rsidRPr="00421B17">
          <w:rPr>
            <w:noProof/>
            <w:webHidden/>
          </w:rPr>
          <w:fldChar w:fldCharType="separate"/>
        </w:r>
        <w:r w:rsidR="00052882">
          <w:rPr>
            <w:noProof/>
            <w:webHidden/>
          </w:rPr>
          <w:t>64</w:t>
        </w:r>
        <w:r w:rsidRPr="00421B17">
          <w:rPr>
            <w:noProof/>
            <w:webHidden/>
          </w:rPr>
          <w:fldChar w:fldCharType="end"/>
        </w:r>
      </w:hyperlink>
    </w:p>
    <w:p w14:paraId="030BFEA0" w14:textId="3C507E48" w:rsidR="00421B17" w:rsidRPr="00421B17" w:rsidRDefault="00421B17" w:rsidP="00421B17">
      <w:pPr>
        <w:pStyle w:val="Tabladeilustraciones"/>
        <w:spacing w:line="240" w:lineRule="auto"/>
        <w:rPr>
          <w:rFonts w:asciiTheme="minorHAnsi" w:eastAsiaTheme="minorEastAsia" w:hAnsiTheme="minorHAnsi" w:cstheme="minorBidi"/>
          <w:noProof/>
          <w:kern w:val="2"/>
          <w:sz w:val="24"/>
          <w:lang w:eastAsia="es-CR"/>
          <w14:ligatures w14:val="standardContextual"/>
        </w:rPr>
      </w:pPr>
      <w:hyperlink w:anchor="_Toc210425792" w:history="1">
        <w:r w:rsidRPr="00421B17">
          <w:rPr>
            <w:rStyle w:val="Hipervnculo"/>
            <w:noProof/>
          </w:rPr>
          <w:t>Tabla 5 Entregables</w:t>
        </w:r>
        <w:r w:rsidRPr="00421B17">
          <w:rPr>
            <w:noProof/>
            <w:webHidden/>
          </w:rPr>
          <w:tab/>
        </w:r>
        <w:r w:rsidRPr="00421B17">
          <w:rPr>
            <w:noProof/>
            <w:webHidden/>
          </w:rPr>
          <w:fldChar w:fldCharType="begin"/>
        </w:r>
        <w:r w:rsidRPr="00421B17">
          <w:rPr>
            <w:noProof/>
            <w:webHidden/>
          </w:rPr>
          <w:instrText xml:space="preserve"> PAGEREF _Toc210425792 \h </w:instrText>
        </w:r>
        <w:r w:rsidRPr="00421B17">
          <w:rPr>
            <w:noProof/>
            <w:webHidden/>
          </w:rPr>
        </w:r>
        <w:r w:rsidRPr="00421B17">
          <w:rPr>
            <w:noProof/>
            <w:webHidden/>
          </w:rPr>
          <w:fldChar w:fldCharType="separate"/>
        </w:r>
        <w:r w:rsidR="00052882">
          <w:rPr>
            <w:noProof/>
            <w:webHidden/>
          </w:rPr>
          <w:t>66</w:t>
        </w:r>
        <w:r w:rsidRPr="00421B17">
          <w:rPr>
            <w:noProof/>
            <w:webHidden/>
          </w:rPr>
          <w:fldChar w:fldCharType="end"/>
        </w:r>
      </w:hyperlink>
    </w:p>
    <w:p w14:paraId="7E33E4EA" w14:textId="406D7F36" w:rsidR="00421B17" w:rsidRPr="00421B17" w:rsidRDefault="00421B17" w:rsidP="00421B17">
      <w:pPr>
        <w:pStyle w:val="Tabladeilustraciones"/>
        <w:spacing w:line="240" w:lineRule="auto"/>
        <w:rPr>
          <w:rFonts w:asciiTheme="minorHAnsi" w:eastAsiaTheme="minorEastAsia" w:hAnsiTheme="minorHAnsi" w:cstheme="minorBidi"/>
          <w:noProof/>
          <w:kern w:val="2"/>
          <w:sz w:val="24"/>
          <w:lang w:eastAsia="es-CR"/>
          <w14:ligatures w14:val="standardContextual"/>
        </w:rPr>
      </w:pPr>
      <w:hyperlink w:anchor="_Toc210425793" w:history="1">
        <w:r w:rsidRPr="00421B17">
          <w:rPr>
            <w:rStyle w:val="Hipervnculo"/>
            <w:noProof/>
          </w:rPr>
          <w:t>Tabla 6</w:t>
        </w:r>
        <w:r w:rsidRPr="00421B17">
          <w:rPr>
            <w:noProof/>
          </w:rPr>
          <w:t xml:space="preserve"> </w:t>
        </w:r>
        <w:r w:rsidRPr="00421B17">
          <w:rPr>
            <w:rStyle w:val="Hipervnculo"/>
            <w:noProof/>
          </w:rPr>
          <w:t>Diagrama SIPOC</w:t>
        </w:r>
        <w:r w:rsidRPr="00421B17">
          <w:rPr>
            <w:noProof/>
            <w:webHidden/>
          </w:rPr>
          <w:tab/>
        </w:r>
        <w:r w:rsidRPr="00421B17">
          <w:rPr>
            <w:noProof/>
            <w:webHidden/>
          </w:rPr>
          <w:fldChar w:fldCharType="begin"/>
        </w:r>
        <w:r w:rsidRPr="00421B17">
          <w:rPr>
            <w:noProof/>
            <w:webHidden/>
          </w:rPr>
          <w:instrText xml:space="preserve"> PAGEREF _Toc210425793 \h </w:instrText>
        </w:r>
        <w:r w:rsidRPr="00421B17">
          <w:rPr>
            <w:noProof/>
            <w:webHidden/>
          </w:rPr>
        </w:r>
        <w:r w:rsidRPr="00421B17">
          <w:rPr>
            <w:noProof/>
            <w:webHidden/>
          </w:rPr>
          <w:fldChar w:fldCharType="separate"/>
        </w:r>
        <w:r w:rsidR="00052882">
          <w:rPr>
            <w:noProof/>
            <w:webHidden/>
          </w:rPr>
          <w:t>74</w:t>
        </w:r>
        <w:r w:rsidRPr="00421B17">
          <w:rPr>
            <w:noProof/>
            <w:webHidden/>
          </w:rPr>
          <w:fldChar w:fldCharType="end"/>
        </w:r>
      </w:hyperlink>
    </w:p>
    <w:p w14:paraId="27E1DCF7" w14:textId="3CD98B8E" w:rsidR="00421B17" w:rsidRPr="00421B17" w:rsidRDefault="00421B17" w:rsidP="00421B17">
      <w:pPr>
        <w:pStyle w:val="Tabladeilustraciones"/>
        <w:spacing w:line="240" w:lineRule="auto"/>
        <w:rPr>
          <w:rFonts w:asciiTheme="minorHAnsi" w:eastAsiaTheme="minorEastAsia" w:hAnsiTheme="minorHAnsi" w:cstheme="minorBidi"/>
          <w:noProof/>
          <w:kern w:val="2"/>
          <w:sz w:val="24"/>
          <w:lang w:eastAsia="es-CR"/>
          <w14:ligatures w14:val="standardContextual"/>
        </w:rPr>
      </w:pPr>
      <w:hyperlink w:anchor="_Toc210425794" w:history="1">
        <w:r w:rsidRPr="00421B17">
          <w:rPr>
            <w:rStyle w:val="Hipervnculo"/>
            <w:noProof/>
          </w:rPr>
          <w:t>Tabla 7 Análisis Foda del proceso Design &amp; Build en Contract Workplaces</w:t>
        </w:r>
        <w:r w:rsidRPr="00421B17">
          <w:rPr>
            <w:noProof/>
            <w:webHidden/>
          </w:rPr>
          <w:tab/>
        </w:r>
        <w:r w:rsidRPr="00421B17">
          <w:rPr>
            <w:noProof/>
            <w:webHidden/>
          </w:rPr>
          <w:fldChar w:fldCharType="begin"/>
        </w:r>
        <w:r w:rsidRPr="00421B17">
          <w:rPr>
            <w:noProof/>
            <w:webHidden/>
          </w:rPr>
          <w:instrText xml:space="preserve"> PAGEREF _Toc210425794 \h </w:instrText>
        </w:r>
        <w:r w:rsidRPr="00421B17">
          <w:rPr>
            <w:noProof/>
            <w:webHidden/>
          </w:rPr>
        </w:r>
        <w:r w:rsidRPr="00421B17">
          <w:rPr>
            <w:noProof/>
            <w:webHidden/>
          </w:rPr>
          <w:fldChar w:fldCharType="separate"/>
        </w:r>
        <w:r w:rsidR="00052882">
          <w:rPr>
            <w:noProof/>
            <w:webHidden/>
          </w:rPr>
          <w:t>76</w:t>
        </w:r>
        <w:r w:rsidRPr="00421B17">
          <w:rPr>
            <w:noProof/>
            <w:webHidden/>
          </w:rPr>
          <w:fldChar w:fldCharType="end"/>
        </w:r>
      </w:hyperlink>
    </w:p>
    <w:p w14:paraId="1EE6BA96" w14:textId="1C132716" w:rsidR="00421B17" w:rsidRPr="00421B17" w:rsidRDefault="00421B17" w:rsidP="00421B17">
      <w:pPr>
        <w:pStyle w:val="Tabladeilustraciones"/>
        <w:spacing w:line="240" w:lineRule="auto"/>
        <w:rPr>
          <w:rFonts w:asciiTheme="minorHAnsi" w:eastAsiaTheme="minorEastAsia" w:hAnsiTheme="minorHAnsi" w:cstheme="minorBidi"/>
          <w:noProof/>
          <w:kern w:val="2"/>
          <w:sz w:val="24"/>
          <w:lang w:eastAsia="es-CR"/>
          <w14:ligatures w14:val="standardContextual"/>
        </w:rPr>
      </w:pPr>
      <w:hyperlink w:anchor="_Toc210425795" w:history="1">
        <w:r w:rsidRPr="00421B17">
          <w:rPr>
            <w:rStyle w:val="Hipervnculo"/>
            <w:noProof/>
          </w:rPr>
          <w:t>Tabla 8</w:t>
        </w:r>
        <w:r w:rsidRPr="00421B17">
          <w:rPr>
            <w:noProof/>
          </w:rPr>
          <w:t xml:space="preserve"> </w:t>
        </w:r>
        <w:r w:rsidRPr="00421B17">
          <w:rPr>
            <w:rStyle w:val="Hipervnculo"/>
            <w:noProof/>
          </w:rPr>
          <w:t>Herramientas representativas por enfoque</w:t>
        </w:r>
        <w:r w:rsidRPr="00421B17">
          <w:rPr>
            <w:noProof/>
            <w:webHidden/>
          </w:rPr>
          <w:tab/>
        </w:r>
        <w:r w:rsidRPr="00421B17">
          <w:rPr>
            <w:noProof/>
            <w:webHidden/>
          </w:rPr>
          <w:fldChar w:fldCharType="begin"/>
        </w:r>
        <w:r w:rsidRPr="00421B17">
          <w:rPr>
            <w:noProof/>
            <w:webHidden/>
          </w:rPr>
          <w:instrText xml:space="preserve"> PAGEREF _Toc210425795 \h </w:instrText>
        </w:r>
        <w:r w:rsidRPr="00421B17">
          <w:rPr>
            <w:noProof/>
            <w:webHidden/>
          </w:rPr>
        </w:r>
        <w:r w:rsidRPr="00421B17">
          <w:rPr>
            <w:noProof/>
            <w:webHidden/>
          </w:rPr>
          <w:fldChar w:fldCharType="separate"/>
        </w:r>
        <w:r w:rsidR="00052882">
          <w:rPr>
            <w:noProof/>
            <w:webHidden/>
          </w:rPr>
          <w:t>83</w:t>
        </w:r>
        <w:r w:rsidRPr="00421B17">
          <w:rPr>
            <w:noProof/>
            <w:webHidden/>
          </w:rPr>
          <w:fldChar w:fldCharType="end"/>
        </w:r>
      </w:hyperlink>
    </w:p>
    <w:p w14:paraId="1490D194" w14:textId="19FE7F5A" w:rsidR="00421B17" w:rsidRPr="00421B17" w:rsidRDefault="00421B17" w:rsidP="00421B17">
      <w:pPr>
        <w:pStyle w:val="Tabladeilustraciones"/>
        <w:spacing w:line="240" w:lineRule="auto"/>
        <w:rPr>
          <w:rFonts w:asciiTheme="minorHAnsi" w:eastAsiaTheme="minorEastAsia" w:hAnsiTheme="minorHAnsi" w:cstheme="minorBidi"/>
          <w:noProof/>
          <w:kern w:val="2"/>
          <w:sz w:val="24"/>
          <w:lang w:eastAsia="es-CR"/>
          <w14:ligatures w14:val="standardContextual"/>
        </w:rPr>
      </w:pPr>
      <w:hyperlink w:anchor="_Toc210425796" w:history="1">
        <w:r w:rsidRPr="00421B17">
          <w:rPr>
            <w:rStyle w:val="Hipervnculo"/>
            <w:noProof/>
          </w:rPr>
          <w:t>Tabla 9</w:t>
        </w:r>
        <w:r w:rsidRPr="00421B17">
          <w:rPr>
            <w:noProof/>
          </w:rPr>
          <w:t xml:space="preserve"> </w:t>
        </w:r>
        <w:r w:rsidRPr="00421B17">
          <w:rPr>
            <w:rStyle w:val="Hipervnculo"/>
            <w:noProof/>
          </w:rPr>
          <w:t>Tabla Comparativa de procesos CWP</w:t>
        </w:r>
        <w:r w:rsidRPr="00421B17">
          <w:rPr>
            <w:noProof/>
            <w:webHidden/>
          </w:rPr>
          <w:tab/>
        </w:r>
        <w:r w:rsidRPr="00421B17">
          <w:rPr>
            <w:noProof/>
            <w:webHidden/>
          </w:rPr>
          <w:fldChar w:fldCharType="begin"/>
        </w:r>
        <w:r w:rsidRPr="00421B17">
          <w:rPr>
            <w:noProof/>
            <w:webHidden/>
          </w:rPr>
          <w:instrText xml:space="preserve"> PAGEREF _Toc210425796 \h </w:instrText>
        </w:r>
        <w:r w:rsidRPr="00421B17">
          <w:rPr>
            <w:noProof/>
            <w:webHidden/>
          </w:rPr>
        </w:r>
        <w:r w:rsidRPr="00421B17">
          <w:rPr>
            <w:noProof/>
            <w:webHidden/>
          </w:rPr>
          <w:fldChar w:fldCharType="separate"/>
        </w:r>
        <w:r w:rsidR="00052882">
          <w:rPr>
            <w:noProof/>
            <w:webHidden/>
          </w:rPr>
          <w:t>96</w:t>
        </w:r>
        <w:r w:rsidRPr="00421B17">
          <w:rPr>
            <w:noProof/>
            <w:webHidden/>
          </w:rPr>
          <w:fldChar w:fldCharType="end"/>
        </w:r>
      </w:hyperlink>
    </w:p>
    <w:p w14:paraId="12C4E061" w14:textId="67B9B925" w:rsidR="00421B17" w:rsidRPr="00421B17" w:rsidRDefault="00421B17" w:rsidP="00421B17">
      <w:pPr>
        <w:pStyle w:val="Tabladeilustraciones"/>
        <w:spacing w:line="240" w:lineRule="auto"/>
        <w:rPr>
          <w:rFonts w:asciiTheme="minorHAnsi" w:eastAsiaTheme="minorEastAsia" w:hAnsiTheme="minorHAnsi" w:cstheme="minorBidi"/>
          <w:noProof/>
          <w:kern w:val="2"/>
          <w:sz w:val="24"/>
          <w:lang w:eastAsia="es-CR"/>
          <w14:ligatures w14:val="standardContextual"/>
        </w:rPr>
      </w:pPr>
      <w:hyperlink w:anchor="_Toc210425797" w:history="1">
        <w:r w:rsidRPr="00421B17">
          <w:rPr>
            <w:rStyle w:val="Hipervnculo"/>
            <w:noProof/>
          </w:rPr>
          <w:t>Tabla 10 Análisis de Impacto</w:t>
        </w:r>
        <w:r w:rsidRPr="00421B17">
          <w:rPr>
            <w:noProof/>
            <w:webHidden/>
          </w:rPr>
          <w:tab/>
        </w:r>
        <w:r w:rsidRPr="00421B17">
          <w:rPr>
            <w:noProof/>
            <w:webHidden/>
          </w:rPr>
          <w:fldChar w:fldCharType="begin"/>
        </w:r>
        <w:r w:rsidRPr="00421B17">
          <w:rPr>
            <w:noProof/>
            <w:webHidden/>
          </w:rPr>
          <w:instrText xml:space="preserve"> PAGEREF _Toc210425797 \h </w:instrText>
        </w:r>
        <w:r w:rsidRPr="00421B17">
          <w:rPr>
            <w:noProof/>
            <w:webHidden/>
          </w:rPr>
        </w:r>
        <w:r w:rsidRPr="00421B17">
          <w:rPr>
            <w:noProof/>
            <w:webHidden/>
          </w:rPr>
          <w:fldChar w:fldCharType="separate"/>
        </w:r>
        <w:r w:rsidR="00052882">
          <w:rPr>
            <w:noProof/>
            <w:webHidden/>
          </w:rPr>
          <w:t>114</w:t>
        </w:r>
        <w:r w:rsidRPr="00421B17">
          <w:rPr>
            <w:noProof/>
            <w:webHidden/>
          </w:rPr>
          <w:fldChar w:fldCharType="end"/>
        </w:r>
      </w:hyperlink>
    </w:p>
    <w:p w14:paraId="02EE5545" w14:textId="1C83E09E" w:rsidR="00421B17" w:rsidRPr="00F0136C" w:rsidRDefault="00421B17" w:rsidP="00421B17">
      <w:pPr>
        <w:spacing w:line="240" w:lineRule="auto"/>
        <w:rPr>
          <w:b/>
          <w:bCs/>
        </w:rPr>
      </w:pPr>
      <w:r w:rsidRPr="00421B17">
        <w:rPr>
          <w:bCs/>
          <w:lang w:val="es-CR" w:eastAsia="es-MX"/>
        </w:rPr>
        <w:fldChar w:fldCharType="end"/>
      </w:r>
      <w:r w:rsidRPr="00421B17">
        <w:rPr>
          <w:b/>
          <w:bCs/>
        </w:rPr>
        <w:t xml:space="preserve"> </w:t>
      </w:r>
    </w:p>
    <w:p w14:paraId="000000A3" w14:textId="60091DF5" w:rsidR="00A2355F" w:rsidRPr="00F0136C" w:rsidRDefault="00A2355F" w:rsidP="00421B17">
      <w:pPr>
        <w:pStyle w:val="Ttulo2"/>
        <w:spacing w:line="240" w:lineRule="auto"/>
        <w:rPr>
          <w:b w:val="0"/>
          <w:bCs/>
        </w:rPr>
      </w:pPr>
    </w:p>
    <w:p w14:paraId="4886FF39" w14:textId="77777777" w:rsidR="007159E3" w:rsidRDefault="007159E3" w:rsidP="00777501">
      <w:pPr>
        <w:pStyle w:val="Ttulo2"/>
      </w:pPr>
    </w:p>
    <w:p w14:paraId="443122E9" w14:textId="77777777" w:rsidR="00F24388" w:rsidRDefault="00F24388" w:rsidP="00A957BE">
      <w:pPr>
        <w:pStyle w:val="Ttulo2"/>
      </w:pPr>
    </w:p>
    <w:p w14:paraId="268686A1" w14:textId="77777777" w:rsidR="00F24388" w:rsidRDefault="00F24388" w:rsidP="00A957BE">
      <w:pPr>
        <w:pStyle w:val="Ttulo2"/>
      </w:pPr>
    </w:p>
    <w:p w14:paraId="7FED4BA7" w14:textId="77777777" w:rsidR="00F24388" w:rsidRDefault="00F24388" w:rsidP="00A957BE">
      <w:pPr>
        <w:pStyle w:val="Ttulo2"/>
      </w:pPr>
    </w:p>
    <w:p w14:paraId="000000A4" w14:textId="00A7BC76" w:rsidR="00A2355F" w:rsidRPr="00777501" w:rsidRDefault="00990D5A" w:rsidP="00F24388">
      <w:pPr>
        <w:pStyle w:val="Ttulo2"/>
      </w:pPr>
      <w:r w:rsidRPr="007159E3">
        <w:br w:type="column"/>
      </w:r>
      <w:bookmarkStart w:id="4" w:name="_Toc200286353"/>
      <w:bookmarkStart w:id="5" w:name="_Toc203151000"/>
      <w:bookmarkStart w:id="6" w:name="_Toc212406332"/>
      <w:r w:rsidRPr="00777501">
        <w:lastRenderedPageBreak/>
        <w:t>ÍNDICE DE ACRÓNIMOS Y ABREVIACIONES</w:t>
      </w:r>
      <w:bookmarkEnd w:id="4"/>
      <w:bookmarkEnd w:id="5"/>
      <w:bookmarkEnd w:id="6"/>
    </w:p>
    <w:p w14:paraId="5F10EB23" w14:textId="77777777" w:rsidR="00A53C01" w:rsidRDefault="00753590" w:rsidP="008717B3">
      <w:pPr>
        <w:ind w:firstLine="0"/>
        <w:rPr>
          <w:color w:val="000000" w:themeColor="text1"/>
        </w:rPr>
      </w:pPr>
      <w:r w:rsidRPr="00A53C01">
        <w:rPr>
          <w:color w:val="000000" w:themeColor="text1"/>
        </w:rPr>
        <w:t>CFIA Colegio Federado de Ingenieros y de Arquitectos de Costa Rica</w:t>
      </w:r>
      <w:r w:rsidRPr="00A53C01">
        <w:rPr>
          <w:color w:val="000000" w:themeColor="text1"/>
        </w:rPr>
        <w:br/>
        <w:t>CO</w:t>
      </w:r>
      <w:r w:rsidRPr="00A53C01">
        <w:rPr>
          <w:rFonts w:ascii="Cambria Math" w:hAnsi="Cambria Math" w:cs="Cambria Math"/>
          <w:color w:val="000000" w:themeColor="text1"/>
        </w:rPr>
        <w:t>₂</w:t>
      </w:r>
      <w:r w:rsidRPr="00A53C01">
        <w:rPr>
          <w:color w:val="000000" w:themeColor="text1"/>
        </w:rPr>
        <w:t xml:space="preserve"> Dióxido de carbono</w:t>
      </w:r>
      <w:r w:rsidRPr="00A53C01">
        <w:rPr>
          <w:color w:val="000000" w:themeColor="text1"/>
        </w:rPr>
        <w:br/>
        <w:t>DB (Design &amp; Build) Diseño y Construcción</w:t>
      </w:r>
    </w:p>
    <w:p w14:paraId="11706209" w14:textId="32CD690F" w:rsidR="00753590" w:rsidRDefault="00A53C01" w:rsidP="008717B3">
      <w:pPr>
        <w:ind w:firstLine="0"/>
        <w:rPr>
          <w:color w:val="000000" w:themeColor="text1"/>
        </w:rPr>
      </w:pPr>
      <w:r>
        <w:rPr>
          <w:color w:val="000000" w:themeColor="text1"/>
        </w:rPr>
        <w:t>CWP Contract Workplaces</w:t>
      </w:r>
      <w:r w:rsidR="00753590" w:rsidRPr="00A53C01">
        <w:rPr>
          <w:color w:val="000000" w:themeColor="text1"/>
        </w:rPr>
        <w:br/>
        <w:t>ESG (Environmental, Social and Governance) Ambiental, Social y Gobernanza</w:t>
      </w:r>
      <w:r w:rsidR="00753590" w:rsidRPr="00A53C01">
        <w:rPr>
          <w:color w:val="000000" w:themeColor="text1"/>
        </w:rPr>
        <w:br/>
        <w:t>GPM Green Project Management</w:t>
      </w:r>
      <w:r w:rsidR="00753590" w:rsidRPr="00A53C01">
        <w:rPr>
          <w:color w:val="000000" w:themeColor="text1"/>
        </w:rPr>
        <w:br/>
        <w:t>MEP Mecánicas, Eléctricas y Plomería</w:t>
      </w:r>
      <w:r w:rsidR="00753590" w:rsidRPr="00A53C01">
        <w:rPr>
          <w:color w:val="000000" w:themeColor="text1"/>
        </w:rPr>
        <w:br/>
        <w:t>ODS Objetivos de Desarrollo Sostenible</w:t>
      </w:r>
      <w:r w:rsidR="00753590" w:rsidRPr="00A53C01">
        <w:rPr>
          <w:color w:val="000000" w:themeColor="text1"/>
        </w:rPr>
        <w:br/>
        <w:t>PMI Project Management Institute</w:t>
      </w:r>
      <w:r w:rsidR="00753590" w:rsidRPr="00A53C01">
        <w:rPr>
          <w:color w:val="000000" w:themeColor="text1"/>
        </w:rPr>
        <w:br/>
        <w:t xml:space="preserve">PM Project Management </w:t>
      </w:r>
      <w:r w:rsidR="00753590" w:rsidRPr="00A53C01">
        <w:rPr>
          <w:color w:val="000000" w:themeColor="text1"/>
        </w:rPr>
        <w:br/>
        <w:t>RBS (Risk Breakdown Structure) Estructura de Descomposición de Riesgos</w:t>
      </w:r>
      <w:r w:rsidR="00753590" w:rsidRPr="00A53C01">
        <w:rPr>
          <w:color w:val="000000" w:themeColor="text1"/>
        </w:rPr>
        <w:br/>
        <w:t>TIA Tenant Improvement Allowance (Asignación para Mejoras del Inquilino)</w:t>
      </w:r>
      <w:r w:rsidR="00753590" w:rsidRPr="00A53C01">
        <w:rPr>
          <w:color w:val="000000" w:themeColor="text1"/>
        </w:rPr>
        <w:br/>
        <w:t xml:space="preserve">UCI Universidad para la Cooperación Internación </w:t>
      </w:r>
    </w:p>
    <w:p w14:paraId="0056F644" w14:textId="62F11EBA" w:rsidR="009A4AFD" w:rsidRPr="00237B6D" w:rsidRDefault="009A4AFD" w:rsidP="008717B3">
      <w:pPr>
        <w:ind w:firstLine="0"/>
        <w:rPr>
          <w:color w:val="000000" w:themeColor="text1"/>
        </w:rPr>
      </w:pPr>
      <w:r w:rsidRPr="00237B6D">
        <w:rPr>
          <w:color w:val="000000" w:themeColor="text1"/>
        </w:rPr>
        <w:t>A&amp;D Arquitectura y Diseño</w:t>
      </w:r>
    </w:p>
    <w:p w14:paraId="33A6A7EA" w14:textId="0F01F01E" w:rsidR="00181782" w:rsidRPr="00237B6D" w:rsidRDefault="00181782" w:rsidP="008717B3">
      <w:pPr>
        <w:ind w:firstLine="0"/>
        <w:rPr>
          <w:color w:val="000000" w:themeColor="text1"/>
        </w:rPr>
      </w:pPr>
      <w:r w:rsidRPr="00237B6D">
        <w:rPr>
          <w:color w:val="000000" w:themeColor="text1"/>
        </w:rPr>
        <w:t xml:space="preserve">DO Dirección de obra </w:t>
      </w:r>
    </w:p>
    <w:p w14:paraId="748B65EA" w14:textId="39E318FF" w:rsidR="00C24774" w:rsidRPr="00237B6D" w:rsidRDefault="00C24774" w:rsidP="008717B3">
      <w:pPr>
        <w:ind w:firstLine="0"/>
        <w:rPr>
          <w:color w:val="000000" w:themeColor="text1"/>
        </w:rPr>
      </w:pPr>
      <w:r w:rsidRPr="00237B6D">
        <w:rPr>
          <w:color w:val="000000" w:themeColor="text1"/>
        </w:rPr>
        <w:t>PMO Oficina de Gestión de Proyectos</w:t>
      </w:r>
    </w:p>
    <w:p w14:paraId="000000C1" w14:textId="7D3F4B73" w:rsidR="00A2355F" w:rsidRDefault="0065093F" w:rsidP="0098201D">
      <w:pPr>
        <w:spacing w:line="360" w:lineRule="auto"/>
        <w:ind w:firstLine="0"/>
        <w:jc w:val="both"/>
        <w:rPr>
          <w:b/>
        </w:rPr>
      </w:pPr>
      <w:r>
        <w:rPr>
          <w:b/>
        </w:rPr>
        <w:br w:type="page"/>
      </w:r>
    </w:p>
    <w:p w14:paraId="000000C2" w14:textId="77777777" w:rsidR="00A2355F" w:rsidRPr="00777501" w:rsidRDefault="00990D5A" w:rsidP="0098201D">
      <w:pPr>
        <w:pStyle w:val="Ttulo2"/>
        <w:jc w:val="center"/>
      </w:pPr>
      <w:bookmarkStart w:id="7" w:name="_Toc200286354"/>
      <w:bookmarkStart w:id="8" w:name="_Toc203151001"/>
      <w:bookmarkStart w:id="9" w:name="_Toc212406333"/>
      <w:r w:rsidRPr="00777501">
        <w:lastRenderedPageBreak/>
        <w:t>RESUMEN EJECUTIVO</w:t>
      </w:r>
      <w:bookmarkEnd w:id="7"/>
      <w:bookmarkEnd w:id="8"/>
      <w:bookmarkEnd w:id="9"/>
    </w:p>
    <w:p w14:paraId="7323AF1C" w14:textId="77777777" w:rsidR="009D67CC" w:rsidRPr="009D67CC" w:rsidRDefault="009D67CC" w:rsidP="009D67CC">
      <w:pPr>
        <w:spacing w:line="240" w:lineRule="auto"/>
        <w:ind w:firstLine="0"/>
        <w:rPr>
          <w:lang w:val="es-CR"/>
        </w:rPr>
      </w:pPr>
      <w:r w:rsidRPr="009D67CC">
        <w:rPr>
          <w:lang w:val="es-CR"/>
        </w:rPr>
        <w:t>Contract Workplaces es una empresa especializada en el diseño, construcción y equipamiento de espacios de trabajo en América Latina. A lo largo de su trayectoria, ha consolidado un modelo de operación basado en el sistema Design &amp; Build (diseño y construcción llave en mano), que integra de manera simultánea las etapas de diseño, ingeniería, construcción y entrega. Este enfoque ha permitido alcanzar altos niveles de eficiencia en tiempo, costos y control de calidad, posicionando a la empresa como un referente regional en proyectos corporativos.</w:t>
      </w:r>
    </w:p>
    <w:p w14:paraId="3B01B018" w14:textId="77777777" w:rsidR="009D67CC" w:rsidRPr="009D67CC" w:rsidRDefault="009D67CC" w:rsidP="009D67CC">
      <w:pPr>
        <w:spacing w:line="240" w:lineRule="auto"/>
        <w:ind w:firstLine="0"/>
        <w:rPr>
          <w:lang w:val="es-CR"/>
        </w:rPr>
      </w:pPr>
      <w:r w:rsidRPr="009D67CC">
        <w:rPr>
          <w:lang w:val="es-CR"/>
        </w:rPr>
        <w:t>No obstante, la aplicación de este modelo también ha revelado algunos desafíos en la coordinación interna y la gestión integral de los proyectos, especialmente durante las fases de planificación y control. A medida que la empresa crece y asume proyectos más complejos, se ha vuelto indispensable revisar sus procesos y fortalecer las estrategias de gestión para mantener la competitividad y la calidad de sus entregas.</w:t>
      </w:r>
    </w:p>
    <w:p w14:paraId="4ACD6A5A" w14:textId="77777777" w:rsidR="009D67CC" w:rsidRPr="009D67CC" w:rsidRDefault="009D67CC" w:rsidP="009D67CC">
      <w:pPr>
        <w:spacing w:line="240" w:lineRule="auto"/>
        <w:ind w:firstLine="0"/>
        <w:rPr>
          <w:lang w:val="es-CR"/>
        </w:rPr>
      </w:pPr>
      <w:r w:rsidRPr="009D67CC">
        <w:rPr>
          <w:lang w:val="es-CR"/>
        </w:rPr>
        <w:t>Actualmente, se han identificado debilidades en la estandarización de procesos, una integración limitada entre las áreas de diseño y obra y una escasa trazabilidad en el seguimiento de tareas, recursos y desviaciones. Estos aspectos han generado inconsistencias en los plazos, sobrecostos no previstos y dificultades en la toma de decisiones oportunas. Como evidencia, el 31% de los proyectos ejecutados entre junio de 2024 y junio de 2025 (8 de 26) no cumplió los cronogramas establecidos, mientras que los imprevistos en obra o deficiencias en la planificación redujeron la rentabilidad hasta en un 5% por proyecto. En algunos casos, las correcciones implicaron ampliaciones de plazos y uso adicional de recursos, afectando directamente los indicadores clave de desempeño.</w:t>
      </w:r>
    </w:p>
    <w:p w14:paraId="4575CC2C" w14:textId="77777777" w:rsidR="009D67CC" w:rsidRPr="009D67CC" w:rsidRDefault="009D67CC" w:rsidP="009D67CC">
      <w:pPr>
        <w:spacing w:line="240" w:lineRule="auto"/>
        <w:ind w:firstLine="0"/>
        <w:rPr>
          <w:lang w:val="es-CR"/>
        </w:rPr>
      </w:pPr>
      <w:r w:rsidRPr="009D67CC">
        <w:rPr>
          <w:lang w:val="es-CR"/>
        </w:rPr>
        <w:t>Esta situación justifica la necesidad de desarrollar una propuesta de mejora enfocada en optimizar los procesos de planificación y control, con el propósito de aumentar la eficiencia, mejorar la comunicación entre equipos y lograr una mayor coherencia entre las etapas de diseño y ejecución. Este proyecto representa una oportunidad estratégica para profesionalizar la gestión interna de Contract Workplaces mediante la incorporación de metodologías y herramientas basadas en estándares internacionales reconocidos, como los del Project Management Institute (PMI) y el Green Project Management (GPM).</w:t>
      </w:r>
    </w:p>
    <w:p w14:paraId="532686C7" w14:textId="77777777" w:rsidR="009D67CC" w:rsidRPr="009D67CC" w:rsidRDefault="009D67CC" w:rsidP="009D67CC">
      <w:pPr>
        <w:spacing w:line="240" w:lineRule="auto"/>
        <w:ind w:firstLine="0"/>
        <w:rPr>
          <w:lang w:val="es-CR"/>
        </w:rPr>
      </w:pPr>
      <w:r w:rsidRPr="009D67CC">
        <w:rPr>
          <w:lang w:val="es-CR"/>
        </w:rPr>
        <w:t>El objetivo general del proyecto fue proponer mejoras en los procesos de planificación y control aplicados en los proyectos Design &amp; Build, con el fin de optimizar la integración entre diseño y ejecución, mejorar el desempeño en costo, tiempo y calidad, y facilitar la toma de decisiones a lo largo del ciclo de vida del proyecto. Los objetivos específicos incluyeron analizar los procesos actuales, identificar sus debilidades, proponer soluciones, diseñar un plan de implementación y comparar los resultados esperados frente al modelo actual.</w:t>
      </w:r>
    </w:p>
    <w:p w14:paraId="080D757C" w14:textId="77777777" w:rsidR="009D67CC" w:rsidRPr="009D67CC" w:rsidRDefault="009D67CC" w:rsidP="009D67CC">
      <w:pPr>
        <w:spacing w:line="240" w:lineRule="auto"/>
        <w:ind w:firstLine="0"/>
        <w:rPr>
          <w:lang w:val="es-CR"/>
        </w:rPr>
      </w:pPr>
      <w:r w:rsidRPr="009D67CC">
        <w:rPr>
          <w:lang w:val="es-CR"/>
        </w:rPr>
        <w:t>La investigación se desarrolló bajo un enfoque mixto, no experimental y de tipo aplicado, ya que buscó resolver una problemática concreta dentro de la organización. Se combinaron métodos analítico-sintético, deductivo y comparativo, integrando información cualitativa y cuantitativa para obtener una visión más completa del contexto organizacional. El estudio se sustentó en el análisis de 26 proyectos ejecutados por Contract Workplaces entre 2024 y 2025, complementado con entrevistas a profesionales de las áreas de diseño, coordinación de obra y dirección de proyectos, además de encuestas a colaboradores y revisión de documentación interna.</w:t>
      </w:r>
    </w:p>
    <w:p w14:paraId="0760CCD3" w14:textId="77777777" w:rsidR="009D67CC" w:rsidRPr="009D67CC" w:rsidRDefault="009D67CC" w:rsidP="009D67CC">
      <w:pPr>
        <w:spacing w:line="240" w:lineRule="auto"/>
        <w:ind w:firstLine="0"/>
        <w:rPr>
          <w:lang w:val="es-CR"/>
        </w:rPr>
      </w:pPr>
      <w:r w:rsidRPr="009D67CC">
        <w:rPr>
          <w:lang w:val="es-CR"/>
        </w:rPr>
        <w:t xml:space="preserve">Las fuentes primarias incluyeron cronogramas, lecciones aprendidas, presupuestos y reportes de avance, mientras que las fuentes secundarias abarcaron literatura científica y estándares internacionales de gestión de proyectos. Se consultaron referentes como la </w:t>
      </w:r>
      <w:r w:rsidRPr="009D67CC">
        <w:rPr>
          <w:lang w:val="es-CR"/>
        </w:rPr>
        <w:lastRenderedPageBreak/>
        <w:t>Guía del PMBOK (PMI, 2021, 2023), así como textos especializados de Kotter (2021), Hammer y Champy (2019) y Dumas et al. (2018). También se analizaron investigaciones sobre el modelo Design &amp; Build, entre ellas las de El Asmar, Hanna y Loh (2018), quienes comparan su desempeño frente al modelo tradicional, y las de Ballard y Howell (2017), que destacan los beneficios de enfoques integrados y colaborativos. Además, se revisaron informes técnicos del McKinsey Global Institute (2017), que aportan evidencia sobre eficiencia y productividad en la industria de la construcción.</w:t>
      </w:r>
    </w:p>
    <w:p w14:paraId="279E65AA" w14:textId="77777777" w:rsidR="009D67CC" w:rsidRPr="009D67CC" w:rsidRDefault="009D67CC" w:rsidP="009D67CC">
      <w:pPr>
        <w:spacing w:line="240" w:lineRule="auto"/>
        <w:ind w:firstLine="0"/>
        <w:rPr>
          <w:lang w:val="es-CR"/>
        </w:rPr>
      </w:pPr>
      <w:r w:rsidRPr="009D67CC">
        <w:rPr>
          <w:lang w:val="es-CR"/>
        </w:rPr>
        <w:t>El análisis permitió identificar que la aplicación de metodologías como Lean Construction y el uso del modelado BIM son herramientas clave para mejorar la coordinación entre los equipos de diseño y obra, reduciendo los reprocesos. También se determinó que la definición clara de roles y responsabilidades y la incorporación de indicadores de desempeño (KPIs) facilitan el seguimiento de los proyectos y mejoran la eficiencia operativa. La comparación con modelos documentados en la literatura evidenció que los proyectos gestionados bajo enfoques colaborativos y estandarizados presentan mejores resultados en tiempo, costo y calidad respecto a los métodos tradicionales empleados por la empresa.</w:t>
      </w:r>
    </w:p>
    <w:p w14:paraId="02AEE847" w14:textId="77777777" w:rsidR="009D67CC" w:rsidRPr="009D67CC" w:rsidRDefault="009D67CC" w:rsidP="009D67CC">
      <w:pPr>
        <w:spacing w:line="240" w:lineRule="auto"/>
        <w:ind w:firstLine="0"/>
        <w:rPr>
          <w:lang w:val="es-CR"/>
        </w:rPr>
      </w:pPr>
      <w:r w:rsidRPr="009D67CC">
        <w:rPr>
          <w:lang w:val="es-CR"/>
        </w:rPr>
        <w:t>Los resultados confirman que la falta de estandarización y de coordinación temprana entre las áreas de diseño y construcción son los principales factores que limitan la eficiencia del modelo Design &amp; Build. En consecuencia, se concluye que adoptar un enfoque híbrido de gestión, basado en los principios del PMI y las metodologías Lean, favorece una integración más efectiva entre las etapas del proyecto, fortalece la comunicación interna y mejora la toma de decisiones.</w:t>
      </w:r>
    </w:p>
    <w:p w14:paraId="0B11A425" w14:textId="77777777" w:rsidR="009D67CC" w:rsidRPr="009D67CC" w:rsidRDefault="009D67CC" w:rsidP="009D67CC">
      <w:pPr>
        <w:spacing w:line="240" w:lineRule="auto"/>
        <w:ind w:firstLine="0"/>
        <w:rPr>
          <w:lang w:val="es-CR"/>
        </w:rPr>
      </w:pPr>
      <w:r w:rsidRPr="009D67CC">
        <w:rPr>
          <w:lang w:val="es-CR"/>
        </w:rPr>
        <w:t>Asimismo, se destacó la importancia de contar con procesos documentados y herramientas digitales colaborativas, que permitan mantener la trazabilidad de la información y asegurar la calidad de los entregables. También se resaltó la necesidad de fomentar una cultura organizacional participativa y orientada a la mejora continua, capaz de sostener los resultados a largo plazo.</w:t>
      </w:r>
    </w:p>
    <w:p w14:paraId="3ED2C356" w14:textId="77777777" w:rsidR="009D67CC" w:rsidRPr="009D67CC" w:rsidRDefault="009D67CC" w:rsidP="009D67CC">
      <w:pPr>
        <w:spacing w:line="240" w:lineRule="auto"/>
        <w:ind w:firstLine="0"/>
        <w:rPr>
          <w:lang w:val="es-CR"/>
        </w:rPr>
      </w:pPr>
      <w:r w:rsidRPr="009D67CC">
        <w:rPr>
          <w:lang w:val="es-CR"/>
        </w:rPr>
        <w:t>A partir de estos hallazgos, se diseñó una propuesta de mejora que contempla la implementación de un nuevo flujo de trabajo, la estandarización de procesos y la integración de herramientas tecnológicas que faciliten la planificación y el control. La propuesta se estructura en fases, iniciando con un proyecto piloto para validar su efectividad antes de su adopción completa en la organización.</w:t>
      </w:r>
    </w:p>
    <w:p w14:paraId="369C84F0" w14:textId="77777777" w:rsidR="009D67CC" w:rsidRPr="009D67CC" w:rsidRDefault="009D67CC" w:rsidP="009D67CC">
      <w:pPr>
        <w:spacing w:line="240" w:lineRule="auto"/>
        <w:ind w:firstLine="0"/>
        <w:rPr>
          <w:lang w:val="es-CR"/>
        </w:rPr>
      </w:pPr>
      <w:r w:rsidRPr="009D67CC">
        <w:rPr>
          <w:lang w:val="es-CR"/>
        </w:rPr>
        <w:t>Entre las principales recomendaciones se sugiere implementar el nuevo flujo de trabajo de manera gradual, acompañado de un programa de capacitación continua para los equipos de diseño, planificación y construcción. Este programa debe enfocarse en el uso de herramientas digitales como Asana y Microsoft Project, que optimizan la gestión de tareas, la asignación de recursos y el seguimiento del avance de los proyectos.</w:t>
      </w:r>
    </w:p>
    <w:p w14:paraId="2DA4B96A" w14:textId="77777777" w:rsidR="009D67CC" w:rsidRPr="009D67CC" w:rsidRDefault="009D67CC" w:rsidP="009D67CC">
      <w:pPr>
        <w:spacing w:line="240" w:lineRule="auto"/>
        <w:ind w:firstLine="0"/>
        <w:rPr>
          <w:lang w:val="es-CR"/>
        </w:rPr>
      </w:pPr>
      <w:r w:rsidRPr="009D67CC">
        <w:rPr>
          <w:lang w:val="es-CR"/>
        </w:rPr>
        <w:t>También se recomienda crear un sistema de indicadores de desempeño para medir trimestralmente los avances en tiempo, costo y calidad, asegurando la mejora continua. Finalmente, se propone fortalecer la cultura organizacional promoviendo una comunicación más abierta y el trabajo colaborativo desde las etapas iniciales de los proyectos.</w:t>
      </w:r>
    </w:p>
    <w:p w14:paraId="0479F8A1" w14:textId="5C29B353" w:rsidR="00723C68" w:rsidRPr="000E6665" w:rsidRDefault="009D67CC" w:rsidP="0003502C">
      <w:pPr>
        <w:spacing w:line="240" w:lineRule="auto"/>
        <w:ind w:firstLine="0"/>
        <w:rPr>
          <w:lang w:val="es-CR"/>
        </w:rPr>
      </w:pPr>
      <w:r w:rsidRPr="009D67CC">
        <w:rPr>
          <w:lang w:val="es-CR"/>
        </w:rPr>
        <w:t>En conclusión, este proyecto demostró que mejorar los procesos de planificación y control en los proyectos Design &amp; Build no solo incrementa la productividad y la coordinación interna, sino que también potencia la rentabilidad y la satisfacción del cliente. La implementación de un sistema de gestión más estandarizado y colaborativo permitirá que Contract Workplaces se consolide como una organización moderna, eficiente y preparada para enfrentar los desafíos del sector de la construcción corporativa en América Latina.</w:t>
      </w:r>
    </w:p>
    <w:p w14:paraId="6912A3BB" w14:textId="77777777" w:rsidR="008A34AF" w:rsidRDefault="008A34AF" w:rsidP="0098201D">
      <w:pPr>
        <w:pStyle w:val="Ttulo1"/>
        <w:jc w:val="center"/>
        <w:sectPr w:rsidR="008A34AF" w:rsidSect="0057125C">
          <w:headerReference w:type="default" r:id="rId12"/>
          <w:pgSz w:w="12242" w:h="15842"/>
          <w:pgMar w:top="1985" w:right="1418" w:bottom="1701" w:left="1985" w:header="709" w:footer="709" w:gutter="0"/>
          <w:pgNumType w:fmt="lowerRoman" w:start="2"/>
          <w:cols w:space="720"/>
        </w:sectPr>
      </w:pPr>
      <w:bookmarkStart w:id="10" w:name="_Toc200286355"/>
    </w:p>
    <w:p w14:paraId="000000D3" w14:textId="77777777" w:rsidR="00A2355F" w:rsidRPr="00777501" w:rsidRDefault="00990D5A" w:rsidP="0098201D">
      <w:pPr>
        <w:pStyle w:val="Ttulo1"/>
        <w:jc w:val="center"/>
      </w:pPr>
      <w:bookmarkStart w:id="11" w:name="_Toc212406334"/>
      <w:r w:rsidRPr="00777501">
        <w:lastRenderedPageBreak/>
        <w:t>Introducción</w:t>
      </w:r>
      <w:bookmarkEnd w:id="10"/>
      <w:bookmarkEnd w:id="11"/>
    </w:p>
    <w:p w14:paraId="18A55653" w14:textId="17B7E432" w:rsidR="007E3519" w:rsidRPr="002E7605" w:rsidRDefault="007E3519" w:rsidP="0094352B">
      <w:pPr>
        <w:pStyle w:val="Figura1"/>
        <w:rPr>
          <w:lang w:val="es-CR" w:eastAsia="es-CR"/>
        </w:rPr>
      </w:pPr>
      <w:r w:rsidRPr="002E7605">
        <w:rPr>
          <w:lang w:val="es-CR" w:eastAsia="es-CR"/>
        </w:rPr>
        <w:t>El presente proyecto tiene como objetivo proponer una mejora en el proceso de planificación y control de proyectos bajo el modelo "Design &amp; Build" en la empresa Contract Workplaces, especializada en el diseño y construcción de oficinas corporativas en Costa Rica. Este modelo se caracteriza por integrar el diseño arquitectónico con la ejecución de la obra, lo que permite optimizar recursos, reducir tiempos y mejorar la calidad de los resultados. Sin embargo, su aplicación efectiva requiere una estrecha colaboración entre los equipos de diseño y construcción, así como procesos bien definidos de planificación y control.</w:t>
      </w:r>
    </w:p>
    <w:p w14:paraId="19ED6BF9" w14:textId="60629326" w:rsidR="007E3519" w:rsidRPr="002E7605" w:rsidRDefault="007E3519" w:rsidP="00D81025">
      <w:pPr>
        <w:pStyle w:val="Figura1"/>
        <w:rPr>
          <w:lang w:val="es-CR" w:eastAsia="es-CR"/>
        </w:rPr>
      </w:pPr>
      <w:r w:rsidRPr="002E7605">
        <w:rPr>
          <w:lang w:val="es-CR" w:eastAsia="es-CR"/>
        </w:rPr>
        <w:t>La necesidad de esta investigación surge de las oportunidades identificadas para fortalecer la integración entre las distintas fases del proyecto y mejorar la coordinación entre los equipos involucrados. En la actualidad, Contract Workplaces enfrenta desafíos relacionados con la comunicación entre áreas, la toma de decisiones en etapas tempranas y la adaptación a cambios imprevistos durante la ejecución. Estas situaciones generan impactos negativos en el cronograma y los costos.</w:t>
      </w:r>
    </w:p>
    <w:p w14:paraId="4453DD50" w14:textId="0B8A73A4" w:rsidR="007E3519" w:rsidRPr="002E7605" w:rsidRDefault="00524756" w:rsidP="00D81025">
      <w:pPr>
        <w:pStyle w:val="Figura1"/>
        <w:rPr>
          <w:lang w:val="es-CR" w:eastAsia="es-CR"/>
        </w:rPr>
      </w:pPr>
      <w:r w:rsidRPr="002E7605">
        <w:rPr>
          <w:lang w:val="es-CR" w:eastAsia="es-CR"/>
        </w:rPr>
        <w:t xml:space="preserve">Actualmente, las organizaciones enfrentan una creciente necesidad de contar con espacios laborales que combinen funcionalidad, adaptabilidad y compromiso ambiental, en respuesta a nuevas formas de trabajo y criterios de sostenibilidad. </w:t>
      </w:r>
      <w:r w:rsidR="007E3519" w:rsidRPr="002E7605">
        <w:rPr>
          <w:lang w:val="es-CR" w:eastAsia="es-CR"/>
        </w:rPr>
        <w:t>Estas nuevas necesidades están en línea con varios Objetivos de Desarrollo Sostenible, la propuesta se fundamenta en el estándar P5 del Green Project Management, el cual integra criterios relacionados con las dimensiones de Personas, Planeta, Prosperidad, Procesos y Propósito, promoviendo una gestión de proyectos orientada al impacto positivo y sostenible.</w:t>
      </w:r>
    </w:p>
    <w:p w14:paraId="605E2632" w14:textId="26DC3605" w:rsidR="007E3519" w:rsidRPr="002E7605" w:rsidRDefault="007E3519" w:rsidP="00D81025">
      <w:pPr>
        <w:pStyle w:val="Figura1"/>
        <w:rPr>
          <w:lang w:val="es-CR" w:eastAsia="es-CR"/>
        </w:rPr>
      </w:pPr>
      <w:r w:rsidRPr="002E7605">
        <w:rPr>
          <w:lang w:val="es-CR" w:eastAsia="es-CR"/>
        </w:rPr>
        <w:lastRenderedPageBreak/>
        <w:t xml:space="preserve">Este </w:t>
      </w:r>
      <w:r w:rsidR="007D3523">
        <w:rPr>
          <w:lang w:val="es-CR" w:eastAsia="es-CR"/>
        </w:rPr>
        <w:t>capítul</w:t>
      </w:r>
      <w:r w:rsidR="007D3523" w:rsidRPr="002E7605">
        <w:rPr>
          <w:lang w:val="es-CR" w:eastAsia="es-CR"/>
        </w:rPr>
        <w:t xml:space="preserve">o </w:t>
      </w:r>
      <w:r w:rsidRPr="002E7605">
        <w:rPr>
          <w:lang w:val="es-CR" w:eastAsia="es-CR"/>
        </w:rPr>
        <w:t>presenta una introducción general al tema de estudio, los antecedentes que contextualizan la problemática, una descripción detallada del problema a resolver, las razones que justifican el desarrollo del proyecto y los objetivos que guían su ejecución. El enfoque adoptado permite vincular la gestión de proyectos con buenas prácticas internacionales y los principios del desarrollo sostenible.</w:t>
      </w:r>
    </w:p>
    <w:p w14:paraId="000000D5" w14:textId="3BD49471" w:rsidR="00A2355F" w:rsidRPr="00777501" w:rsidRDefault="00990D5A" w:rsidP="00237B6D">
      <w:pPr>
        <w:pStyle w:val="Ttulo3"/>
      </w:pPr>
      <w:bookmarkStart w:id="12" w:name="_Toc200286356"/>
      <w:bookmarkStart w:id="13" w:name="_Toc212406335"/>
      <w:r w:rsidRPr="00777501">
        <w:t>1.1 Antecedentes</w:t>
      </w:r>
      <w:bookmarkEnd w:id="12"/>
      <w:bookmarkEnd w:id="13"/>
    </w:p>
    <w:p w14:paraId="33A3F956" w14:textId="28D713C4" w:rsidR="00524756" w:rsidRPr="00D23DCD" w:rsidRDefault="00524756" w:rsidP="00D81025">
      <w:pPr>
        <w:pStyle w:val="Figura1"/>
        <w:rPr>
          <w:lang w:val="es-CR"/>
        </w:rPr>
      </w:pPr>
      <w:r w:rsidRPr="00D23DCD">
        <w:rPr>
          <w:lang w:val="es-CR"/>
        </w:rPr>
        <w:t>La metodología "Design &amp; Build" ha ganado popularidad en el sector de la construcción debido a que permite unir el diseño y la ejecución de una obra bajo un solo contrato. Esto facilita una mejor coordinación, reduce los costos y tiempos de ejecución, y ayuda a evitar problemas legales entre las partes. Al concentrar la responsabilidad en un único proveedor, este modelo resulta muy útil en proyectos que necesitan eficiencia, agilidad y control, como las oficinas corporativas. Su éxito depende de una buena planificación y de que los equipos técnicos trabajen de forma conjunta desde el inicio.</w:t>
      </w:r>
    </w:p>
    <w:p w14:paraId="34A12AAA" w14:textId="77777777" w:rsidR="00524756" w:rsidRPr="00D23DCD" w:rsidRDefault="00524756" w:rsidP="00D81025">
      <w:pPr>
        <w:pStyle w:val="Figura1"/>
        <w:rPr>
          <w:lang w:val="es-CR"/>
        </w:rPr>
      </w:pPr>
      <w:r w:rsidRPr="00D23DCD">
        <w:rPr>
          <w:lang w:val="es-CR"/>
        </w:rPr>
        <w:t>En el caso de Contract Workplaces, empresa que se especializa en el diseño y construcción de espacios laborales, se han detectado desafíos en la coordinación entre las etapas de diseño y construcción. Estos desafíos incluyen dificultades para alinear los cronogramas, cambios constantes durante la ejecución y decisiones tardías, lo cual afecta la eficiencia del proyecto y la calidad de los entregables. Aunque ya se han hecho esfuerzos internos por mejorar, sigue siendo necesario implementar procesos más claros y estructuras de trabajo colaborativo que ayuden a mejorar la comunicación y el control de cambios.</w:t>
      </w:r>
    </w:p>
    <w:p w14:paraId="25EE8E1B" w14:textId="6B694A95" w:rsidR="00524756" w:rsidRPr="00D23DCD" w:rsidRDefault="00524756" w:rsidP="00D81025">
      <w:pPr>
        <w:pStyle w:val="Figura1"/>
        <w:rPr>
          <w:lang w:val="es-CR"/>
        </w:rPr>
      </w:pPr>
      <w:r w:rsidRPr="00D23DCD">
        <w:rPr>
          <w:lang w:val="es-CR"/>
        </w:rPr>
        <w:t xml:space="preserve">A nivel global, investigaciones </w:t>
      </w:r>
      <w:r w:rsidR="004A3026" w:rsidRPr="002E7605">
        <w:rPr>
          <w:lang w:val="es-CR"/>
        </w:rPr>
        <w:t>como la de</w:t>
      </w:r>
      <w:r w:rsidRPr="00D23DCD">
        <w:rPr>
          <w:lang w:val="es-CR"/>
        </w:rPr>
        <w:t xml:space="preserve"> Nguyen et al. (2017) recomiendan adoptar modelos de gestión que promuevan el trabajo en equipo, la transparencia y la estandarización de procesos, especialmente en esquemas integrados como el "Design &amp; </w:t>
      </w:r>
      <w:r w:rsidRPr="00D23DCD">
        <w:rPr>
          <w:lang w:val="es-CR"/>
        </w:rPr>
        <w:lastRenderedPageBreak/>
        <w:t>Build". Estos estudios también resaltan que los beneficios del modelo solo se logran si hay mecanismos bien definidos para alinear expectativas desde el inicio, evitar cambios durante la ejecución y compartir una visión común del proyecto.</w:t>
      </w:r>
    </w:p>
    <w:p w14:paraId="4BCE6D30" w14:textId="77777777" w:rsidR="00524756" w:rsidRPr="00D23DCD" w:rsidRDefault="00524756" w:rsidP="00D81025">
      <w:pPr>
        <w:pStyle w:val="Figura1"/>
        <w:rPr>
          <w:lang w:val="es-CR"/>
        </w:rPr>
      </w:pPr>
      <w:r w:rsidRPr="00D23DCD">
        <w:rPr>
          <w:lang w:val="es-CR"/>
        </w:rPr>
        <w:t>En América Latina, el modelo "Design &amp; Build" ha sido cada vez más utilizado, sobre todo en proyectos corporativos e inmobiliarios, donde los clientes prefieren soluciones integrales que incluyan diseño, construcción y gestión. En Costa Rica, esta tendencia también ha crecido como respuesta a la necesidad de proveedores que se encarguen de todo el proceso. Aun así, su aplicación requiere adaptarse a las condiciones locales como las leyes de construcción, los métodos de contratación, la disponibilidad de personal calificado y el nivel de conocimiento en gestión de proyectos.</w:t>
      </w:r>
    </w:p>
    <w:p w14:paraId="493F99F0" w14:textId="53D3423D" w:rsidR="00524756" w:rsidRPr="00D23DCD" w:rsidRDefault="00A64CE3" w:rsidP="00D81025">
      <w:pPr>
        <w:pStyle w:val="Figura1"/>
        <w:rPr>
          <w:lang w:val="es-CR"/>
        </w:rPr>
      </w:pPr>
      <w:r>
        <w:rPr>
          <w:lang w:val="es-CR"/>
        </w:rPr>
        <w:t>Este</w:t>
      </w:r>
      <w:r w:rsidR="00524756" w:rsidRPr="00D23DCD">
        <w:rPr>
          <w:lang w:val="es-CR"/>
        </w:rPr>
        <w:t xml:space="preserve"> proyecto propone mejorar el proceso de planificación y control en Contract Workplaces mediante un análisis de cómo se está trabajando actualmente, identificando debilidades y oportunidades, y diseñando mecanismos que ayuden a conectar mejor las etapas de diseño y ejecución. </w:t>
      </w:r>
      <w:r>
        <w:rPr>
          <w:lang w:val="es-CR"/>
        </w:rPr>
        <w:t>Se</w:t>
      </w:r>
      <w:r w:rsidR="00524756" w:rsidRPr="00D23DCD">
        <w:rPr>
          <w:lang w:val="es-CR"/>
        </w:rPr>
        <w:t xml:space="preserve"> busca mejorar la eficiencia de los proyectos y sentar las bases para una gestión más estratégica y sostenible.</w:t>
      </w:r>
      <w:r w:rsidR="0014567C" w:rsidRPr="002E7605">
        <w:rPr>
          <w:lang w:val="es-CR"/>
        </w:rPr>
        <w:t xml:space="preserve"> </w:t>
      </w:r>
      <w:r w:rsidR="00524756" w:rsidRPr="00D23DCD">
        <w:rPr>
          <w:lang w:val="es-CR"/>
        </w:rPr>
        <w:t>Esta modalidad, que concentra la responsabilidad en un único proveedor, ha demostrado ser efectiva en entornos que requieren agilidad, control y eficiencia, como es el caso de los proyectos de oficinas corporativas. Sin embargo, el éxito de este modelo depende en gran medida de una adecuada planificación e integración entre los distintos equipos técnicos involucrados.</w:t>
      </w:r>
    </w:p>
    <w:p w14:paraId="000000D8" w14:textId="1243EA46" w:rsidR="00A2355F" w:rsidRPr="00777501" w:rsidRDefault="00990D5A" w:rsidP="00237B6D">
      <w:pPr>
        <w:pStyle w:val="Ttulo3"/>
      </w:pPr>
      <w:bookmarkStart w:id="14" w:name="_Toc200286357"/>
      <w:bookmarkStart w:id="15" w:name="_Toc212406336"/>
      <w:r w:rsidRPr="00777501">
        <w:t>1.2 Problemática</w:t>
      </w:r>
      <w:bookmarkEnd w:id="14"/>
      <w:bookmarkEnd w:id="15"/>
    </w:p>
    <w:p w14:paraId="63FD5F24" w14:textId="645DEC94" w:rsidR="00386A79" w:rsidRPr="00D23DCD" w:rsidRDefault="00386A79" w:rsidP="00D81025">
      <w:pPr>
        <w:rPr>
          <w:lang w:val="es-CR"/>
        </w:rPr>
      </w:pPr>
      <w:r w:rsidRPr="00D23DCD">
        <w:rPr>
          <w:lang w:val="es-CR"/>
        </w:rPr>
        <w:t xml:space="preserve">El modelo de gestión "Design &amp; Build" ha ganado </w:t>
      </w:r>
      <w:r w:rsidRPr="002E7605">
        <w:rPr>
          <w:lang w:val="es-CR"/>
        </w:rPr>
        <w:t>importancia</w:t>
      </w:r>
      <w:r w:rsidRPr="00D23DCD">
        <w:rPr>
          <w:lang w:val="es-CR"/>
        </w:rPr>
        <w:t xml:space="preserve"> en la industria de la construcción por su capacidad para integrar en un solo contrato el diseño y la ejecución de un proyecto, </w:t>
      </w:r>
      <w:r w:rsidRPr="002E7605">
        <w:rPr>
          <w:lang w:val="es-CR"/>
        </w:rPr>
        <w:t xml:space="preserve">donde </w:t>
      </w:r>
      <w:r w:rsidRPr="00D23DCD">
        <w:rPr>
          <w:lang w:val="es-CR"/>
        </w:rPr>
        <w:t xml:space="preserve">ofrece mayor eficiencia, menor tiempo de entrega y mejor coordinación. Sin embargo, el problema principal que enfrenta esta modalidad en el caso </w:t>
      </w:r>
      <w:r w:rsidRPr="00D23DCD">
        <w:rPr>
          <w:lang w:val="es-CR"/>
        </w:rPr>
        <w:lastRenderedPageBreak/>
        <w:t>de Contract Workplaces radica en la falta de procesos internos definidos y alineados que respalden dicha integración. Esta situación ha generado varias preocupaciones dentro de la organización, como la descoordinación entre los equipos de diseño y construcción, la poca estandarización en las herramientas de planificación y control, y la falta de retroalimentación efectiva entre las fases del proyecto. En consecuencia, se presentan retrasos en los cronogramas, sobrecostos debido a reprocesos y conflictos durante la ejecución de los proyectos.</w:t>
      </w:r>
    </w:p>
    <w:p w14:paraId="0A37DA46" w14:textId="77777777" w:rsidR="00386A79" w:rsidRPr="00D23DCD" w:rsidRDefault="00386A79" w:rsidP="00D81025">
      <w:pPr>
        <w:rPr>
          <w:lang w:val="es-CR"/>
        </w:rPr>
      </w:pPr>
      <w:r w:rsidRPr="00D23DCD">
        <w:rPr>
          <w:lang w:val="es-CR"/>
        </w:rPr>
        <w:t>Lo que se debe resolver es la ausencia de un proceso sistemático que permita gestionar de forma efectiva los recursos, el tiempo y la calidad del proyecto desde su inicio hasta su cierre. Actualmente, la planificación tiende a ser operativa y no estratégica, lo que limita la capacidad del equipo para anticipar riesgos, tomar decisiones informadas y mantener una comunicación fluida entre todas las partes interesadas. Además, las decisiones clave suelen tomarse de forma aislada, sin un análisis riguroso de alternativas ni una coordinación adecuada con los actores involucrados. Esta falta de estructura afecta negativamente tanto la calidad del producto final como la satisfacción del cliente.</w:t>
      </w:r>
    </w:p>
    <w:p w14:paraId="1BBD5C04" w14:textId="77777777" w:rsidR="00386A79" w:rsidRPr="00D23DCD" w:rsidRDefault="00386A79" w:rsidP="00D81025">
      <w:pPr>
        <w:rPr>
          <w:lang w:val="es-CR"/>
        </w:rPr>
      </w:pPr>
      <w:r w:rsidRPr="00D23DCD">
        <w:rPr>
          <w:lang w:val="es-CR"/>
        </w:rPr>
        <w:t xml:space="preserve">En este contexto, la oportunidad consiste en implementar un conjunto de buenas prácticas y metodologías de planificación y control que estén adaptadas a la naturaleza de los proyectos "Design &amp; Build". Estas mejoras permitirían fortalecer la integración entre diseño y construcción, alinear los procesos internos, facilitar la toma de decisiones basada en datos, y promover una cultura de mejora continua dentro de la organización. Esta situación plantea una necesidad crítica de revisar y mejorar los procesos actuales de planificación y control que rigen los proyectos bajo el modelo "Design &amp; Build" en Contract Workplaces. La falta de integración efectiva entre las áreas de diseño y construcción ha </w:t>
      </w:r>
      <w:r w:rsidRPr="00D23DCD">
        <w:rPr>
          <w:lang w:val="es-CR"/>
        </w:rPr>
        <w:lastRenderedPageBreak/>
        <w:t>limitado el potencial de esta modalidad para ofrecer entregables más eficientes, dentro del tiempo y presupuesto establecidos.</w:t>
      </w:r>
    </w:p>
    <w:p w14:paraId="4A7FBBDA" w14:textId="77777777" w:rsidR="00386A79" w:rsidRPr="00D23DCD" w:rsidRDefault="00386A79" w:rsidP="00D81025">
      <w:pPr>
        <w:rPr>
          <w:lang w:val="es-CR"/>
        </w:rPr>
      </w:pPr>
      <w:r w:rsidRPr="00D23DCD">
        <w:rPr>
          <w:lang w:val="es-CR"/>
        </w:rPr>
        <w:t>En consecuencia, la investigación se enfoca en identificar y proponer buenas prácticas que permitan optimizar estos procesos, fortaleciendo así la articulación entre las fases del proyecto. Se parte de la premisa de que, si se implementan métodos adecuados de planificación y control, será posible lograr una gestión más coordinada, predecible y alineada con los objetivos estratégicos de la organización, mejorando de esta forma el desempeño en costo, tiempo y calidad.</w:t>
      </w:r>
    </w:p>
    <w:p w14:paraId="000000DA" w14:textId="2CBBC972" w:rsidR="00A2355F" w:rsidRPr="00777501" w:rsidRDefault="00990D5A" w:rsidP="00237B6D">
      <w:pPr>
        <w:pStyle w:val="Ttulo3"/>
      </w:pPr>
      <w:bookmarkStart w:id="16" w:name="_Toc200286358"/>
      <w:bookmarkStart w:id="17" w:name="_Toc212406337"/>
      <w:r w:rsidRPr="00777501">
        <w:t>1.3 Justificación del proyecto</w:t>
      </w:r>
      <w:bookmarkEnd w:id="16"/>
      <w:bookmarkEnd w:id="17"/>
    </w:p>
    <w:p w14:paraId="26753FFB" w14:textId="77777777" w:rsidR="00386A79" w:rsidRPr="00D23DCD" w:rsidRDefault="00386A79" w:rsidP="00D81025">
      <w:pPr>
        <w:pStyle w:val="Figura1"/>
        <w:rPr>
          <w:lang w:val="es-CR"/>
        </w:rPr>
      </w:pPr>
      <w:r w:rsidRPr="00D23DCD">
        <w:rPr>
          <w:lang w:val="es-CR"/>
        </w:rPr>
        <w:t>Este proyecto se desarrolló con el fin de atender una necesidad evidente dentro de la empresa Contract Workplaces: mejorar los procesos de planificación y control en proyectos bajo el modelo "Design &amp; Build". Esta necesidad surge debido a los retos que enfrenta la organización, como la desalineación entre equipos, la falta de procesos estandarizados y la limitada integración entre las fases de diseño y construcción. Estos desafíos comprometen la eficiencia, generan reprocesos y afectan negativamente los tiempos, costos y calidad de los entregables.</w:t>
      </w:r>
    </w:p>
    <w:p w14:paraId="7B24378D" w14:textId="77777777" w:rsidR="00386A79" w:rsidRPr="00D23DCD" w:rsidRDefault="00386A79" w:rsidP="00D81025">
      <w:pPr>
        <w:pStyle w:val="Figura1"/>
        <w:rPr>
          <w:lang w:val="es-CR"/>
        </w:rPr>
      </w:pPr>
      <w:r w:rsidRPr="00D23DCD">
        <w:rPr>
          <w:lang w:val="es-CR"/>
        </w:rPr>
        <w:t>La decisión de realizar esta investigación está motivada por la oportunidad de aportar una solución estructurada y basada en buenas prácticas, que permita optimizar la forma en que se gestionan los proyectos. Además, responde a la tendencia del mercado y a las exigencias del entorno competitivo, que demanda mayor eficiencia, integración y flexibilidad en los procesos constructivos.</w:t>
      </w:r>
    </w:p>
    <w:p w14:paraId="37742558" w14:textId="77777777" w:rsidR="00386A79" w:rsidRPr="00D23DCD" w:rsidRDefault="00386A79" w:rsidP="00D81025">
      <w:pPr>
        <w:pStyle w:val="Figura1"/>
        <w:rPr>
          <w:lang w:val="es-CR"/>
        </w:rPr>
      </w:pPr>
      <w:r w:rsidRPr="00D23DCD">
        <w:rPr>
          <w:lang w:val="es-CR"/>
        </w:rPr>
        <w:t xml:space="preserve">Este trabajo busca contribuir tanto al desarrollo organizacional de Contract Workplaces como al conocimiento práctico sobre la aplicación del modelo "Design &amp; Build". Al abordar las brechas existentes desde una perspectiva metodológica, se </w:t>
      </w:r>
      <w:r w:rsidRPr="00D23DCD">
        <w:rPr>
          <w:lang w:val="es-CR"/>
        </w:rPr>
        <w:lastRenderedPageBreak/>
        <w:t>pretende generar propuestas de mejora que sean viables, sostenibles y replicables en futuros proyectos.</w:t>
      </w:r>
    </w:p>
    <w:p w14:paraId="7DC96407" w14:textId="77777777" w:rsidR="00386A79" w:rsidRPr="00D23DCD" w:rsidRDefault="00386A79" w:rsidP="00D81025">
      <w:pPr>
        <w:pStyle w:val="Figura1"/>
        <w:rPr>
          <w:lang w:val="es-CR"/>
        </w:rPr>
      </w:pPr>
      <w:r w:rsidRPr="00D23DCD">
        <w:rPr>
          <w:lang w:val="es-CR"/>
        </w:rPr>
        <w:t>Los beneficios esperados con la implementación de las propuestas de este proyecto son:</w:t>
      </w:r>
    </w:p>
    <w:p w14:paraId="320F5030" w14:textId="77777777" w:rsidR="00386A79" w:rsidRPr="00D23DCD" w:rsidRDefault="00386A79" w:rsidP="00D81025">
      <w:pPr>
        <w:pStyle w:val="Figura1"/>
        <w:numPr>
          <w:ilvl w:val="0"/>
          <w:numId w:val="15"/>
        </w:numPr>
        <w:rPr>
          <w:lang w:val="es-CR"/>
        </w:rPr>
      </w:pPr>
      <w:r w:rsidRPr="00D23DCD">
        <w:rPr>
          <w:lang w:val="es-CR"/>
        </w:rPr>
        <w:t>Mayor alineación entre los equipos de diseño y construcción.</w:t>
      </w:r>
    </w:p>
    <w:p w14:paraId="10840DCB" w14:textId="77777777" w:rsidR="00386A79" w:rsidRPr="00D23DCD" w:rsidRDefault="00386A79" w:rsidP="00D81025">
      <w:pPr>
        <w:pStyle w:val="Figura1"/>
        <w:numPr>
          <w:ilvl w:val="0"/>
          <w:numId w:val="15"/>
        </w:numPr>
        <w:rPr>
          <w:lang w:val="es-CR"/>
        </w:rPr>
      </w:pPr>
      <w:r w:rsidRPr="00D23DCD">
        <w:rPr>
          <w:lang w:val="es-CR"/>
        </w:rPr>
        <w:t>Reducción de errores y reprocesos mediante la estandarización de procesos.</w:t>
      </w:r>
    </w:p>
    <w:p w14:paraId="3511DBBF" w14:textId="77777777" w:rsidR="00386A79" w:rsidRPr="00D23DCD" w:rsidRDefault="00386A79" w:rsidP="00D81025">
      <w:pPr>
        <w:pStyle w:val="Figura1"/>
        <w:numPr>
          <w:ilvl w:val="0"/>
          <w:numId w:val="15"/>
        </w:numPr>
        <w:rPr>
          <w:lang w:val="es-CR"/>
        </w:rPr>
      </w:pPr>
      <w:r w:rsidRPr="00D23DCD">
        <w:rPr>
          <w:lang w:val="es-CR"/>
        </w:rPr>
        <w:t>Mejor toma de decisiones a través de una planificación más estratégica.</w:t>
      </w:r>
    </w:p>
    <w:p w14:paraId="0927EE4E" w14:textId="77777777" w:rsidR="00386A79" w:rsidRPr="00D23DCD" w:rsidRDefault="00386A79" w:rsidP="00D81025">
      <w:pPr>
        <w:pStyle w:val="Figura1"/>
        <w:numPr>
          <w:ilvl w:val="0"/>
          <w:numId w:val="15"/>
        </w:numPr>
        <w:rPr>
          <w:lang w:val="es-CR"/>
        </w:rPr>
      </w:pPr>
      <w:r w:rsidRPr="00D23DCD">
        <w:rPr>
          <w:lang w:val="es-CR"/>
        </w:rPr>
        <w:t>Aumento en la eficiencia de los recursos humanos, materiales y financieros.</w:t>
      </w:r>
    </w:p>
    <w:p w14:paraId="4B02077E" w14:textId="77777777" w:rsidR="00386A79" w:rsidRPr="002E7605" w:rsidRDefault="00386A79" w:rsidP="00D81025">
      <w:pPr>
        <w:pStyle w:val="Figura1"/>
        <w:numPr>
          <w:ilvl w:val="0"/>
          <w:numId w:val="15"/>
        </w:numPr>
        <w:rPr>
          <w:lang w:val="es-CR"/>
        </w:rPr>
      </w:pPr>
      <w:r w:rsidRPr="00D23DCD">
        <w:rPr>
          <w:lang w:val="es-CR"/>
        </w:rPr>
        <w:t>Cumplimiento más efectivo de los cronogramas y presupuestos establecidos.</w:t>
      </w:r>
    </w:p>
    <w:p w14:paraId="550C4E93" w14:textId="68F99CD2" w:rsidR="00386A79" w:rsidRPr="00D23DCD" w:rsidRDefault="00386A79" w:rsidP="00D81025">
      <w:pPr>
        <w:pStyle w:val="Figura1"/>
        <w:numPr>
          <w:ilvl w:val="0"/>
          <w:numId w:val="15"/>
        </w:numPr>
        <w:rPr>
          <w:lang w:val="es-CR"/>
        </w:rPr>
      </w:pPr>
      <w:r w:rsidRPr="00D23DCD">
        <w:rPr>
          <w:lang w:val="es-CR"/>
        </w:rPr>
        <w:t>Desarrollo de una cultura organizacional orientada a la mejora continua.</w:t>
      </w:r>
    </w:p>
    <w:p w14:paraId="542F4660" w14:textId="77777777" w:rsidR="00386A79" w:rsidRPr="00D23DCD" w:rsidRDefault="00386A79" w:rsidP="00D81025">
      <w:pPr>
        <w:pStyle w:val="Figura1"/>
        <w:rPr>
          <w:lang w:val="es-CR"/>
        </w:rPr>
      </w:pPr>
      <w:r w:rsidRPr="00D23DCD">
        <w:rPr>
          <w:lang w:val="es-CR"/>
        </w:rPr>
        <w:t>La hipótesis que orienta este proyecto es que, al implementar buenas prácticas de planificación y control adaptadas al modelo "Design &amp; Build", es posible optimizar la integración entre diseño y ejecución, logrando mejores resultados en términos de costo, tiempo y calidad. Esta hipótesis será validada mediante el análisis del estado actual, el diseño de propuestas y la comparación de escenarios antes y después de su aplicación.</w:t>
      </w:r>
    </w:p>
    <w:p w14:paraId="000000DE" w14:textId="77777777" w:rsidR="00A2355F" w:rsidRPr="00777501" w:rsidRDefault="00990D5A" w:rsidP="00237B6D">
      <w:pPr>
        <w:pStyle w:val="Ttulo3"/>
      </w:pPr>
      <w:bookmarkStart w:id="18" w:name="_Toc200286359"/>
      <w:bookmarkStart w:id="19" w:name="_Toc212406338"/>
      <w:r w:rsidRPr="00777501">
        <w:t>1.4 Objetivo general</w:t>
      </w:r>
      <w:bookmarkEnd w:id="18"/>
      <w:bookmarkEnd w:id="19"/>
    </w:p>
    <w:p w14:paraId="000000DF" w14:textId="29C7FA7B" w:rsidR="00A2355F" w:rsidRPr="00D23DCD" w:rsidRDefault="00990D5A" w:rsidP="00D81025">
      <w:r w:rsidRPr="00D23DCD">
        <w:rPr>
          <w:color w:val="212529"/>
        </w:rPr>
        <w:t>Proponer mejoras a los procesos de planificación y control de proyectos bajo la modalidad “Design &amp; Build” en la empresa Contract Workplaces, con el fin de optimizar la integración entre diseño y ejecución, mejorar el desempeño en costo, tiempo y calidad, y facilitar la toma de decisiones a lo largo del ciclo de vida del proyecto.</w:t>
      </w:r>
    </w:p>
    <w:p w14:paraId="000000E1" w14:textId="5C307119" w:rsidR="00A2355F" w:rsidRPr="002E7605" w:rsidRDefault="00777501" w:rsidP="00237B6D">
      <w:pPr>
        <w:pStyle w:val="Ttulo3"/>
      </w:pPr>
      <w:bookmarkStart w:id="20" w:name="_Toc200286360"/>
      <w:bookmarkStart w:id="21" w:name="_Toc212406339"/>
      <w:r>
        <w:lastRenderedPageBreak/>
        <w:t xml:space="preserve">1.5 </w:t>
      </w:r>
      <w:r w:rsidR="00990D5A" w:rsidRPr="002E7605">
        <w:t>Objetivos específicos</w:t>
      </w:r>
      <w:bookmarkEnd w:id="20"/>
      <w:bookmarkEnd w:id="21"/>
    </w:p>
    <w:p w14:paraId="000000E2" w14:textId="2EFAE11B" w:rsidR="00A2355F" w:rsidRPr="008837A0" w:rsidRDefault="00990D5A" w:rsidP="00D81025">
      <w:pPr>
        <w:pStyle w:val="Prrafodelista"/>
        <w:numPr>
          <w:ilvl w:val="0"/>
          <w:numId w:val="23"/>
        </w:numPr>
      </w:pPr>
      <w:bookmarkStart w:id="22" w:name="_Hlk204247739"/>
      <w:r w:rsidRPr="008837A0">
        <w:t>Analizar el</w:t>
      </w:r>
      <w:r w:rsidR="008E44D7" w:rsidRPr="008837A0">
        <w:t xml:space="preserve"> grupo de</w:t>
      </w:r>
      <w:r w:rsidRPr="008837A0">
        <w:t xml:space="preserve"> proceso</w:t>
      </w:r>
      <w:r w:rsidR="008E44D7" w:rsidRPr="008837A0">
        <w:t>s</w:t>
      </w:r>
      <w:r w:rsidRPr="008837A0">
        <w:t xml:space="preserve"> actual de planificación y control de proyectos “Design &amp; Build” en Contract Workplaces, para identificar las fortalezas, debilidades y oportunidades de mejora.</w:t>
      </w:r>
    </w:p>
    <w:p w14:paraId="000000E3" w14:textId="2A9152C9" w:rsidR="00A2355F" w:rsidRPr="008837A0" w:rsidRDefault="00990D5A" w:rsidP="00D81025">
      <w:pPr>
        <w:pStyle w:val="Prrafodelista"/>
        <w:numPr>
          <w:ilvl w:val="0"/>
          <w:numId w:val="23"/>
        </w:numPr>
      </w:pPr>
      <w:r w:rsidRPr="008837A0">
        <w:t>Determinar las necesidades de integración entre diseño y ejecución, para fortalecer la toma de decisiones durante la ejecución del proyecto.</w:t>
      </w:r>
    </w:p>
    <w:p w14:paraId="000000E4" w14:textId="77E103D1" w:rsidR="00A2355F" w:rsidRPr="008837A0" w:rsidRDefault="00990D5A" w:rsidP="00D81025">
      <w:pPr>
        <w:pStyle w:val="Prrafodelista"/>
        <w:numPr>
          <w:ilvl w:val="0"/>
          <w:numId w:val="23"/>
        </w:numPr>
      </w:pPr>
      <w:r w:rsidRPr="008837A0">
        <w:t>Diseñar propuestas de mejora en los procesos de planificación y control, para optimizar la integración entre diseño y construcción y mejorar los resultados del proyecto.</w:t>
      </w:r>
    </w:p>
    <w:p w14:paraId="000000E5" w14:textId="521ECFD9" w:rsidR="00A2355F" w:rsidRPr="008837A0" w:rsidRDefault="00990D5A" w:rsidP="00D81025">
      <w:pPr>
        <w:pStyle w:val="Prrafodelista"/>
        <w:numPr>
          <w:ilvl w:val="0"/>
          <w:numId w:val="23"/>
        </w:numPr>
      </w:pPr>
      <w:r w:rsidRPr="008837A0">
        <w:t>Desarrollar un plan de implementación de las mejoras propuestas, para facilitar su adopción en los proyectos futuros.</w:t>
      </w:r>
    </w:p>
    <w:p w14:paraId="26EBDB24" w14:textId="6CE07429" w:rsidR="000243A6" w:rsidRDefault="00720DB6" w:rsidP="00D81025">
      <w:pPr>
        <w:pStyle w:val="Prrafodelista"/>
        <w:numPr>
          <w:ilvl w:val="0"/>
          <w:numId w:val="23"/>
        </w:numPr>
      </w:pPr>
      <w:r w:rsidRPr="008837A0">
        <w:t>Comparar los procesos actuales con las propuestas de mejora desarrolladas, para identificar sus principales diferencias y beneficios en la gestión de proyectos “Design &amp; Build” en Contract Workplaces.</w:t>
      </w:r>
    </w:p>
    <w:p w14:paraId="25E5C0C5" w14:textId="77777777" w:rsidR="00777501" w:rsidRDefault="00777501" w:rsidP="00777501">
      <w:pPr>
        <w:pStyle w:val="Prrafodelista"/>
        <w:ind w:left="720" w:firstLine="0"/>
      </w:pPr>
    </w:p>
    <w:p w14:paraId="7716197B" w14:textId="77777777" w:rsidR="00777501" w:rsidRDefault="00777501" w:rsidP="00777501">
      <w:pPr>
        <w:pStyle w:val="Prrafodelista"/>
        <w:ind w:left="720" w:firstLine="0"/>
      </w:pPr>
    </w:p>
    <w:p w14:paraId="67D9993B" w14:textId="77674997" w:rsidR="00777501" w:rsidRPr="008837A0" w:rsidRDefault="00C24774" w:rsidP="00237B6D">
      <w:r>
        <w:br w:type="page"/>
      </w:r>
    </w:p>
    <w:p w14:paraId="021A102C" w14:textId="6BA1EEF1" w:rsidR="00FD27F0" w:rsidRPr="009F64F0" w:rsidRDefault="00FD27F0" w:rsidP="0098201D">
      <w:pPr>
        <w:pStyle w:val="Ttulo1"/>
        <w:jc w:val="center"/>
      </w:pPr>
      <w:bookmarkStart w:id="23" w:name="_Toc200286361"/>
      <w:bookmarkStart w:id="24" w:name="_Toc212406340"/>
      <w:bookmarkEnd w:id="22"/>
      <w:r w:rsidRPr="009F64F0">
        <w:lastRenderedPageBreak/>
        <w:t>M</w:t>
      </w:r>
      <w:r w:rsidR="00F7110A" w:rsidRPr="009F64F0">
        <w:t>arco Teórico</w:t>
      </w:r>
      <w:bookmarkEnd w:id="23"/>
      <w:bookmarkEnd w:id="24"/>
    </w:p>
    <w:p w14:paraId="23A1762F" w14:textId="77777777" w:rsidR="006E0D3A" w:rsidRPr="0093188F" w:rsidRDefault="006E0D3A" w:rsidP="00E364CE">
      <w:pPr>
        <w:pStyle w:val="APA"/>
      </w:pPr>
      <w:r w:rsidRPr="00D81025">
        <w:t>Este capítulo inicia con una descripción de la institución Contract Workplaces, abordando sus antecedentes, estructura organizativa, misión, visión y los productos y servicios que ofrece. Esta caracterización permite comprender el entorno organizacional donde se desarrollan sus proyectos y las dinámicas internas</w:t>
      </w:r>
      <w:r w:rsidRPr="0093188F">
        <w:t xml:space="preserve"> que guían su operación bajo el modelo Design &amp; Build.</w:t>
      </w:r>
    </w:p>
    <w:p w14:paraId="043F9DE7" w14:textId="6AA36A06" w:rsidR="006E0D3A" w:rsidRPr="0093188F" w:rsidRDefault="006E0D3A" w:rsidP="00E364CE">
      <w:pPr>
        <w:pStyle w:val="APA"/>
      </w:pPr>
      <w:r w:rsidRPr="0093188F">
        <w:t>Posteriormente, se presentan los conceptos fundamentales relacionados con la dirección de proyectos, incluyendo los principios, dominios de desempeño, enfoques de desarrollo, ciclos de vida y grupos de procesos definidos por el Project Management Institute (PMI, 2021</w:t>
      </w:r>
      <w:r w:rsidR="000615A5" w:rsidRPr="0093188F">
        <w:t xml:space="preserve"> y 2023</w:t>
      </w:r>
      <w:r w:rsidRPr="0093188F">
        <w:t>). Asimismo, se analiza la relación entre la estrategia empresarial y su conexión con portafolios, programas y proyectos, lo cual permite entender cómo las organizaciones alinean sus iniciativas con objetivos estratégicos.</w:t>
      </w:r>
    </w:p>
    <w:p w14:paraId="2836DE58" w14:textId="4A339E36" w:rsidR="005F356C" w:rsidRDefault="006E0D3A" w:rsidP="00E364CE">
      <w:pPr>
        <w:pStyle w:val="APA"/>
      </w:pPr>
      <w:r w:rsidRPr="0093188F">
        <w:t>Estos marcos teóricos brindan una base sólida para interpretar los procesos involucrados en la gestión de proyectos en empresas especializadas en diseño y construcción, destacando la importancia de la integración, la planificación estructurada y la orientación al valor en contextos corporativos complejos.</w:t>
      </w:r>
    </w:p>
    <w:p w14:paraId="000000FA" w14:textId="4F13086B" w:rsidR="00A2355F" w:rsidRPr="005F356C" w:rsidRDefault="00990D5A" w:rsidP="00237B6D">
      <w:pPr>
        <w:pStyle w:val="Ttulo2"/>
      </w:pPr>
      <w:bookmarkStart w:id="25" w:name="_Toc200286362"/>
      <w:bookmarkStart w:id="26" w:name="_Toc212406341"/>
      <w:r w:rsidRPr="005F356C">
        <w:t>2.1 Marco institucional</w:t>
      </w:r>
      <w:bookmarkEnd w:id="25"/>
      <w:bookmarkEnd w:id="26"/>
    </w:p>
    <w:p w14:paraId="612CD169" w14:textId="4241BFA0" w:rsidR="00C525B2" w:rsidRPr="004D0870" w:rsidRDefault="00C525B2" w:rsidP="00E364CE">
      <w:pPr>
        <w:pStyle w:val="APA"/>
      </w:pPr>
      <w:r w:rsidRPr="004D0870">
        <w:t>Este capítulo tiene como finalidad describir la empresa Contract Workplaces, organización en la cual se desarrolla el Proyecto Final de Graduación (PFG). A través de este apartado se presenta información relevante sobre la trayectoria, estructura y oferta de servicios de la compañía, permitiendo así comprender el entorno en el que se propone la mejora de procesos bajo la modalidad “Design &amp; Build”.</w:t>
      </w:r>
    </w:p>
    <w:p w14:paraId="000000FC" w14:textId="498EBE88" w:rsidR="00A2355F" w:rsidRPr="009F64F0" w:rsidRDefault="00F7110A" w:rsidP="00237B6D">
      <w:pPr>
        <w:pStyle w:val="Ttulo3"/>
      </w:pPr>
      <w:bookmarkStart w:id="27" w:name="_Toc212406342"/>
      <w:r w:rsidRPr="009F64F0">
        <w:lastRenderedPageBreak/>
        <w:t xml:space="preserve">2.1.1 </w:t>
      </w:r>
      <w:r w:rsidR="00990D5A" w:rsidRPr="009F64F0">
        <w:t>Antecedentes de la institución</w:t>
      </w:r>
      <w:bookmarkEnd w:id="27"/>
    </w:p>
    <w:p w14:paraId="7666297B" w14:textId="4FD9BC9A" w:rsidR="00B77762" w:rsidRPr="004D0870" w:rsidRDefault="00B77762" w:rsidP="00E364CE">
      <w:pPr>
        <w:pStyle w:val="APA"/>
      </w:pPr>
      <w:r w:rsidRPr="004D0870">
        <w:t>Contract Workplaces es una empresa multinacional especializada en el diseño, arquitectura y construcción de espacios de trabajo. Fundada en Argentina en el año 1996, ha logrado expandirse a lo largo de América Latina, consolidando una presencia regional con oficinas en más de 12 países, entre ellos Argentina, Chile, Brasil, Perú, Uruguay, Colombia, Panamá, México, Paraguay, Ecuador, Costa Rica y próximamente Miami. El caso de estudio del presente Proyecto Final de Graduación se enfocará en solamente en Costa Rica.</w:t>
      </w:r>
    </w:p>
    <w:p w14:paraId="044FB465" w14:textId="12A0AB11" w:rsidR="00B77762" w:rsidRPr="004D0870" w:rsidRDefault="00B77762" w:rsidP="00E364CE">
      <w:pPr>
        <w:pStyle w:val="APA"/>
      </w:pPr>
      <w:r w:rsidRPr="004D0870">
        <w:t xml:space="preserve">La empresa nació en una época en la que las oficinas se diseñaban solo pensando en que fueran funcionales, sin considerar aspectos como el bienestar de las personas o el diseño estratégico. A lo largo del tiempo, ha evolucionado hacia un enfoque integral que combina estrategia, diseño y ejecución bajo la modalidad “Design &amp; Build”, lo que le permite brindar soluciones llave en mano con una mayor eficiencia en tiempos, costos y calidad. Este enfoque permite una mayor integración entre las fases de diseño y construcción, lo que ha sido clave en su diferenciación frente a otras firmas del sector. </w:t>
      </w:r>
    </w:p>
    <w:p w14:paraId="1E09C04E" w14:textId="77777777" w:rsidR="00B77762" w:rsidRPr="004D0870" w:rsidRDefault="00B77762" w:rsidP="00E364CE">
      <w:pPr>
        <w:pStyle w:val="APA"/>
      </w:pPr>
      <w:r w:rsidRPr="004D0870">
        <w:t>Contract Workplaces ofrece servicios de manera integral, abarcando todo el ciclo de vida del proyecto: desde la planificación estratégica mediante consultoría especializada en Workplace Strategy y Workplace Engagement, hasta el diseño arquitectónico, la construcción en el cual existen dos modalidades: obra llave en mano (Design &amp; Build) y General Contractor (administración de la obra), así como los servicios postventa y de gestión de certificaciones internacionales como LEED y WELL. Esta propuesta “de punta a punta” garantiza que el cliente cuente con un único equipo multidisciplinario que coordina todas las etapas del proyecto, optimizando la calidad, la comunicación y los resultados.</w:t>
      </w:r>
    </w:p>
    <w:p w14:paraId="23F1E692" w14:textId="77777777" w:rsidR="00B77762" w:rsidRPr="004D0870" w:rsidRDefault="00B77762" w:rsidP="00E364CE">
      <w:pPr>
        <w:pStyle w:val="APA"/>
      </w:pPr>
      <w:r w:rsidRPr="004D0870">
        <w:lastRenderedPageBreak/>
        <w:t>Contract Workplaces ha desempeñado un papel importante en la transformación de la industria del diseño corporativo en América Latina, promoviendo entornos de trabajo más humanos, flexibles y centrados en las personas. Desde sus inicios, la empresa ha impulsado iniciativas que promueven la sostenibilidad ambiental, el uso eficiente de los recursos, la certificación de edificios (como LEED), y más recientemente, ha incorporado principios de desarrollo regenerativo y economía circular en sus propuestas de diseño.</w:t>
      </w:r>
    </w:p>
    <w:p w14:paraId="0200884B" w14:textId="46324FB5" w:rsidR="00B77762" w:rsidRPr="004D0870" w:rsidRDefault="00B77762" w:rsidP="00E364CE">
      <w:pPr>
        <w:pStyle w:val="APA"/>
      </w:pPr>
      <w:r w:rsidRPr="004D0870">
        <w:t>En el caso particular de Costa Rica, Contract Workplaces abrió sus operaciones hace 4 años, en los cuales ha crecido bastante rápido. Se ha trabajado en diversos proyectos para empresas multinacionales como Hapag Lloyd, Inchcape, P&amp;G, Banco Improsa, Portafolio Inmobiliario y también ha desarrollado proyectos de comercio como Krispy Kreme. El mercado costarricense presenta desafíos propios, como la diversidad de normativas locales, restricciones presupuestarias, y la creciente demanda por espacios de trabajo sostenibles y adaptables al modelo híbrido post-pandemia. En este contexto, la empresa ha buscado fortalecer su presencia a través de la excelencia operativa, la innovación en diseño y una ejecución más eficiente y coordinada.</w:t>
      </w:r>
    </w:p>
    <w:p w14:paraId="55DE047D" w14:textId="08C9F94B" w:rsidR="00B77762" w:rsidRPr="004D0870" w:rsidRDefault="00B77762" w:rsidP="00E364CE">
      <w:pPr>
        <w:pStyle w:val="APA"/>
      </w:pPr>
      <w:r w:rsidRPr="004D0870">
        <w:t>Entre los principales desafíos identificados por la organización se encuentran la necesidad de mejorar la integración entre las áreas de diseño y construcción, evitar reprocesos, optimizar los plazos de entrega y garantizar la calidad final del producto. Estas necesidades han motivado la realización de este PFG, cuyo objetivo es proponer mejoras a los procesos de planificación y control de proyectos bajo el enfoque Design &amp; Build, para reforzar la competitividad de la empresa en la región.</w:t>
      </w:r>
    </w:p>
    <w:p w14:paraId="61F27FA8" w14:textId="3345D161" w:rsidR="00C72933" w:rsidRPr="004D0870" w:rsidRDefault="00B77762" w:rsidP="00E364CE">
      <w:pPr>
        <w:pStyle w:val="APA"/>
      </w:pPr>
      <w:r w:rsidRPr="004D0870">
        <w:t xml:space="preserve">La investigación se desarrolla dentro de un entorno corporativo, con el fin de generar una propuesta de valor que responda a las necesidades internas de Contract </w:t>
      </w:r>
      <w:r w:rsidRPr="004D0870">
        <w:lastRenderedPageBreak/>
        <w:t>Workplaces en su operación en Costa Rica. Este PFG no solo pretende aportar una solución a una problemática concreta.</w:t>
      </w:r>
    </w:p>
    <w:p w14:paraId="000000FE" w14:textId="251A91EC" w:rsidR="00A2355F" w:rsidRDefault="00F7110A" w:rsidP="00237B6D">
      <w:pPr>
        <w:pStyle w:val="Ttulo3"/>
      </w:pPr>
      <w:bookmarkStart w:id="28" w:name="_Toc212406343"/>
      <w:r>
        <w:t xml:space="preserve">2.1.2 </w:t>
      </w:r>
      <w:r w:rsidR="00990D5A">
        <w:t>Misión y visión</w:t>
      </w:r>
      <w:bookmarkEnd w:id="28"/>
    </w:p>
    <w:p w14:paraId="683122FF" w14:textId="77777777" w:rsidR="009C4907" w:rsidRPr="004D0870" w:rsidRDefault="009C4907" w:rsidP="00E364CE">
      <w:pPr>
        <w:pStyle w:val="APA"/>
      </w:pPr>
      <w:r w:rsidRPr="004D0870">
        <w:t>Contract Workplaces es una empresa que transforma espacios de trabajo en lugares funcionales, cómodos y alineados con los valores de cada organización. Lo hace ofreciendo servicios integrales que incluyen desde la planificación hasta la construcción, pasando por el diseño y la consultoría. Por eso, su misión y visión no son solo frases institucionales, sino una guía clara de cómo quieren trabajar e impactar positivamente en las personas y empresas.</w:t>
      </w:r>
    </w:p>
    <w:p w14:paraId="401874F7" w14:textId="77777777" w:rsidR="009C4907" w:rsidRPr="004D0870" w:rsidRDefault="009C4907" w:rsidP="00E364CE">
      <w:pPr>
        <w:pStyle w:val="APA"/>
      </w:pPr>
      <w:r w:rsidRPr="004D0870">
        <w:t>En términos generales, la misión de Contract Workplaces es diseñar y construir espacios que generen un impacto positivo en quienes los usan. Su visión es convertirse en la empresa líder en América Latina en el desarrollo de espacios corporativos, destacándose por su innovación, calidad y experiencia para el cliente (Contract Workplaces, s.f.).</w:t>
      </w:r>
    </w:p>
    <w:p w14:paraId="054C09E4" w14:textId="77777777" w:rsidR="009C4907" w:rsidRPr="004D0870" w:rsidRDefault="009C4907" w:rsidP="00E364CE">
      <w:pPr>
        <w:pStyle w:val="APA"/>
      </w:pPr>
      <w:r w:rsidRPr="004D0870">
        <w:t>Esta visión se conecta directamente con el propósito del presente Proyecto Final de Graduación. Para que la empresa cumpla su visión de ser líder en el sector, necesita que todos sus procesos estén bien alineados. Uno de los principales retos que enfrenta actualmente, sobre todo en su sede de Costa Rica, es mejorar cómo se conectan las fases de diseño y construcción en los proyectos tipo Design &amp; Build.</w:t>
      </w:r>
    </w:p>
    <w:p w14:paraId="5124215B" w14:textId="77777777" w:rsidR="009C4907" w:rsidRPr="004D0870" w:rsidRDefault="009C4907" w:rsidP="00E364CE">
      <w:pPr>
        <w:pStyle w:val="APA"/>
      </w:pPr>
      <w:r w:rsidRPr="004D0870">
        <w:t>El objetivo de este PFG es justamente ayudar a resolver ese reto, proponiendo mejoras a los procesos de inicio, planificación y control. Esto puede tener un gran impacto, porque ayuda a reducir errores, aprovechar mejor el tiempo y los recursos, y asegurar que los proyectos se entreguen con la calidad esperada.</w:t>
      </w:r>
    </w:p>
    <w:p w14:paraId="72207C5E" w14:textId="77777777" w:rsidR="009C4907" w:rsidRPr="004D0870" w:rsidRDefault="009C4907" w:rsidP="00E364CE">
      <w:pPr>
        <w:pStyle w:val="APA"/>
      </w:pPr>
      <w:r w:rsidRPr="004D0870">
        <w:lastRenderedPageBreak/>
        <w:t>Además, cuando los procesos internos funcionan bien, también mejora la experiencia de los equipos de trabajo y, por supuesto, la del cliente final. Así, el proyecto no solo busca beneficios técnicos, sino también contribuir a una mejor cultura organizacional y una imagen más sólida frente al cliente.</w:t>
      </w:r>
    </w:p>
    <w:p w14:paraId="635019F5" w14:textId="77777777" w:rsidR="009C4907" w:rsidRPr="004D0870" w:rsidRDefault="009C4907" w:rsidP="00E364CE">
      <w:pPr>
        <w:pStyle w:val="APA"/>
      </w:pPr>
      <w:r w:rsidRPr="004D0870">
        <w:t>La empresa se presenta como un proveedor integral, que acompaña al cliente desde la estrategia inicial hasta la entrega del proyecto y el seguimiento posterior. Para que esta promesa se cumpla, es clave que todas las áreas de la empresa trabajen de forma coordinada. Por eso, este PFG es una oportunidad para fortalecer la forma en que la empresa opera internamente, asegurando que sus procesos respalden lo que promete su misión.</w:t>
      </w:r>
    </w:p>
    <w:p w14:paraId="4A1B298B" w14:textId="397B2AD0" w:rsidR="009C4907" w:rsidRPr="004D0870" w:rsidRDefault="009C4907" w:rsidP="00E364CE">
      <w:pPr>
        <w:pStyle w:val="APA"/>
      </w:pPr>
      <w:r w:rsidRPr="004D0870">
        <w:t>En un mercado tan competitivo como el actual, es muy importante que lo que la empresa dice se vea reflejado en lo que realmente entrega. Y para eso, no solo hacen falta buenas intenciones, sino procesos sólidos que garanticen resultados. Este proyecto busca aportar justamente en esa dirección, comenzando con una mejora concreta en su operación en Costa Rica.</w:t>
      </w:r>
    </w:p>
    <w:p w14:paraId="00000101" w14:textId="1B11EACC" w:rsidR="00A2355F" w:rsidRDefault="00F7110A" w:rsidP="00237B6D">
      <w:pPr>
        <w:pStyle w:val="Ttulo3"/>
      </w:pPr>
      <w:bookmarkStart w:id="29" w:name="_Toc212406344"/>
      <w:r>
        <w:t xml:space="preserve">2.1.3 </w:t>
      </w:r>
      <w:r w:rsidR="00990D5A">
        <w:t>Estructura organizativa</w:t>
      </w:r>
      <w:bookmarkEnd w:id="29"/>
    </w:p>
    <w:p w14:paraId="1FA4F84A" w14:textId="52F94A3A" w:rsidR="008837A0" w:rsidRDefault="002913DB" w:rsidP="00E364CE">
      <w:pPr>
        <w:pStyle w:val="APA"/>
        <w:rPr>
          <w:lang w:val="es-CR" w:eastAsia="es-CR"/>
        </w:rPr>
      </w:pPr>
      <w:r w:rsidRPr="002913DB">
        <w:rPr>
          <w:lang w:val="es-CR" w:eastAsia="es-CR"/>
        </w:rPr>
        <w:t>La estructura organizativa de Contract Workplaces está compuesta por diversas áreas que trabajan de manera coordinada para ofrecer un servicio integral de diseño, construcción y gestión de espacios de trabajo. Esta estructura permite una ejecución eficiente bajo el modelo “Design &amp; Build”, asegurando que todas las etapas del proyecto desde la estrategia hasta la entrega se desarrollen de forma conectada y sin interrupciones.</w:t>
      </w:r>
    </w:p>
    <w:p w14:paraId="28B00E99" w14:textId="77777777" w:rsidR="00407A78" w:rsidRPr="00A53C01" w:rsidRDefault="00407A78" w:rsidP="00D81025">
      <w:pPr>
        <w:pStyle w:val="Descripcin"/>
        <w:keepNext/>
        <w:ind w:firstLine="0"/>
        <w:rPr>
          <w:color w:val="000000" w:themeColor="text1"/>
          <w:sz w:val="22"/>
          <w:szCs w:val="22"/>
        </w:rPr>
      </w:pPr>
      <w:bookmarkStart w:id="30" w:name="_Toc210425672"/>
      <w:r w:rsidRPr="00A53C01">
        <w:rPr>
          <w:color w:val="000000" w:themeColor="text1"/>
          <w:sz w:val="22"/>
          <w:szCs w:val="22"/>
        </w:rPr>
        <w:lastRenderedPageBreak/>
        <w:t xml:space="preserve">Figura </w:t>
      </w:r>
      <w:r w:rsidRPr="00A53C01">
        <w:rPr>
          <w:color w:val="000000" w:themeColor="text1"/>
          <w:sz w:val="22"/>
          <w:szCs w:val="22"/>
        </w:rPr>
        <w:fldChar w:fldCharType="begin"/>
      </w:r>
      <w:r w:rsidRPr="00A53C01">
        <w:rPr>
          <w:color w:val="000000" w:themeColor="text1"/>
          <w:sz w:val="22"/>
          <w:szCs w:val="22"/>
        </w:rPr>
        <w:instrText xml:space="preserve"> SEQ Figura \* ARABIC </w:instrText>
      </w:r>
      <w:r w:rsidRPr="00A53C01">
        <w:rPr>
          <w:color w:val="000000" w:themeColor="text1"/>
          <w:sz w:val="22"/>
          <w:szCs w:val="22"/>
        </w:rPr>
        <w:fldChar w:fldCharType="separate"/>
      </w:r>
      <w:r w:rsidRPr="00A53C01">
        <w:rPr>
          <w:noProof/>
          <w:color w:val="000000" w:themeColor="text1"/>
          <w:sz w:val="22"/>
          <w:szCs w:val="22"/>
        </w:rPr>
        <w:t>1</w:t>
      </w:r>
      <w:bookmarkEnd w:id="30"/>
      <w:r w:rsidRPr="00A53C01">
        <w:rPr>
          <w:color w:val="000000" w:themeColor="text1"/>
          <w:sz w:val="22"/>
          <w:szCs w:val="22"/>
        </w:rPr>
        <w:fldChar w:fldCharType="end"/>
      </w:r>
      <w:r w:rsidRPr="00A53C01">
        <w:rPr>
          <w:color w:val="000000" w:themeColor="text1"/>
          <w:sz w:val="22"/>
          <w:szCs w:val="22"/>
        </w:rPr>
        <w:t xml:space="preserve">  </w:t>
      </w:r>
    </w:p>
    <w:p w14:paraId="10BCC616" w14:textId="3D49C1CB" w:rsidR="00407A78" w:rsidRPr="006C1A53" w:rsidRDefault="00407A78" w:rsidP="00D81025">
      <w:pPr>
        <w:pStyle w:val="Descripcin"/>
        <w:keepNext/>
        <w:ind w:firstLine="0"/>
        <w:rPr>
          <w:color w:val="000000" w:themeColor="text1"/>
          <w:szCs w:val="22"/>
        </w:rPr>
      </w:pPr>
      <w:r w:rsidRPr="006C1A53">
        <w:rPr>
          <w:b w:val="0"/>
          <w:bCs w:val="0"/>
          <w:color w:val="000000" w:themeColor="text1"/>
          <w:sz w:val="22"/>
          <w:szCs w:val="22"/>
        </w:rPr>
        <w:t>Estructura Organ</w:t>
      </w:r>
      <w:r w:rsidR="00A53C01" w:rsidRPr="006C1A53">
        <w:rPr>
          <w:b w:val="0"/>
          <w:bCs w:val="0"/>
          <w:color w:val="000000" w:themeColor="text1"/>
          <w:sz w:val="22"/>
          <w:szCs w:val="22"/>
        </w:rPr>
        <w:t>izacional</w:t>
      </w:r>
      <w:r w:rsidRPr="006C1A53">
        <w:rPr>
          <w:b w:val="0"/>
          <w:bCs w:val="0"/>
          <w:color w:val="000000" w:themeColor="text1"/>
          <w:sz w:val="22"/>
          <w:szCs w:val="22"/>
        </w:rPr>
        <w:t xml:space="preserve"> de Contract Workplaces</w:t>
      </w:r>
    </w:p>
    <w:p w14:paraId="273E94F2" w14:textId="482111F3" w:rsidR="002913DB" w:rsidRDefault="002913DB" w:rsidP="00D81025">
      <w:pPr>
        <w:keepNext/>
        <w:ind w:firstLine="0"/>
      </w:pPr>
      <w:r w:rsidRPr="003A6F6C">
        <w:rPr>
          <w:noProof/>
        </w:rPr>
        <w:drawing>
          <wp:inline distT="0" distB="0" distL="0" distR="0" wp14:anchorId="30B37477" wp14:editId="3C79EE0F">
            <wp:extent cx="5944870" cy="3053301"/>
            <wp:effectExtent l="0" t="0" r="0" b="0"/>
            <wp:docPr id="16228107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570393" name=""/>
                    <pic:cNvPicPr/>
                  </pic:nvPicPr>
                  <pic:blipFill rotWithShape="1">
                    <a:blip r:embed="rId13"/>
                    <a:srcRect b="7300"/>
                    <a:stretch>
                      <a:fillRect/>
                    </a:stretch>
                  </pic:blipFill>
                  <pic:spPr bwMode="auto">
                    <a:xfrm>
                      <a:off x="0" y="0"/>
                      <a:ext cx="5944870" cy="3053301"/>
                    </a:xfrm>
                    <a:prstGeom prst="rect">
                      <a:avLst/>
                    </a:prstGeom>
                    <a:ln>
                      <a:noFill/>
                    </a:ln>
                    <a:extLst>
                      <a:ext uri="{53640926-AAD7-44D8-BBD7-CCE9431645EC}">
                        <a14:shadowObscured xmlns:a14="http://schemas.microsoft.com/office/drawing/2010/main"/>
                      </a:ext>
                    </a:extLst>
                  </pic:spPr>
                </pic:pic>
              </a:graphicData>
            </a:graphic>
          </wp:inline>
        </w:drawing>
      </w:r>
    </w:p>
    <w:p w14:paraId="187C147F" w14:textId="3EF6796D" w:rsidR="00013F52" w:rsidRDefault="009E6D27" w:rsidP="00D81025">
      <w:pPr>
        <w:pBdr>
          <w:top w:val="nil"/>
          <w:left w:val="nil"/>
          <w:bottom w:val="nil"/>
          <w:right w:val="nil"/>
          <w:between w:val="nil"/>
        </w:pBdr>
        <w:spacing w:after="200"/>
        <w:ind w:firstLine="0"/>
        <w:jc w:val="both"/>
        <w:rPr>
          <w:color w:val="000000"/>
          <w:szCs w:val="22"/>
        </w:rPr>
      </w:pPr>
      <w:r w:rsidRPr="009E6D27">
        <w:rPr>
          <w:i/>
          <w:iCs/>
          <w:color w:val="000000"/>
          <w:szCs w:val="22"/>
        </w:rPr>
        <w:t>Nota</w:t>
      </w:r>
      <w:r w:rsidR="00797599">
        <w:rPr>
          <w:color w:val="000000"/>
          <w:szCs w:val="22"/>
        </w:rPr>
        <w:t>.</w:t>
      </w:r>
      <w:r w:rsidRPr="009E6D27">
        <w:rPr>
          <w:color w:val="000000"/>
          <w:szCs w:val="22"/>
        </w:rPr>
        <w:t xml:space="preserve"> Adaptado de </w:t>
      </w:r>
      <w:r w:rsidRPr="009E6D27">
        <w:rPr>
          <w:i/>
          <w:iCs/>
          <w:color w:val="000000"/>
          <w:szCs w:val="22"/>
        </w:rPr>
        <w:t>Manual de Puestos</w:t>
      </w:r>
      <w:r w:rsidRPr="009E6D27">
        <w:rPr>
          <w:color w:val="000000"/>
          <w:szCs w:val="22"/>
        </w:rPr>
        <w:t>, por</w:t>
      </w:r>
      <w:r w:rsidR="00AA2148">
        <w:rPr>
          <w:color w:val="000000"/>
          <w:szCs w:val="22"/>
        </w:rPr>
        <w:t xml:space="preserve"> Contract Workplaces</w:t>
      </w:r>
      <w:r w:rsidRPr="009E6D27">
        <w:rPr>
          <w:color w:val="000000"/>
          <w:szCs w:val="22"/>
        </w:rPr>
        <w:t>, 20</w:t>
      </w:r>
      <w:r w:rsidR="00AA2148">
        <w:rPr>
          <w:color w:val="000000"/>
          <w:szCs w:val="22"/>
        </w:rPr>
        <w:t>2</w:t>
      </w:r>
      <w:r w:rsidRPr="009E6D27">
        <w:rPr>
          <w:color w:val="000000"/>
          <w:szCs w:val="22"/>
        </w:rPr>
        <w:t>5, con permiso del autor</w:t>
      </w:r>
      <w:r w:rsidR="00AA2148">
        <w:rPr>
          <w:color w:val="000000"/>
          <w:szCs w:val="22"/>
        </w:rPr>
        <w:t xml:space="preserve"> Marcos Liberman</w:t>
      </w:r>
      <w:r w:rsidRPr="009E6D27">
        <w:rPr>
          <w:color w:val="000000"/>
          <w:szCs w:val="22"/>
        </w:rPr>
        <w:t>.</w:t>
      </w:r>
    </w:p>
    <w:p w14:paraId="2ED4BDC9" w14:textId="77777777" w:rsidR="00AA5FDA" w:rsidRDefault="00AA5FDA" w:rsidP="00D81025">
      <w:pPr>
        <w:pBdr>
          <w:top w:val="nil"/>
          <w:left w:val="nil"/>
          <w:bottom w:val="nil"/>
          <w:right w:val="nil"/>
          <w:between w:val="nil"/>
        </w:pBdr>
        <w:spacing w:after="200"/>
        <w:ind w:firstLine="0"/>
        <w:jc w:val="both"/>
        <w:rPr>
          <w:color w:val="000000"/>
          <w:szCs w:val="22"/>
        </w:rPr>
      </w:pPr>
    </w:p>
    <w:p w14:paraId="536DD99B" w14:textId="635B12C6" w:rsidR="002913DB" w:rsidRPr="002913DB" w:rsidRDefault="002913DB" w:rsidP="00E364CE">
      <w:pPr>
        <w:pStyle w:val="APA"/>
        <w:rPr>
          <w:lang w:val="es-CR" w:eastAsia="es-CR"/>
        </w:rPr>
      </w:pPr>
      <w:r w:rsidRPr="002913DB">
        <w:rPr>
          <w:lang w:val="es-CR" w:eastAsia="es-CR"/>
        </w:rPr>
        <w:t>Entre las principales direcciones se encuentran: Dirección General</w:t>
      </w:r>
      <w:r>
        <w:rPr>
          <w:lang w:val="es-CR" w:eastAsia="es-CR"/>
        </w:rPr>
        <w:t xml:space="preserve"> (Country Manager)</w:t>
      </w:r>
      <w:r w:rsidRPr="002913DB">
        <w:rPr>
          <w:lang w:val="es-CR" w:eastAsia="es-CR"/>
        </w:rPr>
        <w:t>, Dirección de Diseño, Dirección de Construcción, Dirección de Desarrollo de Proyectos, Dirección de Desarrollo de Negocios, Dirección de Finanzas y Administración</w:t>
      </w:r>
      <w:r>
        <w:rPr>
          <w:lang w:val="es-CR" w:eastAsia="es-CR"/>
        </w:rPr>
        <w:t xml:space="preserve"> </w:t>
      </w:r>
      <w:r w:rsidRPr="002913DB">
        <w:rPr>
          <w:lang w:val="es-CR" w:eastAsia="es-CR"/>
        </w:rPr>
        <w:t>y el área de</w:t>
      </w:r>
      <w:r>
        <w:rPr>
          <w:lang w:val="es-CR" w:eastAsia="es-CR"/>
        </w:rPr>
        <w:t xml:space="preserve"> </w:t>
      </w:r>
      <w:r w:rsidRPr="002913DB">
        <w:rPr>
          <w:lang w:val="es-CR" w:eastAsia="es-CR"/>
        </w:rPr>
        <w:t>Facility Management. Cada una de estas áreas tiene funciones específicas, pero también una alta interdependencia que permite cumplir con los estándares de calidad, tiempos y costos que caracterizan a la empresa.</w:t>
      </w:r>
    </w:p>
    <w:p w14:paraId="3841DE5C" w14:textId="77777777" w:rsidR="002913DB" w:rsidRPr="002913DB" w:rsidRDefault="002913DB" w:rsidP="00E364CE">
      <w:pPr>
        <w:pStyle w:val="APA"/>
        <w:rPr>
          <w:lang w:val="es-CR" w:eastAsia="es-CR"/>
        </w:rPr>
      </w:pPr>
      <w:r w:rsidRPr="002913DB">
        <w:rPr>
          <w:lang w:val="es-CR" w:eastAsia="es-CR"/>
        </w:rPr>
        <w:lastRenderedPageBreak/>
        <w:t>La Dirección de Diseño es responsable de desarrollar las propuestas arquitectónicas, funcionales y estéticas para cada cliente, alineadas con su cultura y necesidades organizacionales. La Dirección de Construcción lidera la ejecución física de los proyectos, asegurando la implementación técnica de lo diseñado. La planificación opera de forma transversal, organizando cronogramas, recursos y etapas clave.</w:t>
      </w:r>
    </w:p>
    <w:p w14:paraId="51FC3B19" w14:textId="2EE7405D" w:rsidR="002913DB" w:rsidRPr="002913DB" w:rsidRDefault="002913DB" w:rsidP="00E364CE">
      <w:pPr>
        <w:pStyle w:val="APA"/>
        <w:rPr>
          <w:lang w:val="es-CR" w:eastAsia="es-CR"/>
        </w:rPr>
      </w:pPr>
      <w:r w:rsidRPr="002913DB">
        <w:rPr>
          <w:lang w:val="es-CR" w:eastAsia="es-CR"/>
        </w:rPr>
        <w:t xml:space="preserve">Una dirección clave dentro de esta estructura es la Dirección de Desarrollo de Proyectos, donde se ubican las </w:t>
      </w:r>
      <w:r w:rsidR="000C3758">
        <w:rPr>
          <w:lang w:val="es-CR" w:eastAsia="es-CR"/>
        </w:rPr>
        <w:t>p</w:t>
      </w:r>
      <w:r w:rsidRPr="002913DB">
        <w:rPr>
          <w:lang w:val="es-CR" w:eastAsia="es-CR"/>
        </w:rPr>
        <w:t xml:space="preserve">roject </w:t>
      </w:r>
      <w:r w:rsidR="000C3758">
        <w:rPr>
          <w:lang w:val="es-CR" w:eastAsia="es-CR"/>
        </w:rPr>
        <w:t>m</w:t>
      </w:r>
      <w:r w:rsidRPr="002913DB">
        <w:rPr>
          <w:lang w:val="es-CR" w:eastAsia="es-CR"/>
        </w:rPr>
        <w:t>anagers (</w:t>
      </w:r>
      <w:r w:rsidR="000C3758">
        <w:rPr>
          <w:lang w:val="es-CR" w:eastAsia="es-CR"/>
        </w:rPr>
        <w:t>pm</w:t>
      </w:r>
      <w:r w:rsidRPr="002913DB">
        <w:rPr>
          <w:lang w:val="es-CR" w:eastAsia="es-CR"/>
        </w:rPr>
        <w:t>s). Ellas tienen la responsabilidad de coordinar a todos los equipos internos (diseño, construcción, planificación, calidad, etc.) y ser el punto de contacto operativo para el cliente. Su rol es esencial para alinear la estrategia del proyecto con su ejecución en campo.</w:t>
      </w:r>
    </w:p>
    <w:p w14:paraId="54741974" w14:textId="789CEDBF" w:rsidR="002913DB" w:rsidRPr="002913DB" w:rsidRDefault="002913DB" w:rsidP="00E364CE">
      <w:pPr>
        <w:pStyle w:val="APA"/>
        <w:rPr>
          <w:lang w:val="es-CR" w:eastAsia="es-CR"/>
        </w:rPr>
      </w:pPr>
      <w:r w:rsidRPr="002913DB">
        <w:rPr>
          <w:lang w:val="es-CR" w:eastAsia="es-CR"/>
        </w:rPr>
        <w:t>Por otro lado, la Dirección de Desarrollo de Negocios cumple una función estratégica en la captación y gestión de oportunidades. Es el primer contacto con el cliente, y su labor se enfoca en entender el negocio, generar propuestas comerciales y construir relaciones de largo plazo. Esta dirección trabaja muy de la mano con la Dirección de Desarrollo de Proyectos</w:t>
      </w:r>
      <w:r>
        <w:rPr>
          <w:lang w:val="es-CR" w:eastAsia="es-CR"/>
        </w:rPr>
        <w:t xml:space="preserve"> y la Dirección General (Country Manager)</w:t>
      </w:r>
      <w:r w:rsidRPr="002913DB">
        <w:rPr>
          <w:lang w:val="es-CR" w:eastAsia="es-CR"/>
        </w:rPr>
        <w:t xml:space="preserve">, ya que una vez que se asegura el proyecto, se transfiere la información al equipo de </w:t>
      </w:r>
      <w:r w:rsidR="000C3758">
        <w:rPr>
          <w:lang w:val="es-CR" w:eastAsia="es-CR"/>
        </w:rPr>
        <w:t>pm</w:t>
      </w:r>
      <w:r w:rsidRPr="002913DB">
        <w:rPr>
          <w:lang w:val="es-CR" w:eastAsia="es-CR"/>
        </w:rPr>
        <w:t>s para su ejecución. Esta colaboración estrecha entre ambas áreas es fundamental para mantener la coherencia entre lo que se vende y lo que finalmente se entrega.</w:t>
      </w:r>
    </w:p>
    <w:p w14:paraId="05015C26" w14:textId="45B675D2" w:rsidR="002913DB" w:rsidRPr="002913DB" w:rsidRDefault="002913DB" w:rsidP="00E364CE">
      <w:pPr>
        <w:pStyle w:val="APA"/>
        <w:rPr>
          <w:lang w:val="es-CR" w:eastAsia="es-CR"/>
        </w:rPr>
      </w:pPr>
      <w:r w:rsidRPr="002913DB">
        <w:rPr>
          <w:lang w:val="es-CR" w:eastAsia="es-CR"/>
        </w:rPr>
        <w:t xml:space="preserve">La Dirección de Finanzas y Administración se encarga del control financiero de los proyectos, el seguimiento presupuestario, la gestión de pagos a proveedores y la rentabilidad de cada operación. </w:t>
      </w:r>
    </w:p>
    <w:p w14:paraId="38A54C40" w14:textId="2B23D30B" w:rsidR="008464D9" w:rsidRDefault="002913DB" w:rsidP="00E364CE">
      <w:pPr>
        <w:pStyle w:val="APA"/>
        <w:rPr>
          <w:lang w:val="es-CR" w:eastAsia="es-CR"/>
        </w:rPr>
      </w:pPr>
      <w:r w:rsidRPr="002913DB">
        <w:rPr>
          <w:lang w:val="es-CR" w:eastAsia="es-CR"/>
        </w:rPr>
        <w:t>El área de</w:t>
      </w:r>
      <w:r>
        <w:rPr>
          <w:lang w:val="es-CR" w:eastAsia="es-CR"/>
        </w:rPr>
        <w:t xml:space="preserve"> </w:t>
      </w:r>
      <w:r w:rsidRPr="002913DB">
        <w:rPr>
          <w:lang w:val="es-CR" w:eastAsia="es-CR"/>
        </w:rPr>
        <w:t xml:space="preserve">Facility Management, es la encargada de brindar soporte al cliente una vez finalizada la obra. Entre sus funciones se encuentran el mantenimiento de los espacios, la resolución de incidencias operativas, la gestión de garantías y la ejecución de </w:t>
      </w:r>
      <w:r w:rsidRPr="002913DB">
        <w:rPr>
          <w:lang w:val="es-CR" w:eastAsia="es-CR"/>
        </w:rPr>
        <w:lastRenderedPageBreak/>
        <w:t>pequeños ajustes o ampliaciones. Este acompañamiento posterior es clave para asegurar la satisfacción del cliente a largo plazo y mantener relaciones comerciales duraderas.</w:t>
      </w:r>
    </w:p>
    <w:p w14:paraId="00000114" w14:textId="60A404BA" w:rsidR="00A2355F" w:rsidRDefault="00F7110A" w:rsidP="00237B6D">
      <w:pPr>
        <w:pStyle w:val="Ttulo3"/>
      </w:pPr>
      <w:bookmarkStart w:id="31" w:name="_Toc212406345"/>
      <w:r>
        <w:t xml:space="preserve">2.1.4 </w:t>
      </w:r>
      <w:r w:rsidR="00990D5A">
        <w:t>Productos y servicios que ofrece</w:t>
      </w:r>
      <w:bookmarkEnd w:id="31"/>
    </w:p>
    <w:p w14:paraId="24E0E206" w14:textId="77777777" w:rsidR="008B3D54" w:rsidRDefault="00C62DC2" w:rsidP="008B3D54">
      <w:pPr>
        <w:pStyle w:val="Textocomentario"/>
      </w:pPr>
      <w:r w:rsidRPr="00C62DC2">
        <w:rPr>
          <w:lang w:val="es-CR"/>
        </w:rPr>
        <w:t xml:space="preserve">Contract Workplaces </w:t>
      </w:r>
      <w:r>
        <w:rPr>
          <w:lang w:val="es-CR"/>
        </w:rPr>
        <w:t xml:space="preserve">ofrece sus servicios </w:t>
      </w:r>
      <w:r w:rsidRPr="00C62DC2">
        <w:rPr>
          <w:lang w:val="es-CR"/>
        </w:rPr>
        <w:t xml:space="preserve">en torno a un modelo integral dividido en cuatro etapas principales </w:t>
      </w:r>
      <w:r>
        <w:rPr>
          <w:lang w:val="es-CR"/>
        </w:rPr>
        <w:t>que son</w:t>
      </w:r>
      <w:r w:rsidRPr="00C62DC2">
        <w:rPr>
          <w:lang w:val="es-CR"/>
        </w:rPr>
        <w:t xml:space="preserve"> </w:t>
      </w:r>
      <w:r>
        <w:rPr>
          <w:lang w:val="es-CR"/>
        </w:rPr>
        <w:t xml:space="preserve">esenciales y estratégicas </w:t>
      </w:r>
      <w:r w:rsidRPr="00C62DC2">
        <w:rPr>
          <w:lang w:val="es-CR"/>
        </w:rPr>
        <w:t>para crea</w:t>
      </w:r>
      <w:r>
        <w:rPr>
          <w:lang w:val="es-CR"/>
        </w:rPr>
        <w:t>r un espacio de trabajo</w:t>
      </w:r>
      <w:r w:rsidRPr="00C62DC2">
        <w:rPr>
          <w:lang w:val="es-CR"/>
        </w:rPr>
        <w:t xml:space="preserve"> las cuales son</w:t>
      </w:r>
      <w:r>
        <w:rPr>
          <w:lang w:val="es-CR"/>
        </w:rPr>
        <w:t xml:space="preserve">: </w:t>
      </w:r>
      <w:r w:rsidRPr="00C62DC2">
        <w:rPr>
          <w:lang w:val="es-CR"/>
        </w:rPr>
        <w:t xml:space="preserve"> Discovery, Design, Delivery y Dynamics. Este enfoque permite abordar todo el ciclo de vida del proyecto, desde los estudios iniciales hasta la operación </w:t>
      </w:r>
    </w:p>
    <w:p w14:paraId="67C757AD" w14:textId="624BCAE2" w:rsidR="00C62DC2" w:rsidRPr="00C62DC2" w:rsidRDefault="00C62DC2" w:rsidP="00E364CE">
      <w:pPr>
        <w:pStyle w:val="APA"/>
        <w:rPr>
          <w:lang w:val="es-CR"/>
        </w:rPr>
      </w:pPr>
      <w:r w:rsidRPr="00C62DC2">
        <w:rPr>
          <w:lang w:val="es-CR"/>
        </w:rPr>
        <w:t>continua del espacio de trabajo. A continuación, se describen los servicios ofrecidos en cada etapa:</w:t>
      </w:r>
    </w:p>
    <w:p w14:paraId="4ED46FC2" w14:textId="3DE71984" w:rsidR="00C62DC2" w:rsidRPr="00C62DC2" w:rsidRDefault="00C62DC2" w:rsidP="00D81025">
      <w:pPr>
        <w:pStyle w:val="Figura1"/>
        <w:numPr>
          <w:ilvl w:val="0"/>
          <w:numId w:val="9"/>
        </w:numPr>
        <w:rPr>
          <w:b/>
          <w:bCs/>
          <w:lang w:val="es-CR"/>
        </w:rPr>
      </w:pPr>
      <w:r w:rsidRPr="00C62DC2">
        <w:rPr>
          <w:b/>
          <w:bCs/>
          <w:lang w:val="es-CR"/>
        </w:rPr>
        <w:t>Discovery</w:t>
      </w:r>
      <w:r w:rsidR="007C0F6C">
        <w:rPr>
          <w:b/>
          <w:bCs/>
          <w:lang w:val="es-CR"/>
        </w:rPr>
        <w:t xml:space="preserve">: </w:t>
      </w:r>
      <w:r w:rsidRPr="00C62DC2">
        <w:rPr>
          <w:lang w:val="es-CR"/>
        </w:rPr>
        <w:t>En esta etapa se realiza el análisis previo y estratégico del proyecto. El objetivo es comprender las necesidades del cliente, el contexto organizacional y las condiciones del entorno físico.</w:t>
      </w:r>
      <w:r w:rsidR="007C0F6C">
        <w:rPr>
          <w:lang w:val="es-CR"/>
        </w:rPr>
        <w:t xml:space="preserve"> En las cuales se ofrecen los siguientes servicios:</w:t>
      </w:r>
    </w:p>
    <w:p w14:paraId="46D036EC" w14:textId="702BEE27" w:rsidR="00C62DC2" w:rsidRPr="00C62DC2" w:rsidRDefault="00C62DC2" w:rsidP="008B3D54">
      <w:pPr>
        <w:pStyle w:val="Figura1"/>
        <w:numPr>
          <w:ilvl w:val="1"/>
          <w:numId w:val="9"/>
        </w:numPr>
        <w:rPr>
          <w:lang w:val="es-CR"/>
        </w:rPr>
      </w:pPr>
      <w:r w:rsidRPr="00C62DC2">
        <w:rPr>
          <w:b/>
          <w:bCs/>
          <w:lang w:val="es-CR"/>
        </w:rPr>
        <w:t>Site Selection</w:t>
      </w:r>
      <w:r w:rsidRPr="00C62DC2">
        <w:rPr>
          <w:lang w:val="es-CR"/>
        </w:rPr>
        <w:t xml:space="preserve">: asesoría para la elección del sitio más adecuado según criterios técnicos, </w:t>
      </w:r>
      <w:r w:rsidR="007C0F6C">
        <w:rPr>
          <w:lang w:val="es-CR"/>
        </w:rPr>
        <w:t>arquitectónicos, tecnológicos y humanistas</w:t>
      </w:r>
      <w:r w:rsidRPr="00C62DC2">
        <w:rPr>
          <w:lang w:val="es-CR"/>
        </w:rPr>
        <w:t>.</w:t>
      </w:r>
    </w:p>
    <w:p w14:paraId="3CD7E695" w14:textId="70B70198" w:rsidR="00C62DC2" w:rsidRPr="00C62DC2" w:rsidRDefault="00C62DC2" w:rsidP="008B3D54">
      <w:pPr>
        <w:pStyle w:val="Figura1"/>
        <w:numPr>
          <w:ilvl w:val="1"/>
          <w:numId w:val="9"/>
        </w:numPr>
        <w:rPr>
          <w:lang w:val="es-CR"/>
        </w:rPr>
      </w:pPr>
      <w:r w:rsidRPr="00C62DC2">
        <w:rPr>
          <w:b/>
          <w:bCs/>
          <w:lang w:val="es-CR"/>
        </w:rPr>
        <w:t>Estudio de Prefactibilidad</w:t>
      </w:r>
      <w:r w:rsidRPr="00C62DC2">
        <w:rPr>
          <w:lang w:val="es-CR"/>
        </w:rPr>
        <w:t>: análisis preliminar para validar la viabilidad del proyecto</w:t>
      </w:r>
      <w:r w:rsidR="007C0F6C">
        <w:rPr>
          <w:lang w:val="es-CR"/>
        </w:rPr>
        <w:t xml:space="preserve"> se hace un estudio de cabida</w:t>
      </w:r>
      <w:r w:rsidRPr="00C62DC2">
        <w:rPr>
          <w:lang w:val="es-CR"/>
        </w:rPr>
        <w:t>.</w:t>
      </w:r>
    </w:p>
    <w:p w14:paraId="41B5BCB8" w14:textId="4A899479" w:rsidR="00C62DC2" w:rsidRPr="00C62DC2" w:rsidRDefault="00C62DC2" w:rsidP="008B3D54">
      <w:pPr>
        <w:pStyle w:val="Figura1"/>
        <w:numPr>
          <w:ilvl w:val="1"/>
          <w:numId w:val="9"/>
        </w:numPr>
        <w:rPr>
          <w:lang w:val="es-CR"/>
        </w:rPr>
      </w:pPr>
      <w:r w:rsidRPr="00C62DC2">
        <w:rPr>
          <w:b/>
          <w:bCs/>
          <w:lang w:val="es-CR"/>
        </w:rPr>
        <w:t>AI Test Fit</w:t>
      </w:r>
      <w:r w:rsidRPr="00C62DC2">
        <w:rPr>
          <w:lang w:val="es-CR"/>
        </w:rPr>
        <w:t>: uso de herramientas de inteligencia artificial</w:t>
      </w:r>
      <w:r w:rsidR="007C0F6C">
        <w:rPr>
          <w:lang w:val="es-CR"/>
        </w:rPr>
        <w:t xml:space="preserve"> donde en 24 horas se le entrega al cliente 3 opciones de distribución, 3 renders y un recorrido virtual de la oficina</w:t>
      </w:r>
      <w:r w:rsidRPr="00C62DC2">
        <w:rPr>
          <w:lang w:val="es-CR"/>
        </w:rPr>
        <w:t>.</w:t>
      </w:r>
    </w:p>
    <w:p w14:paraId="7415A978" w14:textId="77777777" w:rsidR="00C62DC2" w:rsidRPr="00C62DC2" w:rsidRDefault="00C62DC2" w:rsidP="008B3D54">
      <w:pPr>
        <w:pStyle w:val="Figura1"/>
        <w:numPr>
          <w:ilvl w:val="1"/>
          <w:numId w:val="9"/>
        </w:numPr>
        <w:rPr>
          <w:lang w:val="es-CR"/>
        </w:rPr>
      </w:pPr>
      <w:r w:rsidRPr="00C62DC2">
        <w:rPr>
          <w:b/>
          <w:bCs/>
          <w:lang w:val="es-CR"/>
        </w:rPr>
        <w:t>Workplace Strategy</w:t>
      </w:r>
      <w:r w:rsidRPr="00C62DC2">
        <w:rPr>
          <w:lang w:val="es-CR"/>
        </w:rPr>
        <w:t>: consultoría para alinear el espacio de trabajo con la cultura, procesos y objetivos del cliente.</w:t>
      </w:r>
    </w:p>
    <w:p w14:paraId="7E135D7F" w14:textId="77777777" w:rsidR="00C62DC2" w:rsidRPr="00C62DC2" w:rsidRDefault="00C62DC2" w:rsidP="008B3D54">
      <w:pPr>
        <w:pStyle w:val="Figura1"/>
        <w:numPr>
          <w:ilvl w:val="1"/>
          <w:numId w:val="9"/>
        </w:numPr>
        <w:rPr>
          <w:lang w:val="es-CR"/>
        </w:rPr>
      </w:pPr>
      <w:r w:rsidRPr="00C62DC2">
        <w:rPr>
          <w:b/>
          <w:bCs/>
          <w:lang w:val="es-CR"/>
        </w:rPr>
        <w:lastRenderedPageBreak/>
        <w:t>Workplace Engagement</w:t>
      </w:r>
      <w:r w:rsidRPr="00C62DC2">
        <w:rPr>
          <w:lang w:val="es-CR"/>
        </w:rPr>
        <w:t>: procesos de comunicación y gestión del cambio para acompañar a las personas durante la transición al nuevo espacio.</w:t>
      </w:r>
    </w:p>
    <w:p w14:paraId="7CBADAE5" w14:textId="77777777" w:rsidR="007C0F6C" w:rsidRDefault="00C62DC2" w:rsidP="00D81025">
      <w:pPr>
        <w:pStyle w:val="Figura1"/>
        <w:numPr>
          <w:ilvl w:val="0"/>
          <w:numId w:val="9"/>
        </w:numPr>
        <w:rPr>
          <w:b/>
          <w:bCs/>
          <w:lang w:val="es-CR"/>
        </w:rPr>
      </w:pPr>
      <w:r w:rsidRPr="00C62DC2">
        <w:rPr>
          <w:b/>
          <w:bCs/>
          <w:lang w:val="es-CR"/>
        </w:rPr>
        <w:t>Design</w:t>
      </w:r>
      <w:r w:rsidR="007C0F6C">
        <w:rPr>
          <w:b/>
          <w:bCs/>
          <w:lang w:val="es-CR"/>
        </w:rPr>
        <w:t xml:space="preserve">: </w:t>
      </w:r>
      <w:r w:rsidRPr="00C62DC2">
        <w:rPr>
          <w:lang w:val="es-CR"/>
        </w:rPr>
        <w:t>Esta fase incluye el desarrollo del diseño arquitectónico y técnico del proyecto, alineado con los objetivos estratégicos y operativos definidos en la etapa anterior.</w:t>
      </w:r>
    </w:p>
    <w:p w14:paraId="411E4862" w14:textId="77777777" w:rsidR="007C0F6C" w:rsidRDefault="00C62DC2" w:rsidP="008B3D54">
      <w:pPr>
        <w:pStyle w:val="Figura1"/>
        <w:numPr>
          <w:ilvl w:val="1"/>
          <w:numId w:val="9"/>
        </w:numPr>
        <w:rPr>
          <w:b/>
          <w:bCs/>
          <w:lang w:val="es-CR"/>
        </w:rPr>
      </w:pPr>
      <w:r w:rsidRPr="00C62DC2">
        <w:rPr>
          <w:b/>
          <w:bCs/>
          <w:lang w:val="es-CR"/>
        </w:rPr>
        <w:t>Diseño Conceptual</w:t>
      </w:r>
      <w:r w:rsidRPr="00C62DC2">
        <w:rPr>
          <w:lang w:val="es-CR"/>
        </w:rPr>
        <w:t>: propuesta creativa que interpreta la identidad y las necesidades de la organización.</w:t>
      </w:r>
    </w:p>
    <w:p w14:paraId="1D10ADCB" w14:textId="77777777" w:rsidR="007C0F6C" w:rsidRDefault="00C62DC2" w:rsidP="008B3D54">
      <w:pPr>
        <w:pStyle w:val="Figura1"/>
        <w:numPr>
          <w:ilvl w:val="1"/>
          <w:numId w:val="9"/>
        </w:numPr>
        <w:rPr>
          <w:b/>
          <w:bCs/>
          <w:lang w:val="es-CR"/>
        </w:rPr>
      </w:pPr>
      <w:r w:rsidRPr="00C62DC2">
        <w:rPr>
          <w:b/>
          <w:bCs/>
          <w:lang w:val="es-CR"/>
        </w:rPr>
        <w:t>Proyecto Ejecutivo</w:t>
      </w:r>
      <w:r w:rsidRPr="00C62DC2">
        <w:rPr>
          <w:lang w:val="es-CR"/>
        </w:rPr>
        <w:t>: desarrollo de planos técnicos, especificaciones y documentación constructiva.</w:t>
      </w:r>
    </w:p>
    <w:p w14:paraId="7F64098D" w14:textId="390C0460" w:rsidR="00C62DC2" w:rsidRPr="00C62DC2" w:rsidRDefault="00C62DC2" w:rsidP="008B3D54">
      <w:pPr>
        <w:pStyle w:val="Figura1"/>
        <w:numPr>
          <w:ilvl w:val="1"/>
          <w:numId w:val="9"/>
        </w:numPr>
        <w:rPr>
          <w:b/>
          <w:bCs/>
          <w:lang w:val="es-CR"/>
        </w:rPr>
      </w:pPr>
      <w:r w:rsidRPr="00C62DC2">
        <w:rPr>
          <w:b/>
          <w:bCs/>
          <w:lang w:val="es-CR"/>
        </w:rPr>
        <w:t>Tecnología</w:t>
      </w:r>
      <w:r w:rsidRPr="00C62DC2">
        <w:rPr>
          <w:lang w:val="es-CR"/>
        </w:rPr>
        <w:t>: incorporación de soluciones tecnológicas para mejorar la funcionalidad, conectividad y eficiencia del espacio.</w:t>
      </w:r>
    </w:p>
    <w:p w14:paraId="52F2D53E" w14:textId="77777777" w:rsidR="007C0F6C" w:rsidRPr="007C0F6C" w:rsidRDefault="00C62DC2" w:rsidP="00D81025">
      <w:pPr>
        <w:pStyle w:val="Figura1"/>
        <w:numPr>
          <w:ilvl w:val="0"/>
          <w:numId w:val="9"/>
        </w:numPr>
        <w:rPr>
          <w:b/>
          <w:bCs/>
          <w:lang w:val="es-CR"/>
        </w:rPr>
      </w:pPr>
      <w:r w:rsidRPr="007C0F6C">
        <w:rPr>
          <w:b/>
          <w:bCs/>
          <w:lang w:val="es-CR"/>
        </w:rPr>
        <w:t>Delivery</w:t>
      </w:r>
      <w:r w:rsidR="007C0F6C">
        <w:rPr>
          <w:b/>
          <w:bCs/>
          <w:lang w:val="es-CR"/>
        </w:rPr>
        <w:t xml:space="preserve">: </w:t>
      </w:r>
      <w:r w:rsidRPr="007C0F6C">
        <w:rPr>
          <w:lang w:val="es-CR"/>
        </w:rPr>
        <w:t>Aquí se ejecuta la obra física, se equipa el espacio y se gestiona el traslado del cliente.</w:t>
      </w:r>
    </w:p>
    <w:p w14:paraId="43161DB4" w14:textId="77777777" w:rsidR="007C0F6C" w:rsidRPr="007C0F6C" w:rsidRDefault="00C62DC2" w:rsidP="008B3D54">
      <w:pPr>
        <w:pStyle w:val="Figura1"/>
        <w:numPr>
          <w:ilvl w:val="1"/>
          <w:numId w:val="9"/>
        </w:numPr>
        <w:rPr>
          <w:b/>
          <w:bCs/>
          <w:lang w:val="es-CR"/>
        </w:rPr>
      </w:pPr>
      <w:r w:rsidRPr="007C0F6C">
        <w:rPr>
          <w:b/>
          <w:bCs/>
          <w:lang w:val="es-CR"/>
        </w:rPr>
        <w:t>Construcción y Equipamiento</w:t>
      </w:r>
      <w:r w:rsidRPr="007C0F6C">
        <w:rPr>
          <w:lang w:val="es-CR"/>
        </w:rPr>
        <w:t>: ejecución integral del proyecto bajo modalidad Design &amp; Build o General Contractor.</w:t>
      </w:r>
    </w:p>
    <w:p w14:paraId="27F71D11" w14:textId="77777777" w:rsidR="007C0F6C" w:rsidRPr="007C0F6C" w:rsidRDefault="00C62DC2" w:rsidP="008B3D54">
      <w:pPr>
        <w:pStyle w:val="Figura1"/>
        <w:numPr>
          <w:ilvl w:val="1"/>
          <w:numId w:val="9"/>
        </w:numPr>
        <w:rPr>
          <w:b/>
          <w:bCs/>
          <w:lang w:val="es-CR"/>
        </w:rPr>
      </w:pPr>
      <w:r w:rsidRPr="007C0F6C">
        <w:rPr>
          <w:b/>
          <w:bCs/>
          <w:lang w:val="es-CR"/>
        </w:rPr>
        <w:t>Inspecciones</w:t>
      </w:r>
      <w:r w:rsidRPr="007C0F6C">
        <w:rPr>
          <w:lang w:val="es-CR"/>
        </w:rPr>
        <w:t>: controles de calidad y cumplimiento técnico durante la obra.</w:t>
      </w:r>
    </w:p>
    <w:p w14:paraId="34D5175D" w14:textId="77777777" w:rsidR="007C0F6C" w:rsidRPr="007C0F6C" w:rsidRDefault="00C62DC2" w:rsidP="008B3D54">
      <w:pPr>
        <w:pStyle w:val="Figura1"/>
        <w:numPr>
          <w:ilvl w:val="1"/>
          <w:numId w:val="9"/>
        </w:numPr>
        <w:rPr>
          <w:b/>
          <w:bCs/>
          <w:lang w:val="es-CR"/>
        </w:rPr>
      </w:pPr>
      <w:r w:rsidRPr="007C0F6C">
        <w:rPr>
          <w:b/>
          <w:bCs/>
          <w:lang w:val="es-CR"/>
        </w:rPr>
        <w:t>Logística de Mudanza</w:t>
      </w:r>
      <w:r w:rsidRPr="007C0F6C">
        <w:rPr>
          <w:lang w:val="es-CR"/>
        </w:rPr>
        <w:t>: planificación y acompañamiento del proceso de traslado al nuevo espacio.</w:t>
      </w:r>
    </w:p>
    <w:p w14:paraId="63DD4EBA" w14:textId="7C71CD12" w:rsidR="00C62DC2" w:rsidRPr="007C0F6C" w:rsidRDefault="00C62DC2" w:rsidP="008B3D54">
      <w:pPr>
        <w:pStyle w:val="Figura1"/>
        <w:numPr>
          <w:ilvl w:val="1"/>
          <w:numId w:val="9"/>
        </w:numPr>
        <w:rPr>
          <w:b/>
          <w:bCs/>
          <w:lang w:val="es-CR"/>
        </w:rPr>
      </w:pPr>
      <w:r w:rsidRPr="007C0F6C">
        <w:rPr>
          <w:b/>
          <w:bCs/>
          <w:lang w:val="es-CR"/>
        </w:rPr>
        <w:t>Facility Services</w:t>
      </w:r>
      <w:r w:rsidRPr="007C0F6C">
        <w:rPr>
          <w:lang w:val="es-CR"/>
        </w:rPr>
        <w:t>: servicios de mantenimiento y soporte técnico una vez entregado el proyecto.</w:t>
      </w:r>
    </w:p>
    <w:p w14:paraId="27E4AB51" w14:textId="77777777" w:rsidR="007C0F6C" w:rsidRDefault="00C62DC2" w:rsidP="00D81025">
      <w:pPr>
        <w:pStyle w:val="Figura1"/>
        <w:numPr>
          <w:ilvl w:val="0"/>
          <w:numId w:val="9"/>
        </w:numPr>
        <w:rPr>
          <w:b/>
          <w:bCs/>
          <w:lang w:val="es-CR"/>
        </w:rPr>
      </w:pPr>
      <w:r w:rsidRPr="00C62DC2">
        <w:rPr>
          <w:b/>
          <w:bCs/>
          <w:lang w:val="es-CR"/>
        </w:rPr>
        <w:lastRenderedPageBreak/>
        <w:t>Dynamics</w:t>
      </w:r>
      <w:r w:rsidR="007C0F6C">
        <w:rPr>
          <w:b/>
          <w:bCs/>
          <w:lang w:val="es-CR"/>
        </w:rPr>
        <w:t xml:space="preserve">: </w:t>
      </w:r>
      <w:r w:rsidRPr="00C62DC2">
        <w:rPr>
          <w:lang w:val="es-CR"/>
        </w:rPr>
        <w:t>Esta etapa acompaña al cliente después de la entrega, asegurando la sostenibilidad, el bienestar y la evolución del espacio en el tiempo.</w:t>
      </w:r>
    </w:p>
    <w:p w14:paraId="4133BC29" w14:textId="77777777" w:rsidR="007C0F6C" w:rsidRDefault="00C62DC2" w:rsidP="008B3D54">
      <w:pPr>
        <w:pStyle w:val="Figura1"/>
        <w:numPr>
          <w:ilvl w:val="1"/>
          <w:numId w:val="9"/>
        </w:numPr>
        <w:rPr>
          <w:b/>
          <w:bCs/>
          <w:lang w:val="es-CR"/>
        </w:rPr>
      </w:pPr>
      <w:r w:rsidRPr="00C62DC2">
        <w:rPr>
          <w:b/>
          <w:bCs/>
          <w:lang w:val="es-CR"/>
        </w:rPr>
        <w:t>Change Management</w:t>
      </w:r>
      <w:r w:rsidRPr="00C62DC2">
        <w:rPr>
          <w:lang w:val="es-CR"/>
        </w:rPr>
        <w:t>: gestión del cambio organizacional vinculado al uso del espacio.</w:t>
      </w:r>
    </w:p>
    <w:p w14:paraId="00957C85" w14:textId="77777777" w:rsidR="007C0F6C" w:rsidRDefault="00C62DC2" w:rsidP="008B3D54">
      <w:pPr>
        <w:pStyle w:val="Figura1"/>
        <w:numPr>
          <w:ilvl w:val="1"/>
          <w:numId w:val="9"/>
        </w:numPr>
        <w:rPr>
          <w:b/>
          <w:bCs/>
          <w:lang w:val="es-CR"/>
        </w:rPr>
      </w:pPr>
      <w:r w:rsidRPr="00C62DC2">
        <w:rPr>
          <w:b/>
          <w:bCs/>
          <w:lang w:val="es-CR"/>
        </w:rPr>
        <w:t>Bienestar</w:t>
      </w:r>
      <w:r w:rsidRPr="00C62DC2">
        <w:rPr>
          <w:lang w:val="es-CR"/>
        </w:rPr>
        <w:t>: estrategias enfocadas en mejorar la experiencia del usuario y el confort laboral.</w:t>
      </w:r>
    </w:p>
    <w:p w14:paraId="51CB0A29" w14:textId="77777777" w:rsidR="007C0F6C" w:rsidRDefault="00C62DC2" w:rsidP="008B3D54">
      <w:pPr>
        <w:pStyle w:val="Figura1"/>
        <w:numPr>
          <w:ilvl w:val="1"/>
          <w:numId w:val="9"/>
        </w:numPr>
        <w:rPr>
          <w:b/>
          <w:bCs/>
          <w:lang w:val="es-CR"/>
        </w:rPr>
      </w:pPr>
      <w:r w:rsidRPr="00C62DC2">
        <w:rPr>
          <w:b/>
          <w:bCs/>
          <w:lang w:val="es-CR"/>
        </w:rPr>
        <w:t>Sustentabilidad</w:t>
      </w:r>
      <w:r w:rsidRPr="00C62DC2">
        <w:rPr>
          <w:lang w:val="es-CR"/>
        </w:rPr>
        <w:t>: prácticas y asesoría para lograr eficiencia energética, certificaciones (LEED, WELL) y operación responsable.</w:t>
      </w:r>
    </w:p>
    <w:p w14:paraId="5C489AAF" w14:textId="386A7604" w:rsidR="00C62DC2" w:rsidRPr="00476C00" w:rsidRDefault="00C62DC2" w:rsidP="008B3D54">
      <w:pPr>
        <w:pStyle w:val="Figura1"/>
        <w:numPr>
          <w:ilvl w:val="1"/>
          <w:numId w:val="9"/>
        </w:numPr>
        <w:rPr>
          <w:b/>
          <w:bCs/>
          <w:lang w:val="es-CR"/>
        </w:rPr>
      </w:pPr>
      <w:r w:rsidRPr="00C62DC2">
        <w:rPr>
          <w:b/>
          <w:bCs/>
          <w:lang w:val="es-CR"/>
        </w:rPr>
        <w:t>Camp: Office as a Service</w:t>
      </w:r>
      <w:r w:rsidRPr="00C62DC2">
        <w:rPr>
          <w:lang w:val="es-CR"/>
        </w:rPr>
        <w:t>: modelo de oficina flexible con servicios integrados de administración, tecnología y mantenimiento.</w:t>
      </w:r>
    </w:p>
    <w:p w14:paraId="2E556477" w14:textId="24E40098" w:rsidR="005F356C" w:rsidRDefault="00F7110A" w:rsidP="00237B6D">
      <w:pPr>
        <w:pStyle w:val="Ttulo2"/>
      </w:pPr>
      <w:bookmarkStart w:id="32" w:name="_Toc200286363"/>
      <w:bookmarkStart w:id="33" w:name="_Toc212406346"/>
      <w:r>
        <w:t xml:space="preserve">2.2 </w:t>
      </w:r>
      <w:r w:rsidR="00990D5A" w:rsidRPr="002B4C13">
        <w:t>Teoría de Administración de Proyectos</w:t>
      </w:r>
      <w:bookmarkEnd w:id="32"/>
      <w:bookmarkEnd w:id="33"/>
    </w:p>
    <w:p w14:paraId="1B364681" w14:textId="2F0AE7E7" w:rsidR="009E6D27" w:rsidRPr="002B4C13" w:rsidRDefault="002B4C13" w:rsidP="00E364CE">
      <w:pPr>
        <w:pStyle w:val="APA"/>
      </w:pPr>
      <w:r w:rsidRPr="002B4C13">
        <w:rPr>
          <w:lang w:val="es-CR"/>
        </w:rPr>
        <w:t>Este apartado presenta los conceptos fundamentales sobre la administración de proyectos, como los principios, el ciclo de vida, los enfoques de desarrollo y los grupos de procesos. Estos elementos proporcionan una base teórica clave para el desarrollo de este Proyecto Final de Graduación, ya que permiten comprender cómo se deben planificar, controlar y ejecutar proyectos de forma estructurada, especialmente en entornos como el modelo Design &amp; Build utilizado en Contract Workplaces. Esta teoría respalda las propuestas de mejora planteadas para optimizar los procesos de</w:t>
      </w:r>
      <w:r w:rsidR="00AE4839">
        <w:rPr>
          <w:lang w:val="es-CR"/>
        </w:rPr>
        <w:t xml:space="preserve"> </w:t>
      </w:r>
      <w:r w:rsidRPr="002B4C13">
        <w:rPr>
          <w:lang w:val="es-CR"/>
        </w:rPr>
        <w:t>planificación y control dentro de la</w:t>
      </w:r>
      <w:r w:rsidRPr="002B4C13">
        <w:t xml:space="preserve"> empresa.</w:t>
      </w:r>
    </w:p>
    <w:p w14:paraId="472BCA9C" w14:textId="452ECE97" w:rsidR="009E6D27" w:rsidRPr="009F64F0" w:rsidRDefault="00F7110A" w:rsidP="00237B6D">
      <w:pPr>
        <w:pStyle w:val="Ttulo3"/>
      </w:pPr>
      <w:bookmarkStart w:id="34" w:name="_Toc212406347"/>
      <w:r w:rsidRPr="009F64F0">
        <w:t xml:space="preserve">2.2.1 </w:t>
      </w:r>
      <w:r w:rsidR="00990D5A" w:rsidRPr="009F64F0">
        <w:t>Principios de la dirección de proyectos</w:t>
      </w:r>
      <w:bookmarkEnd w:id="34"/>
    </w:p>
    <w:p w14:paraId="6DC9F413" w14:textId="25530B71" w:rsidR="00DF7B0B" w:rsidRPr="00DF7B0B" w:rsidRDefault="00DF7B0B" w:rsidP="00E364CE">
      <w:pPr>
        <w:pStyle w:val="APA"/>
        <w:rPr>
          <w:lang w:val="es-CR"/>
        </w:rPr>
      </w:pPr>
      <w:r w:rsidRPr="00DF7B0B">
        <w:rPr>
          <w:lang w:val="es-CR"/>
        </w:rPr>
        <w:t xml:space="preserve">Los principios de la dirección de proyectos son ideas que ayudan a las personas a tomar buenas decisiones mientras trabajan en un proyecto. No son reglas estrictas, sino guías que indican cómo actuar con ética y responsabilidad. Según </w:t>
      </w:r>
      <w:r>
        <w:rPr>
          <w:lang w:val="es-CR"/>
        </w:rPr>
        <w:t xml:space="preserve">la </w:t>
      </w:r>
      <w:r w:rsidRPr="00DF7B0B">
        <w:t xml:space="preserve">Guía del PMBOK </w:t>
      </w:r>
      <w:r w:rsidRPr="00DF7B0B">
        <w:lastRenderedPageBreak/>
        <w:t>Séptima edición</w:t>
      </w:r>
      <w:r>
        <w:t xml:space="preserve"> </w:t>
      </w:r>
      <w:r w:rsidRPr="00DF7B0B">
        <w:rPr>
          <w:lang w:val="es-CR"/>
        </w:rPr>
        <w:t>(PMI, 2021), estos principios ayudan a que las personas involucradas en un proyecto trabajen de forma correcta, profesional y enfocada en los objetivos del equipo.</w:t>
      </w:r>
    </w:p>
    <w:p w14:paraId="77A57336" w14:textId="77777777" w:rsidR="00DF7B0B" w:rsidRPr="00DF7B0B" w:rsidRDefault="00DF7B0B" w:rsidP="00E364CE">
      <w:pPr>
        <w:pStyle w:val="APA"/>
        <w:rPr>
          <w:lang w:val="es-CR"/>
        </w:rPr>
      </w:pPr>
      <w:r w:rsidRPr="00DF7B0B">
        <w:rPr>
          <w:lang w:val="es-CR"/>
        </w:rPr>
        <w:t>Los principios también están relacionados con valores importantes como la responsabilidad, el respeto, la imparcialidad y la honestidad. Además, fueron creados por personas de muchas partes del mundo con experiencia en diferentes industrias. Aunque algunos principios se parecen o se cruzan en la práctica, todos se complementan entre sí y ayudan a que los proyectos se desarrollen de la mejor manera posible (PMI, 2021).</w:t>
      </w:r>
    </w:p>
    <w:p w14:paraId="49F84C6C" w14:textId="77777777" w:rsidR="00DF7B0B" w:rsidRDefault="00DF7B0B" w:rsidP="00E364CE">
      <w:pPr>
        <w:pStyle w:val="APA"/>
      </w:pPr>
      <w:r w:rsidRPr="00DF7B0B">
        <w:t xml:space="preserve">A continuación, se presentan los 12 principios propuestos por </w:t>
      </w:r>
      <w:r>
        <w:t xml:space="preserve">la </w:t>
      </w:r>
      <w:r w:rsidRPr="00DF7B0B">
        <w:t xml:space="preserve">Guía del PMBOK Séptima edición (2021), junto con su finalidad y una breve aplicación al proyecto de mejora de procesos en proyectos </w:t>
      </w:r>
      <w:r w:rsidRPr="00DF7B0B">
        <w:rPr>
          <w:i/>
          <w:iCs/>
        </w:rPr>
        <w:t>Design &amp; Build</w:t>
      </w:r>
      <w:r w:rsidRPr="00DF7B0B">
        <w:t xml:space="preserve"> en Contract Workplaces:</w:t>
      </w:r>
    </w:p>
    <w:p w14:paraId="029871C3" w14:textId="0EA35B32" w:rsidR="00DF7B0B" w:rsidRPr="00E364CE" w:rsidRDefault="00DF7B0B" w:rsidP="00D81025">
      <w:pPr>
        <w:pStyle w:val="Figura1"/>
        <w:numPr>
          <w:ilvl w:val="0"/>
          <w:numId w:val="8"/>
        </w:numPr>
        <w:rPr>
          <w:rStyle w:val="APACar"/>
        </w:rPr>
      </w:pPr>
      <w:r w:rsidRPr="00DF7B0B">
        <w:rPr>
          <w:b/>
          <w:bCs/>
        </w:rPr>
        <w:t xml:space="preserve">Ser un administrador diligente, respetuoso y </w:t>
      </w:r>
      <w:r>
        <w:rPr>
          <w:b/>
          <w:bCs/>
        </w:rPr>
        <w:t xml:space="preserve">cuidadoso: </w:t>
      </w:r>
      <w:r w:rsidR="009C31D2" w:rsidRPr="00E364CE">
        <w:rPr>
          <w:rStyle w:val="APACar"/>
        </w:rPr>
        <w:t>Este principio trata sobre actuar de forma correcta y profesional en los proyectos. En Contract Workplaces, eso significa que las personas encargadas de liderar los proyectos deben ser responsables, claras, honestas y transparentes en todo momento. Deben explicar bien qué se va a entregar, cuidar los costos, cumplir con los tiempos y asegurarse de que la calidad y la seguridad sean siempre una prioridad. También es muy importante seguir las normas civiles y técnicas que exige la ley, sobre todo al momento de construir. Además, se espera que el trato con los proveedores sea justo, con buena comunicación y cumpliendo los acuerdos que se hacen desde el inicio (PMI, 2021).</w:t>
      </w:r>
    </w:p>
    <w:p w14:paraId="78EDFC83" w14:textId="43DB8B4A" w:rsidR="009C31D2" w:rsidRPr="00E364CE" w:rsidRDefault="009C31D2" w:rsidP="00D81025">
      <w:pPr>
        <w:pStyle w:val="Figura1"/>
        <w:numPr>
          <w:ilvl w:val="0"/>
          <w:numId w:val="8"/>
        </w:numPr>
        <w:rPr>
          <w:rStyle w:val="APACar"/>
        </w:rPr>
      </w:pPr>
      <w:r>
        <w:rPr>
          <w:b/>
          <w:bCs/>
        </w:rPr>
        <w:t xml:space="preserve">Crear un entorno colaborativo del equipo del proyecto: </w:t>
      </w:r>
      <w:r w:rsidRPr="00E364CE">
        <w:rPr>
          <w:rStyle w:val="APACar"/>
        </w:rPr>
        <w:t xml:space="preserve">Este principio habla de la importancia de que el equipo del proyecto trabaje en un ambiente donde haya confianza, buena comunicación y apoyo entre todos. Para que esto suceda, es clave que el equipo defina desde el inicio cómo va a trabajar, cuáles son sus </w:t>
      </w:r>
      <w:r w:rsidRPr="00E364CE">
        <w:rPr>
          <w:rStyle w:val="APACar"/>
        </w:rPr>
        <w:lastRenderedPageBreak/>
        <w:t>responsabilidades, cómo se tomarán decisiones y cómo resolverán los problemas</w:t>
      </w:r>
      <w:r w:rsidR="001B7531" w:rsidRPr="00E364CE">
        <w:rPr>
          <w:rStyle w:val="APACar"/>
        </w:rPr>
        <w:t xml:space="preserve">. </w:t>
      </w:r>
      <w:r w:rsidRPr="00E364CE">
        <w:rPr>
          <w:rStyle w:val="APACar"/>
        </w:rPr>
        <w:t xml:space="preserve">En Contract Workplaces, este principio es muy importante, ya que los proyectos Design &amp; Build requieren que los equipos de diseño, planificación y construcción trabajen muy cerca unos de otros. Si no hay buena coordinación, se pueden generar reprocesos o atrasos. </w:t>
      </w:r>
      <w:r w:rsidR="0068332B" w:rsidRPr="00E364CE">
        <w:rPr>
          <w:rStyle w:val="APACar"/>
        </w:rPr>
        <w:t>Por eso, es necesario establecer procesos que fortalezcan la colaboración entre los diferentes equipos, de forma que se logre una mejor coordinación y que el trabajo fluya de manera más ordenada y efectiva (PMI, 2021).</w:t>
      </w:r>
    </w:p>
    <w:p w14:paraId="5D1A9AA4" w14:textId="29F88E8E" w:rsidR="001B7531" w:rsidRPr="00990C1A" w:rsidRDefault="001B7531" w:rsidP="00D81025">
      <w:pPr>
        <w:pStyle w:val="Figura1"/>
        <w:numPr>
          <w:ilvl w:val="0"/>
          <w:numId w:val="8"/>
        </w:numPr>
        <w:rPr>
          <w:lang w:val="es-CR"/>
        </w:rPr>
      </w:pPr>
      <w:r w:rsidRPr="009E6D27">
        <w:rPr>
          <w:b/>
          <w:bCs/>
        </w:rPr>
        <w:t xml:space="preserve">Involucrarse eficazmente con los interesados: </w:t>
      </w:r>
      <w:r w:rsidRPr="00E364CE">
        <w:rPr>
          <w:rStyle w:val="APACar"/>
        </w:rPr>
        <w:t>Este principio se refiere a la importancia de identificar a todas las personas o grupos que tienen algún interés o impacto en el proyecto, y asegurarse de que estén bien informados y participen cuando sea necesario. Estos interesados pueden ser clientes, proveedores, miembros del equipo, jefaturas o incluso usuarios finales. En los proyectos tipo Design &amp; Build de Contract Workplaces, esto es muy importante, porque participan muchas personas de diferentes áreas: comercial, diseño, planificación, construcción, compras, entre otras</w:t>
      </w:r>
      <w:r w:rsidR="002F699D" w:rsidRPr="00E364CE">
        <w:rPr>
          <w:rStyle w:val="APACar"/>
        </w:rPr>
        <w:t>. Por ello, resulta fundamental implementar mecanismos que mejoren la coordinación entre los actores involucrados, permitiendo que se escuche a cada parte interesada, se comprendan sus necesidades y se tomen decisiones más claras y anticipadas (PMI, 2021).</w:t>
      </w:r>
    </w:p>
    <w:p w14:paraId="069D9383" w14:textId="37F97C96" w:rsidR="009C31D2" w:rsidRPr="00E364CE" w:rsidRDefault="001B7531" w:rsidP="00D81025">
      <w:pPr>
        <w:pStyle w:val="Figura1"/>
        <w:numPr>
          <w:ilvl w:val="0"/>
          <w:numId w:val="8"/>
        </w:numPr>
        <w:rPr>
          <w:rStyle w:val="APACar"/>
        </w:rPr>
      </w:pPr>
      <w:r>
        <w:rPr>
          <w:b/>
          <w:bCs/>
        </w:rPr>
        <w:t>Enfocarse en el valor:</w:t>
      </w:r>
      <w:r w:rsidR="00CD6190">
        <w:rPr>
          <w:b/>
          <w:bCs/>
        </w:rPr>
        <w:t xml:space="preserve"> </w:t>
      </w:r>
      <w:r w:rsidR="00CD6190" w:rsidRPr="00E364CE">
        <w:rPr>
          <w:rStyle w:val="APACar"/>
        </w:rPr>
        <w:t xml:space="preserve">Este principio trata sobre tomar decisiones pensando en lo que realmente es importante para el proyecto y para el cliente. En lugar de solo cumplir con tareas, se trata de entregar resultados que generen beneficios y valor para ambas partes. En Contract Workplaces, eso significa que el equipo debe diseñar y construir espacios que no solo se vean bien, sino que también funcionen bien para las personas que los van a usar. </w:t>
      </w:r>
      <w:r w:rsidR="002F699D" w:rsidRPr="00E364CE">
        <w:rPr>
          <w:rStyle w:val="APACar"/>
        </w:rPr>
        <w:t xml:space="preserve">Por ello, es fundamental establecer procesos que </w:t>
      </w:r>
      <w:r w:rsidR="002F699D" w:rsidRPr="00E364CE">
        <w:rPr>
          <w:rStyle w:val="APACar"/>
        </w:rPr>
        <w:lastRenderedPageBreak/>
        <w:t>permitan usar el tiempo, el dinero y el esfuerzo de forma eficiente, enfocándose en lo que realmente agrega valor al cliente (PMI, 2021).</w:t>
      </w:r>
    </w:p>
    <w:p w14:paraId="16999E0B" w14:textId="2833B8AD" w:rsidR="001B7531" w:rsidRDefault="001B7531" w:rsidP="00D81025">
      <w:pPr>
        <w:pStyle w:val="Figura1"/>
        <w:numPr>
          <w:ilvl w:val="0"/>
          <w:numId w:val="8"/>
        </w:numPr>
        <w:rPr>
          <w:b/>
          <w:bCs/>
        </w:rPr>
      </w:pPr>
      <w:r>
        <w:rPr>
          <w:b/>
          <w:bCs/>
        </w:rPr>
        <w:t>Reconocer, evaluar y responder a las interacciones del sistema</w:t>
      </w:r>
      <w:r w:rsidR="00911E0C">
        <w:rPr>
          <w:b/>
          <w:bCs/>
        </w:rPr>
        <w:t xml:space="preserve">: </w:t>
      </w:r>
      <w:r w:rsidR="00911E0C" w:rsidRPr="00E364CE">
        <w:rPr>
          <w:rStyle w:val="APACar"/>
        </w:rPr>
        <w:t>En los proyectos, todo está conectado. Si algo cambia en una parte, puede afectar a otras. Este principio dice que debemos ver el proyecto como un sistema completo. En Contract Workplaces, por ejemplo, si hay un cambio en el diseño, eso puede afectar el cronograma, los costos o la construcción. Por eso, es importante analizar cómo cada decisión puede impactar otras áreas</w:t>
      </w:r>
      <w:r w:rsidR="008B3D54">
        <w:rPr>
          <w:rStyle w:val="APACar"/>
        </w:rPr>
        <w:t xml:space="preserve"> </w:t>
      </w:r>
      <w:r w:rsidR="002F699D" w:rsidRPr="00E364CE">
        <w:rPr>
          <w:rStyle w:val="APACar"/>
        </w:rPr>
        <w:t>y establecer mecanismos que permitan identificar esas interacciones y mejorar la coordinación entre todos los equipos involucrados (PMI, 2021).</w:t>
      </w:r>
    </w:p>
    <w:p w14:paraId="039881D6" w14:textId="64C7A06D" w:rsidR="001B7531" w:rsidRPr="00D46B0D" w:rsidRDefault="001B7531" w:rsidP="00D81025">
      <w:pPr>
        <w:pStyle w:val="Figura1"/>
        <w:numPr>
          <w:ilvl w:val="0"/>
          <w:numId w:val="8"/>
        </w:numPr>
      </w:pPr>
      <w:r>
        <w:rPr>
          <w:b/>
          <w:bCs/>
        </w:rPr>
        <w:t>Demostrar comportamientos de liderazgo</w:t>
      </w:r>
      <w:r w:rsidR="00D46B0D" w:rsidRPr="00D46B0D">
        <w:t xml:space="preserve">: </w:t>
      </w:r>
      <w:r w:rsidR="00D46B0D" w:rsidRPr="00E364CE">
        <w:rPr>
          <w:rStyle w:val="APACar"/>
        </w:rPr>
        <w:t>No se trata solo de ser jefe, sino de actuar con responsabilidad, motivar al equipo y dar el ejemplo. En los proyectos Design &amp; Build, el rol de las Project Managers es muy importante. Ellos deben guiar al equipo, resolver problemas y asegurarse de que todos estén enfocados en los objetivos. Este principio se aplica cuando los líderes inspiran confianza, toman decisiones claras y se comunican bien con todos los involucrados (PMI, 2021).</w:t>
      </w:r>
    </w:p>
    <w:p w14:paraId="75449D74" w14:textId="751F5EB1" w:rsidR="001B7531" w:rsidRDefault="001B7531" w:rsidP="00D81025">
      <w:pPr>
        <w:pStyle w:val="Figura1"/>
        <w:numPr>
          <w:ilvl w:val="0"/>
          <w:numId w:val="8"/>
        </w:numPr>
        <w:rPr>
          <w:b/>
          <w:bCs/>
        </w:rPr>
      </w:pPr>
      <w:r>
        <w:rPr>
          <w:b/>
          <w:bCs/>
        </w:rPr>
        <w:t>Adaptar en función del contexto:</w:t>
      </w:r>
      <w:r w:rsidR="00D46B0D">
        <w:rPr>
          <w:b/>
          <w:bCs/>
        </w:rPr>
        <w:t xml:space="preserve"> </w:t>
      </w:r>
      <w:r w:rsidR="00D46B0D" w:rsidRPr="00E364CE">
        <w:rPr>
          <w:rStyle w:val="APACar"/>
        </w:rPr>
        <w:t xml:space="preserve">Cada proyecto es diferente. Este principio dice que no se puede aplicar la misma solución en todos los casos, sino que hay que adaptarse según el tipo de cliente, presupuesto, lugar o necesidades del proyecto. </w:t>
      </w:r>
      <w:r w:rsidR="00F15B18" w:rsidRPr="00E364CE">
        <w:rPr>
          <w:rStyle w:val="APACar"/>
        </w:rPr>
        <w:t>En Contract Workplaces, donde se atiende a una gran diversidad de sectores, es fundamental contar con procesos lo suficientemente flexibles para ajustarse a distintos contextos sin perder calidad ni control. Por ello, se requiere establecer prácticas adaptativas que permitan responder de forma efectiva a las particularidades de cada situación (PMI, 2021).</w:t>
      </w:r>
    </w:p>
    <w:p w14:paraId="406D17D9" w14:textId="6D290E91" w:rsidR="001B7531" w:rsidRDefault="001B7531" w:rsidP="00D81025">
      <w:pPr>
        <w:pStyle w:val="Figura1"/>
        <w:numPr>
          <w:ilvl w:val="0"/>
          <w:numId w:val="8"/>
        </w:numPr>
        <w:rPr>
          <w:b/>
          <w:bCs/>
        </w:rPr>
      </w:pPr>
      <w:r>
        <w:rPr>
          <w:b/>
          <w:bCs/>
        </w:rPr>
        <w:lastRenderedPageBreak/>
        <w:t>Incorporar la calidad en los procesos y los entregables</w:t>
      </w:r>
      <w:r w:rsidR="00D46B0D">
        <w:rPr>
          <w:b/>
          <w:bCs/>
        </w:rPr>
        <w:t xml:space="preserve">: </w:t>
      </w:r>
      <w:r w:rsidR="00D46B0D" w:rsidRPr="00E364CE">
        <w:rPr>
          <w:rStyle w:val="APACar"/>
        </w:rPr>
        <w:t xml:space="preserve">La calidad no es solo algo que se revisa al final. Este principio dice que se debe trabajar con calidad desde el inicio, en cada paso. </w:t>
      </w:r>
      <w:r w:rsidR="00F15B18" w:rsidRPr="00E364CE">
        <w:rPr>
          <w:rStyle w:val="APACar"/>
        </w:rPr>
        <w:t>En el modelo Design &amp; Build, esto implica asegurar que tanto el diseño como la construcción se desarrollen con precisión y compromiso con la calidad. Por ello, es fundamental definir procesos que faciliten la revisión y el control continuo de la calidad durante todo el ciclo de vida del proyecto (PMI, 2021).</w:t>
      </w:r>
    </w:p>
    <w:p w14:paraId="0845AA25" w14:textId="052E33A5" w:rsidR="001B7531" w:rsidRDefault="001B7531" w:rsidP="00D81025">
      <w:pPr>
        <w:pStyle w:val="Figura1"/>
        <w:numPr>
          <w:ilvl w:val="0"/>
          <w:numId w:val="8"/>
        </w:numPr>
        <w:rPr>
          <w:b/>
          <w:bCs/>
        </w:rPr>
      </w:pPr>
      <w:r>
        <w:rPr>
          <w:b/>
          <w:bCs/>
        </w:rPr>
        <w:t>Navegar en la complejidad</w:t>
      </w:r>
      <w:r w:rsidR="00D46B0D">
        <w:rPr>
          <w:b/>
          <w:bCs/>
        </w:rPr>
        <w:t xml:space="preserve">: </w:t>
      </w:r>
      <w:r w:rsidR="00D46B0D" w:rsidRPr="00E364CE">
        <w:rPr>
          <w:rStyle w:val="APACar"/>
        </w:rPr>
        <w:t xml:space="preserve">Los proyectos tienen muchas partes, personas, tareas y cambios. Este principio dice que hay que reconocer esa complejidad y tener formas de manejarla. </w:t>
      </w:r>
      <w:r w:rsidR="00E82B32" w:rsidRPr="00E364CE">
        <w:rPr>
          <w:rStyle w:val="APACar"/>
        </w:rPr>
        <w:t>En el caso de Contract Workplaces, un solo proyecto puede involucrar diferentes equipos internos, proveedores externos y múltiples decisiones en paralelo. Para evitar que esta complejidad afecte los resultados, es esencial estructurar los procesos de manera que permitan organizar el trabajo, mantener el control y facilitar la coordinación efectiva entre todas las partes involucradas (PMI, 2021).</w:t>
      </w:r>
    </w:p>
    <w:p w14:paraId="02E69205" w14:textId="5435A4F3" w:rsidR="001B7531" w:rsidRDefault="001B7531" w:rsidP="00D81025">
      <w:pPr>
        <w:pStyle w:val="Figura1"/>
        <w:numPr>
          <w:ilvl w:val="0"/>
          <w:numId w:val="8"/>
        </w:numPr>
        <w:rPr>
          <w:b/>
          <w:bCs/>
        </w:rPr>
      </w:pPr>
      <w:r>
        <w:rPr>
          <w:b/>
          <w:bCs/>
        </w:rPr>
        <w:t xml:space="preserve">Optimizar las respuestas a los </w:t>
      </w:r>
      <w:r w:rsidRPr="009E6D27">
        <w:rPr>
          <w:b/>
          <w:bCs/>
        </w:rPr>
        <w:t>riegos</w:t>
      </w:r>
      <w:r w:rsidR="00D46B0D" w:rsidRPr="009E6D27">
        <w:rPr>
          <w:b/>
          <w:bCs/>
        </w:rPr>
        <w:t xml:space="preserve">: </w:t>
      </w:r>
      <w:r w:rsidR="00E82B32" w:rsidRPr="00E364CE">
        <w:rPr>
          <w:rStyle w:val="APACar"/>
        </w:rPr>
        <w:t>Los proyectos están expuestos a múltiples eventos inciertos que pueden afectar su desarrollo. Este principio establece la importancia de anticiparse, identificar los riesgos potenciales, evaluarlos y establecer planes de acción adecuados. En el caso de Contract Workplaces, situaciones como retrasos en la entrega de materiales o errores en planos pueden comprometer significativamente el cronograma o la calidad del proyecto. Por esta razón, es fundamental contar con procesos de planificación robustos y sistemas de control que permitan mitigar los riesgos antes de que ocurran, reduciendo así su impacto negativo (PMI, 2021).</w:t>
      </w:r>
    </w:p>
    <w:p w14:paraId="545E9BB8" w14:textId="06C60D4B" w:rsidR="001B7531" w:rsidRDefault="001B7531" w:rsidP="00D81025">
      <w:pPr>
        <w:pStyle w:val="Figura1"/>
        <w:numPr>
          <w:ilvl w:val="0"/>
          <w:numId w:val="8"/>
        </w:numPr>
        <w:rPr>
          <w:b/>
          <w:bCs/>
        </w:rPr>
      </w:pPr>
      <w:r>
        <w:rPr>
          <w:b/>
          <w:bCs/>
        </w:rPr>
        <w:t>Adoptar la adaptación y la resiliencia</w:t>
      </w:r>
      <w:r w:rsidR="00D46B0D">
        <w:rPr>
          <w:b/>
          <w:bCs/>
        </w:rPr>
        <w:t xml:space="preserve">: </w:t>
      </w:r>
      <w:r w:rsidR="00D46B0D" w:rsidRPr="00D46B0D">
        <w:t>E</w:t>
      </w:r>
      <w:r w:rsidR="00D46B0D" w:rsidRPr="00E364CE">
        <w:rPr>
          <w:rStyle w:val="APACar"/>
        </w:rPr>
        <w:t>ste principio dice que en los proyectos hay que estar listos para cambiar cuando algo no sale como se esperaba. Ser adaptable</w:t>
      </w:r>
      <w:r w:rsidR="00D46B0D" w:rsidRPr="00D46B0D">
        <w:t xml:space="preserve"> </w:t>
      </w:r>
      <w:r w:rsidR="00D46B0D" w:rsidRPr="00E364CE">
        <w:rPr>
          <w:rStyle w:val="APACar"/>
        </w:rPr>
        <w:lastRenderedPageBreak/>
        <w:t xml:space="preserve">es clave. En Contract Workplaces, a veces el cliente cambia de idea, o hay ajustes por permisos o presupuestos. Si el equipo es flexible y sabe cómo adaptarse, el proyecto puede seguir sin grandes complicaciones. </w:t>
      </w:r>
      <w:r w:rsidR="00E82B32" w:rsidRPr="00E364CE">
        <w:rPr>
          <w:rStyle w:val="APACar"/>
        </w:rPr>
        <w:t>Por ello, es esencial contar con procesos ágiles y resilientes que permitan al equipo ajustarse oportunamente, mantener la continuidad operativa y asegurar el cumplimiento de los objetivos del proyecto (PMI, 2021).</w:t>
      </w:r>
    </w:p>
    <w:p w14:paraId="0000011A" w14:textId="2DEB5349" w:rsidR="00A2355F" w:rsidRPr="00476C00" w:rsidRDefault="001B7531" w:rsidP="00D81025">
      <w:pPr>
        <w:pStyle w:val="Figura1"/>
        <w:numPr>
          <w:ilvl w:val="0"/>
          <w:numId w:val="8"/>
        </w:numPr>
        <w:rPr>
          <w:b/>
          <w:bCs/>
        </w:rPr>
      </w:pPr>
      <w:r w:rsidRPr="009E6D27">
        <w:rPr>
          <w:b/>
          <w:bCs/>
        </w:rPr>
        <w:t>Permitir el cambio para lograr el estado futuro previsto</w:t>
      </w:r>
      <w:r w:rsidR="00D46B0D" w:rsidRPr="009E6D27">
        <w:rPr>
          <w:b/>
          <w:bCs/>
        </w:rPr>
        <w:t xml:space="preserve">: </w:t>
      </w:r>
      <w:r w:rsidR="00D46B0D" w:rsidRPr="00E364CE">
        <w:rPr>
          <w:rStyle w:val="APACar"/>
        </w:rPr>
        <w:t xml:space="preserve">Los proyectos existen para generar un cambio: un nuevo espacio, una mejora, algo que antes no existía. Este principio habla de aceptar el cambio como parte natural del proyecto. </w:t>
      </w:r>
      <w:r w:rsidR="00E82B32" w:rsidRPr="00E364CE">
        <w:rPr>
          <w:rStyle w:val="APACar"/>
        </w:rPr>
        <w:t>En organizaciones como Contract Workplaces, implementar mejoras en los procesos permite evolucionar hacia formas más eficientes de operar, especialmente en modelos como el Design &amp; Build, donde la integración de etapas es clave para el éxito. Por ello, es necesario facilitar entornos organizativos que permitan el cambio estructurado, alineado con los objetivos estratégicos (PMI, 2021).</w:t>
      </w:r>
    </w:p>
    <w:p w14:paraId="0000011B" w14:textId="6C06BDF1" w:rsidR="00A2355F" w:rsidRPr="009F64F0" w:rsidRDefault="009F64F0" w:rsidP="00237B6D">
      <w:pPr>
        <w:pStyle w:val="Ttulo3"/>
      </w:pPr>
      <w:bookmarkStart w:id="35" w:name="_Toc212406348"/>
      <w:r>
        <w:t xml:space="preserve">2.2.2 </w:t>
      </w:r>
      <w:r w:rsidR="00990D5A" w:rsidRPr="009F64F0">
        <w:t>Dominios de desempeño del proyecto</w:t>
      </w:r>
      <w:bookmarkEnd w:id="35"/>
      <w:r w:rsidR="00990D5A" w:rsidRPr="009F64F0">
        <w:t xml:space="preserve"> </w:t>
      </w:r>
    </w:p>
    <w:p w14:paraId="1E4147DA" w14:textId="77777777" w:rsidR="00554031" w:rsidRDefault="00D46B0D" w:rsidP="00E364CE">
      <w:pPr>
        <w:pStyle w:val="APA"/>
      </w:pPr>
      <w:r w:rsidRPr="00D46B0D">
        <w:rPr>
          <w:lang w:val="es-CR"/>
        </w:rPr>
        <w:t>Según la Guía de los Fundamentos para la Dirección de Proyectos (PMI, 2021), un dominio de desempeño es un grupo de actividades relacionadas que son fundamentales para la entrega efectiva de resultados en un proyecto.</w:t>
      </w:r>
      <w:r w:rsidR="00554031">
        <w:rPr>
          <w:lang w:val="es-CR"/>
        </w:rPr>
        <w:t xml:space="preserve"> </w:t>
      </w:r>
      <w:r w:rsidR="00554031">
        <w:t>Estos dominios ayudan a los equipos a organizar su trabajo de forma estratégica y flexible, considerando el contexto, los actores involucrados y el tipo de proyecto. La finalidad de los dominios de desempeño es guiar la ejecución del proyecto en todas sus etapas y mejorar su desempeño general.</w:t>
      </w:r>
    </w:p>
    <w:p w14:paraId="12278843" w14:textId="0D8CB901" w:rsidR="00554031" w:rsidRPr="004D0870" w:rsidRDefault="00554031" w:rsidP="00E364CE">
      <w:pPr>
        <w:pStyle w:val="APA"/>
      </w:pPr>
      <w:r w:rsidRPr="00E82B32">
        <w:t>A continuación, se describen los ocho dominios de desempeño según el PMI (2021), su objetivo principal y su relación con el proyecto de mejora de procesos “Design &amp; Build” en la empresa Contract Workplaces.</w:t>
      </w:r>
    </w:p>
    <w:p w14:paraId="4FFC12C1" w14:textId="11A31BA1" w:rsidR="00D46B0D" w:rsidRPr="00D46B0D" w:rsidRDefault="00D46B0D" w:rsidP="00D81025">
      <w:pPr>
        <w:pStyle w:val="Figura1"/>
        <w:rPr>
          <w:lang w:val="es-CR"/>
        </w:rPr>
      </w:pPr>
    </w:p>
    <w:p w14:paraId="11C0F1FE" w14:textId="3F7ED898" w:rsidR="00AC7586" w:rsidRDefault="00AC7586" w:rsidP="00D81025">
      <w:pPr>
        <w:pStyle w:val="Figura1"/>
        <w:numPr>
          <w:ilvl w:val="0"/>
          <w:numId w:val="10"/>
        </w:numPr>
        <w:rPr>
          <w:b/>
          <w:bCs/>
          <w:lang w:val="es-CR"/>
        </w:rPr>
      </w:pPr>
      <w:r>
        <w:rPr>
          <w:b/>
          <w:bCs/>
          <w:lang w:val="es-CR"/>
        </w:rPr>
        <w:t>Interesados:</w:t>
      </w:r>
      <w:r w:rsidR="00554031">
        <w:rPr>
          <w:b/>
          <w:bCs/>
          <w:lang w:val="es-CR"/>
        </w:rPr>
        <w:t xml:space="preserve"> </w:t>
      </w:r>
      <w:r w:rsidR="00554031" w:rsidRPr="00E364CE">
        <w:rPr>
          <w:rStyle w:val="APACar"/>
        </w:rPr>
        <w:t>Busca identificar y gestionar a las personas o grupos que influyen o se ven afectados por el proyecto. Su finalidad es lograr una comunicación efectiva y decisiones consensuadas. Este PFG propone herramientas que permitan involucrar de mejor manera a clientes, proveedores y personal interno.</w:t>
      </w:r>
    </w:p>
    <w:p w14:paraId="43E419B0" w14:textId="24FA42D4" w:rsidR="00AC7586" w:rsidRDefault="00AC7586" w:rsidP="00D81025">
      <w:pPr>
        <w:pStyle w:val="Figura1"/>
        <w:numPr>
          <w:ilvl w:val="0"/>
          <w:numId w:val="10"/>
        </w:numPr>
        <w:rPr>
          <w:b/>
          <w:bCs/>
          <w:lang w:val="es-CR"/>
        </w:rPr>
      </w:pPr>
      <w:r>
        <w:rPr>
          <w:b/>
          <w:bCs/>
          <w:lang w:val="es-CR"/>
        </w:rPr>
        <w:t xml:space="preserve">Equipo: </w:t>
      </w:r>
      <w:r w:rsidR="00554031" w:rsidRPr="00E364CE">
        <w:rPr>
          <w:rStyle w:val="APACar"/>
        </w:rPr>
        <w:t>Este dominio se centra en formar y mantener equipos eficaces. Su finalidad es promover la colaboración, motivación y comunicación entre los miembros del equipo. En Contract Workplaces, es clave que los equipos de diseño, planificación y construcción trabajen unidos. Este proyecto propone mejoras que faciliten esa colaboración.</w:t>
      </w:r>
    </w:p>
    <w:p w14:paraId="098CCF2B" w14:textId="41DA6F06" w:rsidR="00AC7586" w:rsidRDefault="00AC7586" w:rsidP="00D81025">
      <w:pPr>
        <w:pStyle w:val="Figura1"/>
        <w:numPr>
          <w:ilvl w:val="0"/>
          <w:numId w:val="10"/>
        </w:numPr>
        <w:rPr>
          <w:b/>
          <w:bCs/>
          <w:lang w:val="es-CR"/>
        </w:rPr>
      </w:pPr>
      <w:r>
        <w:rPr>
          <w:b/>
          <w:bCs/>
          <w:lang w:val="es-CR"/>
        </w:rPr>
        <w:t>Enfoque de desarrollo o Ciclo de vida:</w:t>
      </w:r>
      <w:r w:rsidR="00554031">
        <w:rPr>
          <w:b/>
          <w:bCs/>
          <w:lang w:val="es-CR"/>
        </w:rPr>
        <w:t xml:space="preserve"> </w:t>
      </w:r>
      <w:r w:rsidR="00554031">
        <w:t>Este dominio trata sobre cómo se estructura y organiza el trabajo a lo largo del proyecto. Ayuda a definir si el enfoque será predictivo, ágil o híbrido. En el contexto de Contract Workplaces, el modelo Design &amp; Build combina planificación estructurada con necesidad de adaptabilidad. Este proyecto busca ajustar los procesos a ese enfoque.</w:t>
      </w:r>
    </w:p>
    <w:p w14:paraId="1B17A77B" w14:textId="77777777" w:rsidR="00554031" w:rsidRPr="00554031" w:rsidRDefault="00AC7586" w:rsidP="00D81025">
      <w:pPr>
        <w:pStyle w:val="Figura1"/>
        <w:numPr>
          <w:ilvl w:val="0"/>
          <w:numId w:val="10"/>
        </w:numPr>
        <w:rPr>
          <w:b/>
          <w:bCs/>
          <w:lang w:val="es-CR"/>
        </w:rPr>
      </w:pPr>
      <w:r>
        <w:rPr>
          <w:b/>
          <w:bCs/>
          <w:lang w:val="es-CR"/>
        </w:rPr>
        <w:t>Planificación:</w:t>
      </w:r>
      <w:r w:rsidR="00554031">
        <w:rPr>
          <w:b/>
          <w:bCs/>
          <w:lang w:val="es-CR"/>
        </w:rPr>
        <w:t xml:space="preserve"> </w:t>
      </w:r>
      <w:r w:rsidR="00554031">
        <w:t>Se refiere a cómo se definen el alcance, cronograma, presupuesto y riesgos del proyecto. Su objetivo es asegurar que haya claridad y coordinación desde el inicio. El PFG se enfoca directamente en mejorar la planificación de los proyectos para reducir errores y cumplir objetivos de tiempo y costo.</w:t>
      </w:r>
    </w:p>
    <w:p w14:paraId="441CCDB2" w14:textId="526C16CD" w:rsidR="00AC7586" w:rsidRPr="00554031" w:rsidRDefault="00AC7586" w:rsidP="00D81025">
      <w:pPr>
        <w:pStyle w:val="Figura1"/>
        <w:numPr>
          <w:ilvl w:val="0"/>
          <w:numId w:val="10"/>
        </w:numPr>
        <w:rPr>
          <w:b/>
          <w:bCs/>
          <w:lang w:val="es-CR"/>
        </w:rPr>
      </w:pPr>
      <w:r w:rsidRPr="00554031">
        <w:rPr>
          <w:b/>
          <w:bCs/>
          <w:lang w:val="es-CR"/>
        </w:rPr>
        <w:t>Trabajo del Proyecto:</w:t>
      </w:r>
      <w:r w:rsidR="00554031" w:rsidRPr="00554031">
        <w:rPr>
          <w:b/>
          <w:bCs/>
          <w:lang w:val="es-CR"/>
        </w:rPr>
        <w:t xml:space="preserve"> </w:t>
      </w:r>
      <w:r w:rsidR="00554031">
        <w:t xml:space="preserve">Este dominio aborda la ejecución, monitoreo y control del trabajo del proyecto. Su finalidad es asegurar que el equipo </w:t>
      </w:r>
      <w:r w:rsidR="00554031">
        <w:lastRenderedPageBreak/>
        <w:t>realice las tareas según lo planificado. Este PFG propone procesos que permitan controlar mejor el avance de los proyectos y garantizar resultados de calidad.</w:t>
      </w:r>
    </w:p>
    <w:p w14:paraId="610A03D5" w14:textId="74ECBB16" w:rsidR="00554031" w:rsidRPr="00554031" w:rsidRDefault="00554031" w:rsidP="00D81025">
      <w:pPr>
        <w:pStyle w:val="Figura1"/>
        <w:numPr>
          <w:ilvl w:val="0"/>
          <w:numId w:val="10"/>
        </w:numPr>
        <w:rPr>
          <w:b/>
          <w:bCs/>
          <w:lang w:val="es-CR"/>
        </w:rPr>
      </w:pPr>
      <w:r>
        <w:rPr>
          <w:b/>
          <w:bCs/>
          <w:lang w:val="es-CR"/>
        </w:rPr>
        <w:t xml:space="preserve">Entrega: </w:t>
      </w:r>
      <w:r>
        <w:t>Se refiere a generar los entregables comprometidos de forma eficiente y conforme a los requisitos. En este proyecto se busca que las entregas estén mejor alineadas con lo que se definió en la etapa de diseño y planificación, evitando retrabajos.</w:t>
      </w:r>
    </w:p>
    <w:p w14:paraId="0D12F56C" w14:textId="306E9D92" w:rsidR="00AC7586" w:rsidRDefault="00AC7586" w:rsidP="00D81025">
      <w:pPr>
        <w:pStyle w:val="Figura1"/>
        <w:numPr>
          <w:ilvl w:val="0"/>
          <w:numId w:val="10"/>
        </w:numPr>
        <w:rPr>
          <w:b/>
          <w:bCs/>
          <w:lang w:val="es-CR"/>
        </w:rPr>
      </w:pPr>
      <w:r>
        <w:rPr>
          <w:b/>
          <w:bCs/>
          <w:lang w:val="es-CR"/>
        </w:rPr>
        <w:t>Métricas:</w:t>
      </w:r>
      <w:r w:rsidR="00554031">
        <w:rPr>
          <w:b/>
          <w:bCs/>
          <w:lang w:val="es-CR"/>
        </w:rPr>
        <w:t xml:space="preserve"> </w:t>
      </w:r>
      <w:r w:rsidR="00554031">
        <w:t>Este dominio consiste en hacer seguimiento al progreso del proyecto mediante métricas e indicadores. Permite saber si se están cumpliendo los objetivos. El proyecto propone implementar indicadores para evaluar la eficiencia de los procesos mejorados.</w:t>
      </w:r>
    </w:p>
    <w:p w14:paraId="0000011C" w14:textId="4916DBC6" w:rsidR="00A2355F" w:rsidRPr="00476C00" w:rsidRDefault="00AC7586" w:rsidP="00D81025">
      <w:pPr>
        <w:pStyle w:val="Figura1"/>
        <w:numPr>
          <w:ilvl w:val="0"/>
          <w:numId w:val="10"/>
        </w:numPr>
        <w:rPr>
          <w:b/>
          <w:bCs/>
          <w:lang w:val="es-CR"/>
        </w:rPr>
      </w:pPr>
      <w:r>
        <w:rPr>
          <w:b/>
          <w:bCs/>
          <w:lang w:val="es-CR"/>
        </w:rPr>
        <w:t>Incertidumbre:</w:t>
      </w:r>
      <w:r w:rsidR="00554031">
        <w:rPr>
          <w:b/>
          <w:bCs/>
          <w:lang w:val="es-CR"/>
        </w:rPr>
        <w:t xml:space="preserve"> </w:t>
      </w:r>
      <w:r w:rsidR="00554031">
        <w:t>Implica identificar riesgos y adaptarse a cambios. Su finalidad es reducir los impactos negativos en el proyecto. Este PFG busca que la empresa tenga mejores herramientas para anticiparse a problemas como atrasos, cambios de diseño o fallas en la comunicación.</w:t>
      </w:r>
    </w:p>
    <w:p w14:paraId="0000011D" w14:textId="20EE9415" w:rsidR="00A2355F" w:rsidRDefault="009F64F0" w:rsidP="00237B6D">
      <w:pPr>
        <w:pStyle w:val="Ttulo3"/>
      </w:pPr>
      <w:bookmarkStart w:id="36" w:name="_Toc212406349"/>
      <w:r>
        <w:t xml:space="preserve">2.2.3 </w:t>
      </w:r>
      <w:r w:rsidR="00990D5A">
        <w:t>Enfoques de desarrollo y ciclo de vida de los proyectos.</w:t>
      </w:r>
      <w:bookmarkEnd w:id="36"/>
    </w:p>
    <w:p w14:paraId="013274B5" w14:textId="65E34A61" w:rsidR="004B052F" w:rsidRPr="004B052F" w:rsidRDefault="004B052F" w:rsidP="00E364CE">
      <w:pPr>
        <w:pStyle w:val="APA"/>
      </w:pPr>
      <w:r w:rsidRPr="004B052F">
        <w:t xml:space="preserve">Los enfoques de desarrollo y los ciclos de vida son estrategias que guían las fases de un proyecto desde su inicio hasta su cierre. Según </w:t>
      </w:r>
      <w:r>
        <w:t xml:space="preserve">la </w:t>
      </w:r>
      <w:r w:rsidRPr="004B052F">
        <w:t>Guía del PMBOK (PMI, 2021), el ciclo de vida de un proyecto es la serie de fases por las que atraviesa un proyecto, y cada una se compone de actividades relacionadas con un inicio y un final definidos. Estas fases pueden ser secuenciales, iterativas o superpuestas, y se ajustan a las necesidades</w:t>
      </w:r>
      <w:r>
        <w:t xml:space="preserve"> del proyecto, industria o el </w:t>
      </w:r>
      <w:r w:rsidRPr="004B052F">
        <w:t>tipo de entregable.</w:t>
      </w:r>
    </w:p>
    <w:p w14:paraId="07B3F73C" w14:textId="730FBD6F" w:rsidR="004B052F" w:rsidRDefault="004B052F" w:rsidP="00E364CE">
      <w:pPr>
        <w:pStyle w:val="APA"/>
      </w:pPr>
      <w:r w:rsidRPr="004B052F">
        <w:lastRenderedPageBreak/>
        <w:t>El enfoque de desarrollo</w:t>
      </w:r>
      <w:r>
        <w:t xml:space="preserve"> </w:t>
      </w:r>
      <w:r w:rsidRPr="004B052F">
        <w:t>es el método utilizado para crear el producto o servicio del proyecto. Define cómo se planifica, ejecuta y entrega el trabajo, y puede clasificarse en tres tipos principales:</w:t>
      </w:r>
    </w:p>
    <w:p w14:paraId="55A052E9" w14:textId="200A1753" w:rsidR="004B052F" w:rsidRPr="004B052F" w:rsidRDefault="004B052F" w:rsidP="00D81025">
      <w:pPr>
        <w:pStyle w:val="Figura1"/>
        <w:rPr>
          <w:b/>
          <w:bCs/>
          <w:lang w:val="es-CR"/>
        </w:rPr>
      </w:pPr>
      <w:r w:rsidRPr="004B052F">
        <w:rPr>
          <w:b/>
          <w:bCs/>
          <w:lang w:val="es-CR"/>
        </w:rPr>
        <w:t>Enfoque predictivo</w:t>
      </w:r>
      <w:r>
        <w:rPr>
          <w:b/>
          <w:bCs/>
          <w:lang w:val="es-CR"/>
        </w:rPr>
        <w:t xml:space="preserve"> (Cascada): </w:t>
      </w:r>
      <w:r w:rsidRPr="00E364CE">
        <w:rPr>
          <w:rStyle w:val="APACar"/>
        </w:rPr>
        <w:t>Se aplica cuando los requisitos del proyecto están claros desde el inicio. Permite una planificación detallada y el control anticipado del alcance, tiempo y costos. Según Ameijide (2016), este tipo de enfoque se prefiere cuando el producto final debe ser entregado completo y hay poco margen para cambios durante el desarrollo.</w:t>
      </w:r>
    </w:p>
    <w:p w14:paraId="5C3D6BB4" w14:textId="35E5FF3E" w:rsidR="004B052F" w:rsidRPr="00E364CE" w:rsidRDefault="004B052F" w:rsidP="00D81025">
      <w:pPr>
        <w:pStyle w:val="Figura1"/>
        <w:rPr>
          <w:rStyle w:val="APACar"/>
        </w:rPr>
      </w:pPr>
      <w:r w:rsidRPr="004B052F">
        <w:rPr>
          <w:b/>
          <w:bCs/>
          <w:lang w:val="es-CR"/>
        </w:rPr>
        <w:t>Enfoque adaptativo</w:t>
      </w:r>
      <w:r>
        <w:rPr>
          <w:b/>
          <w:bCs/>
          <w:lang w:val="es-CR"/>
        </w:rPr>
        <w:t xml:space="preserve">: </w:t>
      </w:r>
      <w:r w:rsidRPr="00E364CE">
        <w:rPr>
          <w:rStyle w:val="APACar"/>
        </w:rPr>
        <w:t>Se utiliza en contextos de alta incertidumbre, donde los requisitos cambian con frecuencia. Lledó (2017) explica que en este enfoque se trabajan entregas más pequeñas llamadas iteraciones, que permiten al equipo adaptarse rápidamente a nuevas necesidades del cliente. Es común en proyectos ágiles o innovadores.</w:t>
      </w:r>
    </w:p>
    <w:p w14:paraId="09432C4E" w14:textId="77777777" w:rsidR="004B052F" w:rsidRDefault="004B052F" w:rsidP="00E364CE">
      <w:pPr>
        <w:pStyle w:val="APA"/>
        <w:rPr>
          <w:b/>
          <w:bCs/>
          <w:lang w:val="es-CR"/>
        </w:rPr>
      </w:pPr>
      <w:r w:rsidRPr="00E364CE">
        <w:rPr>
          <w:b/>
          <w:bCs/>
        </w:rPr>
        <w:t>Enfoque híbrido:</w:t>
      </w:r>
      <w:r>
        <w:rPr>
          <w:b/>
          <w:bCs/>
          <w:lang w:val="es-CR"/>
        </w:rPr>
        <w:t xml:space="preserve"> </w:t>
      </w:r>
      <w:r w:rsidRPr="004B052F">
        <w:rPr>
          <w:lang w:val="es-CR"/>
        </w:rPr>
        <w:t>Combina elementos de los enfoques predictivo y adaptativo. Martínez (2023) sostiene que este enfoque es ideal cuando parte del proyecto puede ser planificada con claridad, mientras que otras partes requieren más flexibilidad. El desarrollo puede ser incremental (se construye por partes) o iterativo (se mejora por ciclos).</w:t>
      </w:r>
    </w:p>
    <w:p w14:paraId="507F9246" w14:textId="13D5B9BC" w:rsidR="004B052F" w:rsidRPr="004B052F" w:rsidRDefault="004B052F" w:rsidP="00E364CE">
      <w:pPr>
        <w:pStyle w:val="APA"/>
        <w:rPr>
          <w:b/>
          <w:bCs/>
          <w:lang w:val="es-CR"/>
        </w:rPr>
      </w:pPr>
      <w:r>
        <w:t xml:space="preserve">En cuanto a la toma de decisiones sobre el enfoque y el ciclo de vida depende de varios factores como, por ejemplo: </w:t>
      </w:r>
    </w:p>
    <w:p w14:paraId="074C5AE3" w14:textId="60909929" w:rsidR="00DE00B4" w:rsidRPr="00DE00B4" w:rsidRDefault="00DE00B4" w:rsidP="00D81025">
      <w:pPr>
        <w:pStyle w:val="Figura1"/>
        <w:numPr>
          <w:ilvl w:val="0"/>
          <w:numId w:val="11"/>
        </w:numPr>
        <w:rPr>
          <w:lang w:val="es-CR"/>
        </w:rPr>
      </w:pPr>
      <w:r w:rsidRPr="00DE00B4">
        <w:rPr>
          <w:lang w:val="es-CR"/>
        </w:rPr>
        <w:t>El tipo de entregable (producto o servicio).</w:t>
      </w:r>
    </w:p>
    <w:p w14:paraId="17476692" w14:textId="455652CD" w:rsidR="00DE00B4" w:rsidRPr="00DE00B4" w:rsidRDefault="00DE00B4" w:rsidP="00D81025">
      <w:pPr>
        <w:pStyle w:val="Figura1"/>
        <w:numPr>
          <w:ilvl w:val="0"/>
          <w:numId w:val="11"/>
        </w:numPr>
        <w:rPr>
          <w:lang w:val="es-CR"/>
        </w:rPr>
      </w:pPr>
      <w:r w:rsidRPr="00DE00B4">
        <w:rPr>
          <w:lang w:val="es-CR"/>
        </w:rPr>
        <w:t>La claridad de los requisitos.</w:t>
      </w:r>
    </w:p>
    <w:p w14:paraId="2936BA0B" w14:textId="64D78516" w:rsidR="00DE00B4" w:rsidRPr="00DE00B4" w:rsidRDefault="00DE00B4" w:rsidP="00D81025">
      <w:pPr>
        <w:pStyle w:val="Figura1"/>
        <w:numPr>
          <w:ilvl w:val="0"/>
          <w:numId w:val="11"/>
        </w:numPr>
        <w:rPr>
          <w:lang w:val="es-CR"/>
        </w:rPr>
      </w:pPr>
      <w:r w:rsidRPr="00DE00B4">
        <w:rPr>
          <w:lang w:val="es-CR"/>
        </w:rPr>
        <w:t>El nivel de incertidumbre.</w:t>
      </w:r>
    </w:p>
    <w:p w14:paraId="338C0B05" w14:textId="7638B11C" w:rsidR="00DE00B4" w:rsidRPr="00DE00B4" w:rsidRDefault="00DE00B4" w:rsidP="00D81025">
      <w:pPr>
        <w:pStyle w:val="Figura1"/>
        <w:numPr>
          <w:ilvl w:val="0"/>
          <w:numId w:val="11"/>
        </w:numPr>
        <w:rPr>
          <w:lang w:val="es-CR"/>
        </w:rPr>
      </w:pPr>
      <w:r w:rsidRPr="00DE00B4">
        <w:rPr>
          <w:lang w:val="es-CR"/>
        </w:rPr>
        <w:t>Las necesidades del cliente.</w:t>
      </w:r>
    </w:p>
    <w:p w14:paraId="1E8F7C2F" w14:textId="48590012" w:rsidR="00DE00B4" w:rsidRPr="00DE00B4" w:rsidRDefault="00DE00B4" w:rsidP="00D81025">
      <w:pPr>
        <w:pStyle w:val="Figura1"/>
        <w:numPr>
          <w:ilvl w:val="0"/>
          <w:numId w:val="11"/>
        </w:numPr>
        <w:rPr>
          <w:lang w:val="es-CR"/>
        </w:rPr>
      </w:pPr>
      <w:r w:rsidRPr="00DE00B4">
        <w:rPr>
          <w:lang w:val="es-CR"/>
        </w:rPr>
        <w:t>El entorno del proyecto y la industria.</w:t>
      </w:r>
    </w:p>
    <w:p w14:paraId="019BE7DA" w14:textId="019A7134" w:rsidR="00DE00B4" w:rsidRDefault="00DE00B4" w:rsidP="00D81025">
      <w:pPr>
        <w:pStyle w:val="Figura1"/>
        <w:numPr>
          <w:ilvl w:val="0"/>
          <w:numId w:val="11"/>
        </w:numPr>
        <w:rPr>
          <w:lang w:val="es-CR"/>
        </w:rPr>
      </w:pPr>
      <w:r w:rsidRPr="00DE00B4">
        <w:rPr>
          <w:lang w:val="es-CR"/>
        </w:rPr>
        <w:lastRenderedPageBreak/>
        <w:t>La experiencia del equipo de trabajo.</w:t>
      </w:r>
    </w:p>
    <w:p w14:paraId="0783316F" w14:textId="231C9D13" w:rsidR="00DE00B4" w:rsidRDefault="00DE00B4" w:rsidP="00E364CE">
      <w:pPr>
        <w:pStyle w:val="APA"/>
      </w:pPr>
      <w:r w:rsidRPr="00DE00B4">
        <w:t>Un proyecto con requerimientos definidos y poco cambio esperado puede usar un enfoque predictivo. En cambio, si los requisitos están en evolución o si se busca una entrega rápida y flexible, un enfoque adaptativo o híbrido es más adecuado.</w:t>
      </w:r>
    </w:p>
    <w:p w14:paraId="5C261BDD" w14:textId="20480D96" w:rsidR="00DE00B4" w:rsidRPr="00DE00B4" w:rsidRDefault="00C87E97" w:rsidP="00E364CE">
      <w:pPr>
        <w:pStyle w:val="APA"/>
        <w:rPr>
          <w:lang w:val="es-CR"/>
        </w:rPr>
      </w:pPr>
      <w:r>
        <w:t xml:space="preserve">En este Proyecto Final de Graduación, </w:t>
      </w:r>
      <w:r w:rsidR="00F77FA3">
        <w:t xml:space="preserve">se </w:t>
      </w:r>
      <w:r>
        <w:t>busca mejorar los procesos de planificación y control en proyectos Design &amp; Build de Contract Workplaces, se concluye que el enfoque adecuado es el híbrido</w:t>
      </w:r>
      <w:r w:rsidR="00DE00B4" w:rsidRPr="00DE00B4">
        <w:rPr>
          <w:lang w:val="es-CR"/>
        </w:rPr>
        <w:t>. Esto se justifica porque:</w:t>
      </w:r>
    </w:p>
    <w:p w14:paraId="3D07C51A" w14:textId="7B458A40" w:rsidR="00DE00B4" w:rsidRPr="00DE00B4" w:rsidRDefault="00CE791C" w:rsidP="00CE791C">
      <w:pPr>
        <w:pStyle w:val="APA"/>
        <w:numPr>
          <w:ilvl w:val="0"/>
          <w:numId w:val="178"/>
        </w:numPr>
        <w:rPr>
          <w:lang w:val="es-CR"/>
        </w:rPr>
      </w:pPr>
      <w:r>
        <w:rPr>
          <w:lang w:val="es-CR"/>
        </w:rPr>
        <w:t xml:space="preserve">Durante la fase de </w:t>
      </w:r>
      <w:r w:rsidR="00DE00B4" w:rsidRPr="00DE00B4">
        <w:rPr>
          <w:lang w:val="es-CR"/>
        </w:rPr>
        <w:t xml:space="preserve">planificación, se requiere precisión y claridad en los cronogramas, presupuesto y alcance </w:t>
      </w:r>
      <w:r w:rsidR="00DE00B4">
        <w:rPr>
          <w:lang w:val="es-CR"/>
        </w:rPr>
        <w:t xml:space="preserve">que estas </w:t>
      </w:r>
      <w:r w:rsidR="00235054">
        <w:rPr>
          <w:lang w:val="es-CR"/>
        </w:rPr>
        <w:t>s</w:t>
      </w:r>
      <w:r w:rsidR="00DE00B4">
        <w:rPr>
          <w:lang w:val="es-CR"/>
        </w:rPr>
        <w:t xml:space="preserve">on </w:t>
      </w:r>
      <w:r w:rsidR="00DE00B4" w:rsidRPr="00DE00B4">
        <w:rPr>
          <w:lang w:val="es-CR"/>
        </w:rPr>
        <w:t>característica</w:t>
      </w:r>
      <w:r w:rsidR="00235054">
        <w:rPr>
          <w:lang w:val="es-CR"/>
        </w:rPr>
        <w:t>s</w:t>
      </w:r>
      <w:r w:rsidR="00DE00B4" w:rsidRPr="00DE00B4">
        <w:rPr>
          <w:lang w:val="es-CR"/>
        </w:rPr>
        <w:t xml:space="preserve"> del enfoque predictivo.</w:t>
      </w:r>
    </w:p>
    <w:p w14:paraId="6E214BC9" w14:textId="6D0D3C60" w:rsidR="00DE00B4" w:rsidRPr="00DE00B4" w:rsidRDefault="00DE00B4" w:rsidP="00CE791C">
      <w:pPr>
        <w:pStyle w:val="APA"/>
        <w:numPr>
          <w:ilvl w:val="0"/>
          <w:numId w:val="178"/>
        </w:numPr>
        <w:rPr>
          <w:lang w:val="es-CR"/>
        </w:rPr>
      </w:pPr>
      <w:r w:rsidRPr="00DE00B4">
        <w:rPr>
          <w:lang w:val="es-CR"/>
        </w:rPr>
        <w:t xml:space="preserve">Durante el diseño y construcción, suelen surgir cambios técnicos, solicitudes del cliente o ajustes normativos, que requieren adaptabilidad </w:t>
      </w:r>
      <w:r>
        <w:rPr>
          <w:lang w:val="es-CR"/>
        </w:rPr>
        <w:t xml:space="preserve">que esto son </w:t>
      </w:r>
      <w:r w:rsidRPr="00DE00B4">
        <w:rPr>
          <w:lang w:val="es-CR"/>
        </w:rPr>
        <w:t>característica del enfoque adaptativo.</w:t>
      </w:r>
    </w:p>
    <w:p w14:paraId="7C0C4129" w14:textId="77777777" w:rsidR="00CE791C" w:rsidRDefault="00CE791C" w:rsidP="00CE791C">
      <w:pPr>
        <w:pStyle w:val="APA"/>
        <w:numPr>
          <w:ilvl w:val="0"/>
          <w:numId w:val="178"/>
        </w:numPr>
        <w:rPr>
          <w:lang w:val="es-CR"/>
        </w:rPr>
      </w:pPr>
      <w:r>
        <w:rPr>
          <w:lang w:val="es-CR"/>
        </w:rPr>
        <w:t>En la gestión de</w:t>
      </w:r>
      <w:r w:rsidR="00DE00B4" w:rsidRPr="00DE00B4">
        <w:rPr>
          <w:lang w:val="es-CR"/>
        </w:rPr>
        <w:t xml:space="preserve"> entregables</w:t>
      </w:r>
      <w:r>
        <w:rPr>
          <w:lang w:val="es-CR"/>
        </w:rPr>
        <w:t>, el trabajo</w:t>
      </w:r>
      <w:r w:rsidR="00DE00B4" w:rsidRPr="00DE00B4">
        <w:rPr>
          <w:lang w:val="es-CR"/>
        </w:rPr>
        <w:t xml:space="preserve"> se </w:t>
      </w:r>
      <w:r>
        <w:rPr>
          <w:lang w:val="es-CR"/>
        </w:rPr>
        <w:t>contempla</w:t>
      </w:r>
      <w:r w:rsidR="00DE00B4" w:rsidRPr="00DE00B4">
        <w:rPr>
          <w:lang w:val="es-CR"/>
        </w:rPr>
        <w:t xml:space="preserve"> por etapas: </w:t>
      </w:r>
    </w:p>
    <w:p w14:paraId="0C192510" w14:textId="5B360993" w:rsidR="00CE791C" w:rsidRDefault="00CE791C" w:rsidP="00CE791C">
      <w:pPr>
        <w:pStyle w:val="APA"/>
        <w:numPr>
          <w:ilvl w:val="1"/>
          <w:numId w:val="178"/>
        </w:numPr>
        <w:rPr>
          <w:lang w:val="es-CR"/>
        </w:rPr>
      </w:pPr>
      <w:r>
        <w:rPr>
          <w:lang w:val="es-CR"/>
        </w:rPr>
        <w:t>D</w:t>
      </w:r>
      <w:r w:rsidR="00DE00B4" w:rsidRPr="00DE00B4">
        <w:rPr>
          <w:lang w:val="es-CR"/>
        </w:rPr>
        <w:t>iseño conceptual</w:t>
      </w:r>
    </w:p>
    <w:p w14:paraId="0A7110F0" w14:textId="77777777" w:rsidR="00CE791C" w:rsidRDefault="00CE791C" w:rsidP="00CE791C">
      <w:pPr>
        <w:pStyle w:val="APA"/>
        <w:numPr>
          <w:ilvl w:val="1"/>
          <w:numId w:val="178"/>
        </w:numPr>
        <w:rPr>
          <w:lang w:val="es-CR"/>
        </w:rPr>
      </w:pPr>
      <w:r>
        <w:rPr>
          <w:lang w:val="es-CR"/>
        </w:rPr>
        <w:t>D</w:t>
      </w:r>
      <w:r w:rsidR="00DE00B4">
        <w:rPr>
          <w:lang w:val="es-CR"/>
        </w:rPr>
        <w:t>iseño ejecutivo</w:t>
      </w:r>
    </w:p>
    <w:p w14:paraId="6B4BC2A2" w14:textId="77777777" w:rsidR="00CE791C" w:rsidRDefault="00CE791C" w:rsidP="00CE791C">
      <w:pPr>
        <w:pStyle w:val="APA"/>
        <w:numPr>
          <w:ilvl w:val="1"/>
          <w:numId w:val="178"/>
        </w:numPr>
        <w:rPr>
          <w:lang w:val="es-CR"/>
        </w:rPr>
      </w:pPr>
      <w:r>
        <w:rPr>
          <w:lang w:val="es-CR"/>
        </w:rPr>
        <w:t>A</w:t>
      </w:r>
      <w:r w:rsidR="00DE00B4" w:rsidRPr="00DE00B4">
        <w:rPr>
          <w:lang w:val="es-CR"/>
        </w:rPr>
        <w:t>probación</w:t>
      </w:r>
    </w:p>
    <w:p w14:paraId="39616667" w14:textId="77777777" w:rsidR="00CE791C" w:rsidRDefault="00CE791C" w:rsidP="00CE791C">
      <w:pPr>
        <w:pStyle w:val="APA"/>
        <w:numPr>
          <w:ilvl w:val="1"/>
          <w:numId w:val="178"/>
        </w:numPr>
        <w:rPr>
          <w:lang w:val="es-CR"/>
        </w:rPr>
      </w:pPr>
      <w:r>
        <w:rPr>
          <w:lang w:val="es-CR"/>
        </w:rPr>
        <w:t>T</w:t>
      </w:r>
      <w:r w:rsidR="00DE00B4">
        <w:rPr>
          <w:lang w:val="es-CR"/>
        </w:rPr>
        <w:t>ramitología de permisos</w:t>
      </w:r>
    </w:p>
    <w:p w14:paraId="10984237" w14:textId="77777777" w:rsidR="00CE791C" w:rsidRDefault="00CE791C" w:rsidP="00CE791C">
      <w:pPr>
        <w:pStyle w:val="APA"/>
        <w:numPr>
          <w:ilvl w:val="1"/>
          <w:numId w:val="178"/>
        </w:numPr>
        <w:rPr>
          <w:lang w:val="es-CR"/>
        </w:rPr>
      </w:pPr>
      <w:r>
        <w:rPr>
          <w:lang w:val="es-CR"/>
        </w:rPr>
        <w:t>E</w:t>
      </w:r>
      <w:r w:rsidR="00DE00B4" w:rsidRPr="00DE00B4">
        <w:rPr>
          <w:lang w:val="es-CR"/>
        </w:rPr>
        <w:t>jecución</w:t>
      </w:r>
    </w:p>
    <w:p w14:paraId="7D8D5839" w14:textId="77777777" w:rsidR="00CE791C" w:rsidRDefault="00CE791C" w:rsidP="00CE791C">
      <w:pPr>
        <w:pStyle w:val="APA"/>
        <w:numPr>
          <w:ilvl w:val="1"/>
          <w:numId w:val="178"/>
        </w:numPr>
        <w:rPr>
          <w:lang w:val="es-CR"/>
        </w:rPr>
      </w:pPr>
      <w:r>
        <w:rPr>
          <w:lang w:val="es-CR"/>
        </w:rPr>
        <w:t>I</w:t>
      </w:r>
      <w:r w:rsidR="00DE00B4" w:rsidRPr="00DE00B4">
        <w:rPr>
          <w:lang w:val="es-CR"/>
        </w:rPr>
        <w:t xml:space="preserve">nspecciones </w:t>
      </w:r>
    </w:p>
    <w:p w14:paraId="0E6559F4" w14:textId="327E6E61" w:rsidR="00DE00B4" w:rsidRPr="00DE00B4" w:rsidRDefault="00CE791C" w:rsidP="00CE791C">
      <w:pPr>
        <w:pStyle w:val="APA"/>
        <w:numPr>
          <w:ilvl w:val="1"/>
          <w:numId w:val="178"/>
        </w:numPr>
        <w:rPr>
          <w:lang w:val="es-CR"/>
        </w:rPr>
      </w:pPr>
      <w:r>
        <w:rPr>
          <w:lang w:val="es-CR"/>
        </w:rPr>
        <w:t>E</w:t>
      </w:r>
      <w:r w:rsidR="00DE00B4" w:rsidRPr="00DE00B4">
        <w:rPr>
          <w:lang w:val="es-CR"/>
        </w:rPr>
        <w:t>ntrega final.</w:t>
      </w:r>
    </w:p>
    <w:p w14:paraId="0000011E" w14:textId="2C1332A5" w:rsidR="00A2355F" w:rsidRPr="009E6D27" w:rsidRDefault="00DE00B4" w:rsidP="00E364CE">
      <w:pPr>
        <w:pStyle w:val="APA"/>
        <w:rPr>
          <w:lang w:val="es-CR"/>
        </w:rPr>
      </w:pPr>
      <w:r w:rsidRPr="00DE00B4">
        <w:rPr>
          <w:lang w:val="es-CR"/>
        </w:rPr>
        <w:t xml:space="preserve">Esta combinación de planificación anticipada y flexibilidad en la ejecución es clave para lograr </w:t>
      </w:r>
      <w:r w:rsidRPr="009E6D27">
        <w:rPr>
          <w:lang w:val="es-CR"/>
        </w:rPr>
        <w:t>mejores resultados en proyectos Design &amp; Build.</w:t>
      </w:r>
    </w:p>
    <w:p w14:paraId="41E4F52C" w14:textId="32FF561A" w:rsidR="009F64F0" w:rsidRDefault="00542A85" w:rsidP="00E364CE">
      <w:pPr>
        <w:pStyle w:val="APA"/>
        <w:rPr>
          <w:b/>
          <w:bCs/>
        </w:rPr>
      </w:pPr>
      <w:r w:rsidRPr="00990C1A">
        <w:lastRenderedPageBreak/>
        <w:t xml:space="preserve">A continuación, se presenta una figura que permite visualizar los tres principales enfoques de desarrollo: predictivo, híbrido y adaptativo. Esta ilustración es útil para comprender cómo varía el nivel de flexibilidad e iteración entre los enfoques, especialmente en el contexto de proyectos tipo </w:t>
      </w:r>
      <w:r w:rsidRPr="00AE4839">
        <w:t>Design &amp; Build</w:t>
      </w:r>
      <w:r w:rsidRPr="00990C1A">
        <w:t>, donde se combinan planificación anticipada con necesidad de adaptabilidad.</w:t>
      </w:r>
    </w:p>
    <w:p w14:paraId="1990152C" w14:textId="77777777" w:rsidR="00476C00" w:rsidRDefault="00476C00" w:rsidP="009F64F0">
      <w:pPr>
        <w:pStyle w:val="Figura1"/>
        <w:rPr>
          <w:b/>
          <w:bCs/>
        </w:rPr>
      </w:pPr>
    </w:p>
    <w:p w14:paraId="60331A8A" w14:textId="62341007" w:rsidR="00756640" w:rsidRDefault="00756640" w:rsidP="00D81025">
      <w:pPr>
        <w:spacing w:before="100" w:beforeAutospacing="1" w:after="100" w:afterAutospacing="1"/>
        <w:ind w:firstLine="0"/>
        <w:rPr>
          <w:b/>
          <w:color w:val="000000"/>
        </w:rPr>
      </w:pPr>
      <w:bookmarkStart w:id="37" w:name="_Toc210425673"/>
      <w:r w:rsidRPr="00756640">
        <w:rPr>
          <w:b/>
          <w:color w:val="000000"/>
        </w:rPr>
        <w:t xml:space="preserve">Figura </w:t>
      </w:r>
      <w:r w:rsidRPr="00756640">
        <w:rPr>
          <w:b/>
          <w:color w:val="000000"/>
        </w:rPr>
        <w:fldChar w:fldCharType="begin"/>
      </w:r>
      <w:r w:rsidRPr="00756640">
        <w:rPr>
          <w:b/>
          <w:color w:val="000000"/>
        </w:rPr>
        <w:instrText xml:space="preserve"> SEQ Figura \* ARABIC </w:instrText>
      </w:r>
      <w:r w:rsidRPr="00756640">
        <w:rPr>
          <w:b/>
          <w:color w:val="000000"/>
        </w:rPr>
        <w:fldChar w:fldCharType="separate"/>
      </w:r>
      <w:r w:rsidR="00476C00">
        <w:rPr>
          <w:b/>
          <w:noProof/>
          <w:color w:val="000000"/>
        </w:rPr>
        <w:t>2</w:t>
      </w:r>
      <w:bookmarkEnd w:id="37"/>
      <w:r w:rsidRPr="00756640">
        <w:rPr>
          <w:b/>
          <w:color w:val="000000"/>
        </w:rPr>
        <w:fldChar w:fldCharType="end"/>
      </w:r>
    </w:p>
    <w:p w14:paraId="78A8E151" w14:textId="6B5EB6BF" w:rsidR="00756640" w:rsidRDefault="00756640" w:rsidP="00D81025">
      <w:pPr>
        <w:pStyle w:val="Figura1"/>
        <w:ind w:firstLine="0"/>
        <w:rPr>
          <w:i/>
          <w:iCs/>
        </w:rPr>
      </w:pPr>
      <w:r w:rsidRPr="008464D9">
        <w:rPr>
          <w:i/>
          <w:iCs/>
        </w:rPr>
        <w:t>E</w:t>
      </w:r>
      <w:r>
        <w:rPr>
          <w:i/>
          <w:iCs/>
        </w:rPr>
        <w:t>nfoques de desarrollo</w:t>
      </w:r>
    </w:p>
    <w:p w14:paraId="2E7AC270" w14:textId="6D95938F" w:rsidR="00C87E97" w:rsidRPr="002E7605" w:rsidRDefault="00275713" w:rsidP="00D81025">
      <w:pPr>
        <w:pStyle w:val="Figura1"/>
        <w:ind w:firstLine="0"/>
      </w:pPr>
      <w:r w:rsidRPr="00275713">
        <w:rPr>
          <w:noProof/>
        </w:rPr>
        <w:drawing>
          <wp:inline distT="0" distB="0" distL="0" distR="0" wp14:anchorId="77F8FAEA" wp14:editId="39988D1E">
            <wp:extent cx="5944870" cy="2793365"/>
            <wp:effectExtent l="0" t="0" r="0" b="6985"/>
            <wp:docPr id="1809670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7044" name=""/>
                    <pic:cNvPicPr/>
                  </pic:nvPicPr>
                  <pic:blipFill>
                    <a:blip r:embed="rId14"/>
                    <a:stretch>
                      <a:fillRect/>
                    </a:stretch>
                  </pic:blipFill>
                  <pic:spPr>
                    <a:xfrm>
                      <a:off x="0" y="0"/>
                      <a:ext cx="5944870" cy="2793365"/>
                    </a:xfrm>
                    <a:prstGeom prst="rect">
                      <a:avLst/>
                    </a:prstGeom>
                  </pic:spPr>
                </pic:pic>
              </a:graphicData>
            </a:graphic>
          </wp:inline>
        </w:drawing>
      </w:r>
    </w:p>
    <w:p w14:paraId="75A177B3" w14:textId="242F034E" w:rsidR="00542A85" w:rsidRDefault="00C87E97" w:rsidP="00D81025">
      <w:pPr>
        <w:ind w:firstLine="0"/>
      </w:pPr>
      <w:r w:rsidRPr="00D23DCD">
        <w:rPr>
          <w:i/>
          <w:iCs/>
        </w:rPr>
        <w:t>Nota</w:t>
      </w:r>
      <w:r w:rsidR="00770907" w:rsidRPr="00D23DCD">
        <w:t>.</w:t>
      </w:r>
      <w:r w:rsidR="00DD7DC3" w:rsidRPr="00D23DCD">
        <w:t xml:space="preserve"> Reproducido de </w:t>
      </w:r>
      <w:r w:rsidR="00DD7DC3" w:rsidRPr="00D23DCD">
        <w:rPr>
          <w:i/>
          <w:iCs/>
        </w:rPr>
        <w:t>Guía del PMBOK- Séptima edición: Guía de los fundamentos para la</w:t>
      </w:r>
      <w:r w:rsidR="009F64F0">
        <w:rPr>
          <w:i/>
          <w:iCs/>
        </w:rPr>
        <w:t xml:space="preserve"> </w:t>
      </w:r>
      <w:r w:rsidR="00DD7DC3" w:rsidRPr="00D23DCD">
        <w:rPr>
          <w:i/>
          <w:iCs/>
        </w:rPr>
        <w:t>dirección de proyectos</w:t>
      </w:r>
      <w:r w:rsidR="00DD7DC3" w:rsidRPr="00D23DCD">
        <w:t>, por Project Management Institute, 2021, Project Management Institute</w:t>
      </w:r>
      <w:r w:rsidR="009F64F0">
        <w:t xml:space="preserve"> </w:t>
      </w:r>
      <w:r w:rsidR="00DD7DC3" w:rsidRPr="00D23DCD">
        <w:t>Copyright 2021.</w:t>
      </w:r>
    </w:p>
    <w:p w14:paraId="28891332" w14:textId="77777777" w:rsidR="00756640" w:rsidRDefault="00756640" w:rsidP="00D81025">
      <w:pPr>
        <w:ind w:firstLine="0"/>
      </w:pPr>
    </w:p>
    <w:p w14:paraId="52483D5D" w14:textId="77777777" w:rsidR="00756640" w:rsidRDefault="00756640" w:rsidP="00D81025">
      <w:pPr>
        <w:ind w:firstLine="0"/>
      </w:pPr>
    </w:p>
    <w:p w14:paraId="272C3CD2" w14:textId="77777777" w:rsidR="007C210E" w:rsidRDefault="007C210E" w:rsidP="00D81025">
      <w:pPr>
        <w:ind w:firstLine="0"/>
        <w:rPr>
          <w:b/>
          <w:bCs/>
        </w:rPr>
      </w:pPr>
    </w:p>
    <w:p w14:paraId="0F7F6DE1" w14:textId="23556FC8" w:rsidR="00756640" w:rsidRDefault="00756640" w:rsidP="00D81025">
      <w:pPr>
        <w:ind w:firstLine="0"/>
        <w:rPr>
          <w:b/>
          <w:bCs/>
        </w:rPr>
      </w:pPr>
      <w:bookmarkStart w:id="38" w:name="_Toc210425674"/>
      <w:r w:rsidRPr="00756640">
        <w:rPr>
          <w:b/>
          <w:bCs/>
        </w:rPr>
        <w:lastRenderedPageBreak/>
        <w:t xml:space="preserve">Figura </w:t>
      </w:r>
      <w:r w:rsidRPr="00756640">
        <w:rPr>
          <w:b/>
          <w:bCs/>
        </w:rPr>
        <w:fldChar w:fldCharType="begin"/>
      </w:r>
      <w:r w:rsidRPr="00756640">
        <w:rPr>
          <w:b/>
          <w:bCs/>
        </w:rPr>
        <w:instrText xml:space="preserve"> SEQ Figura \* ARABIC </w:instrText>
      </w:r>
      <w:r w:rsidRPr="00756640">
        <w:rPr>
          <w:b/>
          <w:bCs/>
        </w:rPr>
        <w:fldChar w:fldCharType="separate"/>
      </w:r>
      <w:r w:rsidR="00476C00">
        <w:rPr>
          <w:b/>
          <w:bCs/>
          <w:noProof/>
        </w:rPr>
        <w:t>3</w:t>
      </w:r>
      <w:bookmarkEnd w:id="38"/>
      <w:r w:rsidRPr="00756640">
        <w:rPr>
          <w:b/>
          <w:bCs/>
        </w:rPr>
        <w:fldChar w:fldCharType="end"/>
      </w:r>
    </w:p>
    <w:p w14:paraId="40CD5E37" w14:textId="21A42911" w:rsidR="00756640" w:rsidRPr="00756640" w:rsidRDefault="00756640" w:rsidP="00D81025">
      <w:pPr>
        <w:ind w:firstLine="0"/>
        <w:rPr>
          <w:b/>
          <w:bCs/>
        </w:rPr>
      </w:pPr>
      <w:r w:rsidRPr="00990C1A">
        <w:rPr>
          <w:i/>
          <w:iCs/>
        </w:rPr>
        <w:t>Desarrollo Iterativo e Incremental</w:t>
      </w:r>
    </w:p>
    <w:p w14:paraId="313FE3CB" w14:textId="2889A0DB" w:rsidR="00C87E97" w:rsidRDefault="00014D7D" w:rsidP="00D81025">
      <w:r w:rsidRPr="00014D7D">
        <w:rPr>
          <w:noProof/>
        </w:rPr>
        <w:drawing>
          <wp:inline distT="0" distB="0" distL="0" distR="0" wp14:anchorId="7559152E" wp14:editId="1896A13D">
            <wp:extent cx="4698470" cy="3200400"/>
            <wp:effectExtent l="0" t="0" r="6985" b="0"/>
            <wp:docPr id="1518003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00324" name=""/>
                    <pic:cNvPicPr/>
                  </pic:nvPicPr>
                  <pic:blipFill>
                    <a:blip r:embed="rId15"/>
                    <a:stretch>
                      <a:fillRect/>
                    </a:stretch>
                  </pic:blipFill>
                  <pic:spPr>
                    <a:xfrm>
                      <a:off x="0" y="0"/>
                      <a:ext cx="4705306" cy="3205056"/>
                    </a:xfrm>
                    <a:prstGeom prst="rect">
                      <a:avLst/>
                    </a:prstGeom>
                  </pic:spPr>
                </pic:pic>
              </a:graphicData>
            </a:graphic>
          </wp:inline>
        </w:drawing>
      </w:r>
    </w:p>
    <w:p w14:paraId="249992C9" w14:textId="6F5B5264" w:rsidR="0062198B" w:rsidRDefault="00770907" w:rsidP="00D81025">
      <w:pPr>
        <w:ind w:firstLine="0"/>
      </w:pPr>
      <w:r w:rsidRPr="00D23DCD">
        <w:rPr>
          <w:i/>
          <w:iCs/>
        </w:rPr>
        <w:t>Nota</w:t>
      </w:r>
      <w:r w:rsidRPr="00D23DCD">
        <w:rPr>
          <w:b/>
          <w:bCs/>
          <w:i/>
          <w:iCs/>
        </w:rPr>
        <w:t>.</w:t>
      </w:r>
      <w:r w:rsidRPr="00D23DCD">
        <w:t xml:space="preserve"> </w:t>
      </w:r>
      <w:r w:rsidR="00DD7DC3" w:rsidRPr="00D23DCD">
        <w:t xml:space="preserve">Reproducido de </w:t>
      </w:r>
      <w:r w:rsidR="00DD7DC3" w:rsidRPr="00D23DCD">
        <w:rPr>
          <w:i/>
          <w:iCs/>
        </w:rPr>
        <w:t>Guía del PMBOK®- Séptima edición: Guía de los fundamentos para la</w:t>
      </w:r>
      <w:r w:rsidR="009F64F0">
        <w:rPr>
          <w:i/>
          <w:iCs/>
        </w:rPr>
        <w:t xml:space="preserve"> </w:t>
      </w:r>
      <w:r w:rsidR="00DD7DC3" w:rsidRPr="00D23DCD">
        <w:rPr>
          <w:i/>
          <w:iCs/>
        </w:rPr>
        <w:t>dirección de proyectos</w:t>
      </w:r>
      <w:r w:rsidR="00DD7DC3" w:rsidRPr="00D23DCD">
        <w:t>, por Project Management Institute, 2021, Project Management Institute</w:t>
      </w:r>
      <w:r w:rsidR="009F64F0">
        <w:t xml:space="preserve"> </w:t>
      </w:r>
      <w:r w:rsidR="00DD7DC3" w:rsidRPr="00D23DCD">
        <w:t>Copyright 2021.</w:t>
      </w:r>
    </w:p>
    <w:p w14:paraId="3ABE66CA" w14:textId="77777777" w:rsidR="00AA5FDA" w:rsidRPr="005015A5" w:rsidRDefault="00AA5FDA" w:rsidP="00D81025">
      <w:pPr>
        <w:ind w:firstLine="0"/>
        <w:rPr>
          <w:lang w:val="es-CR"/>
        </w:rPr>
      </w:pPr>
    </w:p>
    <w:p w14:paraId="0000011F" w14:textId="729981CE" w:rsidR="00A2355F" w:rsidRPr="009F64F0" w:rsidRDefault="009F64F0" w:rsidP="00237B6D">
      <w:pPr>
        <w:pStyle w:val="Ttulo3"/>
      </w:pPr>
      <w:bookmarkStart w:id="39" w:name="_Toc212406350"/>
      <w:r w:rsidRPr="009F64F0">
        <w:t xml:space="preserve">2.2.4 </w:t>
      </w:r>
      <w:r w:rsidR="00990D5A" w:rsidRPr="009F64F0">
        <w:t>Administración, dirección o gerencia de proyectos</w:t>
      </w:r>
      <w:bookmarkEnd w:id="39"/>
    </w:p>
    <w:p w14:paraId="6323B5F6" w14:textId="77777777" w:rsidR="001E3CA0" w:rsidRPr="001E3CA0" w:rsidRDefault="001E3CA0" w:rsidP="00E364CE">
      <w:pPr>
        <w:pStyle w:val="APA"/>
        <w:rPr>
          <w:lang w:val="es-CR" w:eastAsia="es-CR"/>
        </w:rPr>
      </w:pPr>
      <w:r w:rsidRPr="001E3CA0">
        <w:rPr>
          <w:lang w:val="es-CR" w:eastAsia="es-CR"/>
        </w:rPr>
        <w:t>Administrar o dirigir un proyecto significa organizarlo de forma ordenada para que se logren sus objetivos dentro del tiempo, el presupuesto y con los recursos disponibles. No se trata solo de seguir un plan, sino de coordinar personas, tareas, herramientas y decisiones para que todo funcione y se entreguen buenos resultados.</w:t>
      </w:r>
    </w:p>
    <w:p w14:paraId="6F4874A9" w14:textId="6BF79983" w:rsidR="001E3CA0" w:rsidRDefault="00504191" w:rsidP="00D81025">
      <w:pPr>
        <w:pStyle w:val="Figura1"/>
        <w:rPr>
          <w:lang w:val="es-CR" w:eastAsia="es-CR"/>
        </w:rPr>
      </w:pPr>
      <w:r>
        <w:t xml:space="preserve">Según la Guía de los Fundamentos para la Dirección de Proyectos (Guía del PMBOK) del Project Management Institute (PMI, 2021), </w:t>
      </w:r>
      <w:r w:rsidR="001E3CA0" w:rsidRPr="001E3CA0">
        <w:rPr>
          <w:lang w:val="es-CR" w:eastAsia="es-CR"/>
        </w:rPr>
        <w:t xml:space="preserve">la dirección de proyectos consiste </w:t>
      </w:r>
      <w:r w:rsidR="001E3CA0" w:rsidRPr="001E3CA0">
        <w:rPr>
          <w:lang w:val="es-CR" w:eastAsia="es-CR"/>
        </w:rPr>
        <w:lastRenderedPageBreak/>
        <w:t xml:space="preserve">en aplicar conocimientos, habilidades y técnicas a las actividades del proyecto para cumplir con lo que se espera. Además, el PMI establece cinco grupos de procesos que ayudan a dar estructura al proyecto: </w:t>
      </w:r>
    </w:p>
    <w:p w14:paraId="3B29E85A" w14:textId="77777777" w:rsidR="001E3CA0" w:rsidRDefault="001E3CA0" w:rsidP="00D81025">
      <w:pPr>
        <w:pStyle w:val="Figura1"/>
        <w:numPr>
          <w:ilvl w:val="0"/>
          <w:numId w:val="12"/>
        </w:numPr>
        <w:rPr>
          <w:lang w:val="es-CR" w:eastAsia="es-CR"/>
        </w:rPr>
      </w:pPr>
      <w:r>
        <w:rPr>
          <w:lang w:val="es-CR" w:eastAsia="es-CR"/>
        </w:rPr>
        <w:t>I</w:t>
      </w:r>
      <w:r w:rsidRPr="001E3CA0">
        <w:rPr>
          <w:lang w:val="es-CR" w:eastAsia="es-CR"/>
        </w:rPr>
        <w:t>nicio</w:t>
      </w:r>
    </w:p>
    <w:p w14:paraId="1E074484" w14:textId="77777777" w:rsidR="001E3CA0" w:rsidRDefault="001E3CA0" w:rsidP="00D81025">
      <w:pPr>
        <w:pStyle w:val="Figura1"/>
        <w:numPr>
          <w:ilvl w:val="0"/>
          <w:numId w:val="12"/>
        </w:numPr>
        <w:rPr>
          <w:lang w:val="es-CR" w:eastAsia="es-CR"/>
        </w:rPr>
      </w:pPr>
      <w:r>
        <w:rPr>
          <w:lang w:val="es-CR" w:eastAsia="es-CR"/>
        </w:rPr>
        <w:t>P</w:t>
      </w:r>
      <w:r w:rsidRPr="001E3CA0">
        <w:rPr>
          <w:lang w:val="es-CR" w:eastAsia="es-CR"/>
        </w:rPr>
        <w:t>lanificación</w:t>
      </w:r>
    </w:p>
    <w:p w14:paraId="37DE602E" w14:textId="77777777" w:rsidR="001E3CA0" w:rsidRDefault="001E3CA0" w:rsidP="00D81025">
      <w:pPr>
        <w:pStyle w:val="Figura1"/>
        <w:numPr>
          <w:ilvl w:val="0"/>
          <w:numId w:val="12"/>
        </w:numPr>
        <w:rPr>
          <w:lang w:val="es-CR" w:eastAsia="es-CR"/>
        </w:rPr>
      </w:pPr>
      <w:r>
        <w:rPr>
          <w:lang w:val="es-CR" w:eastAsia="es-CR"/>
        </w:rPr>
        <w:t>E</w:t>
      </w:r>
      <w:r w:rsidRPr="001E3CA0">
        <w:rPr>
          <w:lang w:val="es-CR" w:eastAsia="es-CR"/>
        </w:rPr>
        <w:t>jecución</w:t>
      </w:r>
    </w:p>
    <w:p w14:paraId="36BCDB14" w14:textId="77777777" w:rsidR="001E3CA0" w:rsidRDefault="001E3CA0" w:rsidP="00D81025">
      <w:pPr>
        <w:pStyle w:val="Figura1"/>
        <w:numPr>
          <w:ilvl w:val="0"/>
          <w:numId w:val="12"/>
        </w:numPr>
        <w:rPr>
          <w:lang w:val="es-CR" w:eastAsia="es-CR"/>
        </w:rPr>
      </w:pPr>
      <w:r>
        <w:rPr>
          <w:lang w:val="es-CR" w:eastAsia="es-CR"/>
        </w:rPr>
        <w:t>M</w:t>
      </w:r>
      <w:r w:rsidRPr="001E3CA0">
        <w:rPr>
          <w:lang w:val="es-CR" w:eastAsia="es-CR"/>
        </w:rPr>
        <w:t>onitoreo y control</w:t>
      </w:r>
    </w:p>
    <w:p w14:paraId="5351AA95" w14:textId="021AA24E" w:rsidR="001E3CA0" w:rsidRDefault="001E3CA0" w:rsidP="00D81025">
      <w:pPr>
        <w:pStyle w:val="Figura1"/>
        <w:numPr>
          <w:ilvl w:val="0"/>
          <w:numId w:val="12"/>
        </w:numPr>
        <w:rPr>
          <w:lang w:val="es-CR" w:eastAsia="es-CR"/>
        </w:rPr>
      </w:pPr>
      <w:r>
        <w:rPr>
          <w:lang w:val="es-CR" w:eastAsia="es-CR"/>
        </w:rPr>
        <w:t>C</w:t>
      </w:r>
      <w:r w:rsidRPr="001E3CA0">
        <w:rPr>
          <w:lang w:val="es-CR" w:eastAsia="es-CR"/>
        </w:rPr>
        <w:t>ierre</w:t>
      </w:r>
    </w:p>
    <w:p w14:paraId="6C089B1F" w14:textId="7F0A00E6" w:rsidR="001E3CA0" w:rsidRPr="001E3CA0" w:rsidRDefault="001E3CA0" w:rsidP="00D81025">
      <w:pPr>
        <w:pStyle w:val="Figura1"/>
        <w:rPr>
          <w:lang w:val="es-CR" w:eastAsia="es-CR"/>
        </w:rPr>
      </w:pPr>
      <w:r w:rsidRPr="001E3CA0">
        <w:rPr>
          <w:lang w:val="es-CR" w:eastAsia="es-CR"/>
        </w:rPr>
        <w:t>Estos pasos permiten llevar un orden claro desde que empieza hasta que se entrega.</w:t>
      </w:r>
    </w:p>
    <w:p w14:paraId="042F2DB4" w14:textId="22699D0B" w:rsidR="00A0268C" w:rsidRPr="00A0268C" w:rsidRDefault="00A0268C" w:rsidP="00E364CE">
      <w:pPr>
        <w:pStyle w:val="APA"/>
        <w:rPr>
          <w:lang w:val="es-CR" w:eastAsia="es-CR"/>
        </w:rPr>
      </w:pPr>
      <w:r w:rsidRPr="00A0268C">
        <w:rPr>
          <w:lang w:val="es-CR" w:eastAsia="es-CR"/>
        </w:rPr>
        <w:t>Según Lledó (2017)</w:t>
      </w:r>
      <w:r>
        <w:rPr>
          <w:lang w:val="es-CR" w:eastAsia="es-CR"/>
        </w:rPr>
        <w:t xml:space="preserve"> </w:t>
      </w:r>
      <w:r w:rsidRPr="00A0268C">
        <w:rPr>
          <w:lang w:val="es-CR" w:eastAsia="es-CR"/>
        </w:rPr>
        <w:t>“El término “administración de proyectos” también suele denominarse “gestión de proyectos</w:t>
      </w:r>
      <w:r w:rsidRPr="00A0268C">
        <w:t>”</w:t>
      </w:r>
      <w:r w:rsidRPr="00A0268C">
        <w:rPr>
          <w:lang w:val="es-CR" w:eastAsia="es-CR"/>
        </w:rPr>
        <w:t>, “gerencia de proyectos</w:t>
      </w:r>
      <w:r w:rsidRPr="00A0268C">
        <w:t>”</w:t>
      </w:r>
      <w:r w:rsidRPr="00A0268C">
        <w:rPr>
          <w:lang w:val="es-CR" w:eastAsia="es-CR"/>
        </w:rPr>
        <w:t xml:space="preserve"> y “dirección de proyectos</w:t>
      </w:r>
      <w:r w:rsidRPr="00A0268C">
        <w:t>”</w:t>
      </w:r>
      <w:r w:rsidRPr="00A0268C">
        <w:rPr>
          <w:lang w:val="es-CR" w:eastAsia="es-CR"/>
        </w:rPr>
        <w:t>.</w:t>
      </w:r>
      <w:r w:rsidR="00A6303F">
        <w:rPr>
          <w:lang w:val="es-CR" w:eastAsia="es-CR"/>
        </w:rPr>
        <w:t xml:space="preserve"> </w:t>
      </w:r>
      <w:r w:rsidRPr="00A0268C">
        <w:rPr>
          <w:lang w:val="es-CR" w:eastAsia="es-CR"/>
        </w:rPr>
        <w:t>Mientras que el proceso de administración de empresas está pensado como un sistema de gestión de una organización cuya duración es extensa y desconocida, la administración de proyectos se orienta fundamentalmente a gestionar emprendimientos de carácter finito y con objetivos específicos, los que una vez cumplidos determinan la finalización del mismo” (p.</w:t>
      </w:r>
      <w:r>
        <w:rPr>
          <w:lang w:val="es-CR" w:eastAsia="es-CR"/>
        </w:rPr>
        <w:t>13</w:t>
      </w:r>
      <w:r w:rsidRPr="00A0268C">
        <w:rPr>
          <w:lang w:val="es-CR" w:eastAsia="es-CR"/>
        </w:rPr>
        <w:t>).</w:t>
      </w:r>
    </w:p>
    <w:p w14:paraId="5DF1D089" w14:textId="77777777" w:rsidR="001E3CA0" w:rsidRPr="001E3CA0" w:rsidRDefault="001E3CA0" w:rsidP="00E364CE">
      <w:pPr>
        <w:pStyle w:val="APA"/>
        <w:rPr>
          <w:lang w:val="es-CR" w:eastAsia="es-CR"/>
        </w:rPr>
      </w:pPr>
      <w:r w:rsidRPr="001E3CA0">
        <w:rPr>
          <w:lang w:val="es-CR" w:eastAsia="es-CR"/>
        </w:rPr>
        <w:t>Por otro lado, Rodríguez (2018) menciona que la gerencia de proyectos también implica liderar equipos de trabajo, tomar decisiones rápidas y saber adaptarse a los cambios. Esto es especialmente importante cuando el proyecto es complejo y hay muchas personas involucradas, como clientes, proveedores y técnicos.</w:t>
      </w:r>
    </w:p>
    <w:p w14:paraId="20D9FB20" w14:textId="77777777" w:rsidR="001E3CA0" w:rsidRPr="001E3CA0" w:rsidRDefault="001E3CA0" w:rsidP="00E364CE">
      <w:pPr>
        <w:pStyle w:val="APA"/>
        <w:rPr>
          <w:lang w:val="es-CR" w:eastAsia="es-CR"/>
        </w:rPr>
      </w:pPr>
      <w:r w:rsidRPr="001E3CA0">
        <w:rPr>
          <w:lang w:val="es-CR" w:eastAsia="es-CR"/>
        </w:rPr>
        <w:t xml:space="preserve">A partir de estas definiciones, se entiende que administrar un proyecto no es solo una tarea técnica, sino que también tiene mucho de liderazgo. El gerente de proyecto </w:t>
      </w:r>
      <w:r w:rsidRPr="001E3CA0">
        <w:rPr>
          <w:lang w:val="es-CR" w:eastAsia="es-CR"/>
        </w:rPr>
        <w:lastRenderedPageBreak/>
        <w:t>debe saber comunicar bien, negociar, adaptarse a lo que pasa en el entorno y guiar al equipo para cumplir los objetivos.</w:t>
      </w:r>
    </w:p>
    <w:p w14:paraId="6583CEEB" w14:textId="77777777" w:rsidR="001E3CA0" w:rsidRPr="001E3CA0" w:rsidRDefault="001E3CA0" w:rsidP="00E364CE">
      <w:pPr>
        <w:pStyle w:val="APA"/>
        <w:rPr>
          <w:lang w:val="es-CR" w:eastAsia="es-CR"/>
        </w:rPr>
      </w:pPr>
      <w:r w:rsidRPr="001E3CA0">
        <w:rPr>
          <w:lang w:val="es-CR" w:eastAsia="es-CR"/>
        </w:rPr>
        <w:t xml:space="preserve">En el caso de este PFG, que propone mejoras para los procesos de planificación y control en proyectos tipo </w:t>
      </w:r>
      <w:r w:rsidRPr="00504191">
        <w:rPr>
          <w:lang w:val="es-CR" w:eastAsia="es-CR"/>
        </w:rPr>
        <w:t>Design &amp; Build</w:t>
      </w:r>
      <w:r w:rsidRPr="001E3CA0">
        <w:rPr>
          <w:lang w:val="es-CR" w:eastAsia="es-CR"/>
        </w:rPr>
        <w:t xml:space="preserve"> en Contract Workplaces, la administración del proyecto es un aspecto clave. Este tipo de proyectos requieren que las áreas de diseño y construcción trabajen muy de la mano. Si no hay buena planificación y control, pueden surgir reprocesos, atrasos o entregas con problemas. Por eso, el Project Manager tiene un papel central: es quien conecta a todas las partes y se asegura de que el trabajo fluya según lo acordado.</w:t>
      </w:r>
    </w:p>
    <w:p w14:paraId="00000120" w14:textId="14C92DF4" w:rsidR="00A2355F" w:rsidRPr="00504191" w:rsidRDefault="001E3CA0" w:rsidP="00E364CE">
      <w:pPr>
        <w:pStyle w:val="APA"/>
        <w:rPr>
          <w:lang w:val="es-CR" w:eastAsia="es-CR"/>
        </w:rPr>
      </w:pPr>
      <w:r w:rsidRPr="001E3CA0">
        <w:rPr>
          <w:lang w:val="es-CR" w:eastAsia="es-CR"/>
        </w:rPr>
        <w:t>Además, como Contract Workplaces usa un enfoque híbrido (mezcla de planificación estructurada con adaptabilidad), el gerente del proyecto tiene que estar preparado para cambios, ajustes de diseño, decisiones del cliente o situaciones imprevistas. Las mejoras que se proponen en este trabajo buscan precisamente apoyar ese rol, brindando herramientas que hagan más fácil planificar, controlar y coordinar todo desde el inicio hasta la entrega final.</w:t>
      </w:r>
    </w:p>
    <w:p w14:paraId="00000121" w14:textId="5E74322F" w:rsidR="00A2355F" w:rsidRDefault="009F64F0" w:rsidP="00237B6D">
      <w:pPr>
        <w:pStyle w:val="Ttulo3"/>
      </w:pPr>
      <w:bookmarkStart w:id="40" w:name="_Toc212406351"/>
      <w:r>
        <w:t xml:space="preserve">2.2.5 </w:t>
      </w:r>
      <w:r w:rsidR="00990D5A">
        <w:t>Grupos de procesos de la dirección de proyectos</w:t>
      </w:r>
      <w:bookmarkEnd w:id="40"/>
    </w:p>
    <w:p w14:paraId="7814D42C" w14:textId="77777777" w:rsidR="000D20D3" w:rsidRDefault="000D20D3" w:rsidP="00E364CE">
      <w:pPr>
        <w:pStyle w:val="APA"/>
      </w:pPr>
      <w:r>
        <w:t xml:space="preserve">De acuerdo con la Guía del PMBOK del Project Management Institute (PMI, 2021) los procesos de dirección de proyectos se agrupan en cinco grupos de procesos principales: </w:t>
      </w:r>
    </w:p>
    <w:p w14:paraId="3AB7BFF8" w14:textId="2AB9E025" w:rsidR="000D20D3" w:rsidRDefault="000D20D3" w:rsidP="00D81025">
      <w:pPr>
        <w:pStyle w:val="Figura1"/>
        <w:numPr>
          <w:ilvl w:val="0"/>
          <w:numId w:val="13"/>
        </w:numPr>
      </w:pPr>
      <w:r>
        <w:t>Inicio</w:t>
      </w:r>
    </w:p>
    <w:p w14:paraId="411F8B32" w14:textId="54A8A4AD" w:rsidR="000D20D3" w:rsidRDefault="000D20D3" w:rsidP="00D81025">
      <w:pPr>
        <w:pStyle w:val="Figura1"/>
        <w:numPr>
          <w:ilvl w:val="0"/>
          <w:numId w:val="13"/>
        </w:numPr>
      </w:pPr>
      <w:r>
        <w:t>Planificación</w:t>
      </w:r>
    </w:p>
    <w:p w14:paraId="0CB5CA92" w14:textId="77777777" w:rsidR="000D20D3" w:rsidRDefault="000D20D3" w:rsidP="00D81025">
      <w:pPr>
        <w:pStyle w:val="Figura1"/>
        <w:numPr>
          <w:ilvl w:val="0"/>
          <w:numId w:val="13"/>
        </w:numPr>
      </w:pPr>
      <w:r>
        <w:t>Ejecución</w:t>
      </w:r>
    </w:p>
    <w:p w14:paraId="7890F8A3" w14:textId="2E8F0F6F" w:rsidR="000D20D3" w:rsidRDefault="000D20D3" w:rsidP="00D81025">
      <w:pPr>
        <w:pStyle w:val="Figura1"/>
        <w:numPr>
          <w:ilvl w:val="0"/>
          <w:numId w:val="13"/>
        </w:numPr>
      </w:pPr>
      <w:r>
        <w:t>Monitoreo</w:t>
      </w:r>
      <w:r w:rsidR="00F72B5F">
        <w:t xml:space="preserve"> y control</w:t>
      </w:r>
    </w:p>
    <w:p w14:paraId="270AEA12" w14:textId="77777777" w:rsidR="000D20D3" w:rsidRDefault="000D20D3" w:rsidP="00D81025">
      <w:pPr>
        <w:pStyle w:val="Figura1"/>
        <w:numPr>
          <w:ilvl w:val="0"/>
          <w:numId w:val="13"/>
        </w:numPr>
      </w:pPr>
      <w:r>
        <w:t xml:space="preserve">Cierre. </w:t>
      </w:r>
    </w:p>
    <w:p w14:paraId="104AE192" w14:textId="362E3DF0" w:rsidR="000D20D3" w:rsidRDefault="000D20D3" w:rsidP="00E364CE">
      <w:pPr>
        <w:pStyle w:val="APA"/>
      </w:pPr>
      <w:r>
        <w:lastRenderedPageBreak/>
        <w:t>Estos grupos no son fases, sino categorías que agrupan procesos relacionados que se aplican a lo largo de todo el proyecto o dentro de sus fases, según se requiera.</w:t>
      </w:r>
    </w:p>
    <w:p w14:paraId="33FB07E1" w14:textId="77777777" w:rsidR="000D20D3" w:rsidRDefault="000D20D3" w:rsidP="00E364CE">
      <w:pPr>
        <w:pStyle w:val="APA"/>
      </w:pPr>
      <w:r>
        <w:t>A continuación, se describe cada uno de estos grupos:</w:t>
      </w:r>
    </w:p>
    <w:p w14:paraId="406A14C9" w14:textId="77777777" w:rsidR="000D20D3" w:rsidRDefault="000D20D3" w:rsidP="00D81025">
      <w:pPr>
        <w:pStyle w:val="Figura1"/>
      </w:pPr>
      <w:r w:rsidRPr="000D20D3">
        <w:rPr>
          <w:b/>
          <w:bCs/>
        </w:rPr>
        <w:t>1. Grupo de Procesos de Inicio:</w:t>
      </w:r>
      <w:r>
        <w:t xml:space="preserve"> Se refiere a los procesos utilizados para definir un nuevo proyecto o una fase del mismo. Aquí se obtienen autorizaciones y se establecen los objetivos principales.</w:t>
      </w:r>
    </w:p>
    <w:p w14:paraId="40AC38E3" w14:textId="77777777" w:rsidR="000D20D3" w:rsidRDefault="000D20D3" w:rsidP="00D81025">
      <w:pPr>
        <w:pStyle w:val="Figura1"/>
      </w:pPr>
      <w:r w:rsidRPr="000D20D3">
        <w:rPr>
          <w:b/>
          <w:bCs/>
        </w:rPr>
        <w:t>2. Grupo de Procesos de Planificación:</w:t>
      </w:r>
      <w:r>
        <w:t xml:space="preserve"> Implica la definición del alcance, la estimación de los recursos y la determinación de las actividades necesarias para alcanzar los objetivos del proyecto. También se preparan los planes de gestión de riesgos, calidad, adquisiciones y comunicación.</w:t>
      </w:r>
    </w:p>
    <w:p w14:paraId="2A0F3C73" w14:textId="77777777" w:rsidR="000D20D3" w:rsidRDefault="000D20D3" w:rsidP="00D81025">
      <w:pPr>
        <w:pStyle w:val="Figura1"/>
      </w:pPr>
      <w:r w:rsidRPr="000D20D3">
        <w:rPr>
          <w:b/>
          <w:bCs/>
        </w:rPr>
        <w:t>3. Grupo de Procesos de Ejecución</w:t>
      </w:r>
      <w:r>
        <w:t>: Corresponde a los procesos que se encargan de ejecutar el trabajo planificado. Incluye la coordinación de personas, recursos y tareas para entregar los productos del proyecto según lo acordado.</w:t>
      </w:r>
    </w:p>
    <w:p w14:paraId="258ED568" w14:textId="77777777" w:rsidR="000D20D3" w:rsidRDefault="000D20D3" w:rsidP="00D81025">
      <w:pPr>
        <w:pStyle w:val="Figura1"/>
      </w:pPr>
      <w:r w:rsidRPr="000D20D3">
        <w:rPr>
          <w:b/>
          <w:bCs/>
        </w:rPr>
        <w:t>4. Grupo de Procesos de Monitoreo y Control:</w:t>
      </w:r>
      <w:r>
        <w:t xml:space="preserve"> Se refiere a la supervisión del avance del proyecto, evaluación de su desempeño y control de los posibles cambios. Este grupo permite mantener el proyecto dentro del alcance, el presupuesto y los plazos establecidos.</w:t>
      </w:r>
    </w:p>
    <w:p w14:paraId="739DB126" w14:textId="77777777" w:rsidR="000D20D3" w:rsidRDefault="000D20D3" w:rsidP="00D81025">
      <w:pPr>
        <w:pStyle w:val="Figura1"/>
      </w:pPr>
      <w:r w:rsidRPr="000D20D3">
        <w:rPr>
          <w:b/>
          <w:bCs/>
        </w:rPr>
        <w:t>5. Grupo de Procesos de Cierre:</w:t>
      </w:r>
      <w:r>
        <w:t xml:space="preserve"> Involucra los procesos que formalizan la aceptación de los entregables del proyecto, el cierre de contratos y la documentación de lecciones aprendidas.</w:t>
      </w:r>
    </w:p>
    <w:p w14:paraId="5E4C663D" w14:textId="03A1EBC1" w:rsidR="000D20D3" w:rsidRDefault="000D20D3" w:rsidP="00E364CE">
      <w:pPr>
        <w:pStyle w:val="APA"/>
      </w:pPr>
      <w:r>
        <w:t xml:space="preserve">En el caso de los proyectos Design &amp; Build en Contract Workplaces, estos grupos de procesos se aplican en cada etapa del proyecto: desde la identificación del cliente, pasando por el diseño, la ejecución de la obra y su cierre formal. Una adecuada </w:t>
      </w:r>
      <w:r>
        <w:lastRenderedPageBreak/>
        <w:t>planificación y control permite reducir riesgos, evitar reprocesos y garantizar la calidad del resultado final.</w:t>
      </w:r>
    </w:p>
    <w:p w14:paraId="551DC703" w14:textId="07D9967F" w:rsidR="009A3733" w:rsidRDefault="009A3733" w:rsidP="00E364CE">
      <w:pPr>
        <w:pStyle w:val="APA"/>
      </w:pPr>
      <w:r w:rsidRPr="00D23DCD">
        <w:t>A continuación, se presenta una figura que permite visualizar cómo los grupos de procesos de la dirección de proyectos interactúan a lo largo del ciclo de vida del proyecto. Se evidencia que los grupos de inicio, planificación, ejecución, monitoreo y control, y cierre no se desarrollan de forma lineal ni aislada, sino que se aplican de manera iterativa y transversal durante las distintas etapas del proyecto. La figura también resalta la interdependencia entre estos grupos, lo cual favorece una gestión más flexible y adaptativa.</w:t>
      </w:r>
    </w:p>
    <w:p w14:paraId="52A3EA9B" w14:textId="77777777" w:rsidR="00756640" w:rsidRDefault="00756640" w:rsidP="00D81025">
      <w:pPr>
        <w:pStyle w:val="Figura1"/>
      </w:pPr>
    </w:p>
    <w:p w14:paraId="6EB68147" w14:textId="77777777" w:rsidR="009F64F0" w:rsidRDefault="009F64F0" w:rsidP="00D81025">
      <w:pPr>
        <w:pStyle w:val="Figura1"/>
      </w:pPr>
    </w:p>
    <w:p w14:paraId="3B33B71C" w14:textId="77777777" w:rsidR="007C210E" w:rsidRDefault="007C210E" w:rsidP="00D81025">
      <w:pPr>
        <w:pStyle w:val="Figura1"/>
      </w:pPr>
    </w:p>
    <w:p w14:paraId="2BA80529" w14:textId="77777777" w:rsidR="007C210E" w:rsidRDefault="007C210E" w:rsidP="00D81025">
      <w:pPr>
        <w:pStyle w:val="Figura1"/>
      </w:pPr>
    </w:p>
    <w:p w14:paraId="4BA8E749" w14:textId="77777777" w:rsidR="007C210E" w:rsidRDefault="007C210E" w:rsidP="00D81025">
      <w:pPr>
        <w:pStyle w:val="Figura1"/>
      </w:pPr>
    </w:p>
    <w:p w14:paraId="6E7E951C" w14:textId="77777777" w:rsidR="007C210E" w:rsidRDefault="007C210E" w:rsidP="00D81025">
      <w:pPr>
        <w:pStyle w:val="Figura1"/>
      </w:pPr>
    </w:p>
    <w:p w14:paraId="597E916C" w14:textId="77777777" w:rsidR="007C210E" w:rsidRDefault="007C210E" w:rsidP="00D81025">
      <w:pPr>
        <w:pStyle w:val="Figura1"/>
      </w:pPr>
    </w:p>
    <w:p w14:paraId="278CF204" w14:textId="77777777" w:rsidR="007C210E" w:rsidRDefault="007C210E" w:rsidP="00D81025">
      <w:pPr>
        <w:pStyle w:val="Figura1"/>
      </w:pPr>
    </w:p>
    <w:p w14:paraId="1766C32C" w14:textId="77777777" w:rsidR="007C210E" w:rsidRDefault="007C210E" w:rsidP="00D81025">
      <w:pPr>
        <w:pStyle w:val="Figura1"/>
      </w:pPr>
    </w:p>
    <w:p w14:paraId="0AD4646E" w14:textId="77777777" w:rsidR="007C210E" w:rsidRDefault="007C210E" w:rsidP="00D81025">
      <w:pPr>
        <w:pStyle w:val="Figura1"/>
      </w:pPr>
    </w:p>
    <w:p w14:paraId="3217AA94" w14:textId="77777777" w:rsidR="007C210E" w:rsidRDefault="007C210E" w:rsidP="00D81025">
      <w:pPr>
        <w:pStyle w:val="Figura1"/>
      </w:pPr>
    </w:p>
    <w:p w14:paraId="4C9F353F" w14:textId="77777777" w:rsidR="007C210E" w:rsidRDefault="007C210E" w:rsidP="00D81025">
      <w:pPr>
        <w:pStyle w:val="Figura1"/>
      </w:pPr>
    </w:p>
    <w:p w14:paraId="026FECF1" w14:textId="77777777" w:rsidR="007C210E" w:rsidRDefault="007C210E" w:rsidP="00D81025">
      <w:pPr>
        <w:pStyle w:val="Figura1"/>
      </w:pPr>
    </w:p>
    <w:p w14:paraId="57FACD97" w14:textId="77777777" w:rsidR="007C210E" w:rsidRDefault="007C210E" w:rsidP="00D81025">
      <w:pPr>
        <w:pStyle w:val="Figura1"/>
      </w:pPr>
    </w:p>
    <w:p w14:paraId="56F0BA7C" w14:textId="77777777" w:rsidR="009F64F0" w:rsidRDefault="009F64F0" w:rsidP="00D81025">
      <w:pPr>
        <w:pStyle w:val="Figura1"/>
      </w:pPr>
    </w:p>
    <w:p w14:paraId="7DC05B12" w14:textId="624427E9" w:rsidR="00756640" w:rsidRDefault="00756640" w:rsidP="00D81025">
      <w:pPr>
        <w:ind w:firstLine="0"/>
        <w:rPr>
          <w:b/>
        </w:rPr>
      </w:pPr>
      <w:bookmarkStart w:id="41" w:name="_Toc210425675"/>
      <w:r w:rsidRPr="00756640">
        <w:rPr>
          <w:b/>
        </w:rPr>
        <w:lastRenderedPageBreak/>
        <w:t xml:space="preserve">Figura </w:t>
      </w:r>
      <w:r w:rsidRPr="00756640">
        <w:rPr>
          <w:b/>
        </w:rPr>
        <w:fldChar w:fldCharType="begin"/>
      </w:r>
      <w:r w:rsidRPr="00756640">
        <w:rPr>
          <w:b/>
        </w:rPr>
        <w:instrText xml:space="preserve"> SEQ Figura \* ARABIC </w:instrText>
      </w:r>
      <w:r w:rsidRPr="00756640">
        <w:rPr>
          <w:b/>
        </w:rPr>
        <w:fldChar w:fldCharType="separate"/>
      </w:r>
      <w:r w:rsidR="00476C00">
        <w:rPr>
          <w:b/>
          <w:noProof/>
        </w:rPr>
        <w:t>4</w:t>
      </w:r>
      <w:bookmarkEnd w:id="41"/>
      <w:r w:rsidRPr="00756640">
        <w:rPr>
          <w:b/>
        </w:rPr>
        <w:fldChar w:fldCharType="end"/>
      </w:r>
    </w:p>
    <w:p w14:paraId="680E3815" w14:textId="1019E312" w:rsidR="009F51BD" w:rsidRDefault="00756640" w:rsidP="00D81025">
      <w:pPr>
        <w:ind w:firstLine="0"/>
        <w:rPr>
          <w:noProof/>
        </w:rPr>
      </w:pPr>
      <w:r w:rsidRPr="00A6303F">
        <w:rPr>
          <w:i/>
          <w:iCs/>
        </w:rPr>
        <w:t>Grupo</w:t>
      </w:r>
      <w:r w:rsidR="00014D7D">
        <w:rPr>
          <w:i/>
          <w:iCs/>
        </w:rPr>
        <w:t>s</w:t>
      </w:r>
      <w:r w:rsidRPr="00A6303F">
        <w:rPr>
          <w:i/>
          <w:iCs/>
        </w:rPr>
        <w:t xml:space="preserve"> de Procesos de la dirección de Proyectos. </w:t>
      </w:r>
      <w:r w:rsidR="00BE2D9C" w:rsidRPr="00BE2D9C">
        <w:rPr>
          <w:noProof/>
        </w:rPr>
        <w:t xml:space="preserve"> </w:t>
      </w:r>
    </w:p>
    <w:p w14:paraId="5589AF81" w14:textId="62EC8CA2" w:rsidR="00014D7D" w:rsidRDefault="00014D7D" w:rsidP="00D81025">
      <w:pPr>
        <w:ind w:firstLine="0"/>
        <w:jc w:val="center"/>
        <w:rPr>
          <w:b/>
        </w:rPr>
      </w:pPr>
      <w:r w:rsidRPr="00014D7D">
        <w:rPr>
          <w:b/>
          <w:noProof/>
        </w:rPr>
        <w:drawing>
          <wp:inline distT="0" distB="0" distL="0" distR="0" wp14:anchorId="27DC00B3" wp14:editId="354E0033">
            <wp:extent cx="4089400" cy="5688858"/>
            <wp:effectExtent l="0" t="0" r="6350" b="7620"/>
            <wp:docPr id="21124153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415330" name=""/>
                    <pic:cNvPicPr/>
                  </pic:nvPicPr>
                  <pic:blipFill>
                    <a:blip r:embed="rId16"/>
                    <a:stretch>
                      <a:fillRect/>
                    </a:stretch>
                  </pic:blipFill>
                  <pic:spPr>
                    <a:xfrm>
                      <a:off x="0" y="0"/>
                      <a:ext cx="4118093" cy="5728774"/>
                    </a:xfrm>
                    <a:prstGeom prst="rect">
                      <a:avLst/>
                    </a:prstGeom>
                  </pic:spPr>
                </pic:pic>
              </a:graphicData>
            </a:graphic>
          </wp:inline>
        </w:drawing>
      </w:r>
    </w:p>
    <w:p w14:paraId="20939B47" w14:textId="6D4D566A" w:rsidR="009F64F0" w:rsidRDefault="007C23DB" w:rsidP="00D81025">
      <w:pPr>
        <w:ind w:firstLine="0"/>
      </w:pPr>
      <w:r w:rsidRPr="00D23DCD">
        <w:t>Nota.</w:t>
      </w:r>
      <w:r w:rsidR="00394679" w:rsidRPr="00D23DCD">
        <w:t xml:space="preserve"> </w:t>
      </w:r>
      <w:r w:rsidR="00DD7DC3" w:rsidRPr="00D23DCD">
        <w:t xml:space="preserve">Reproducido de </w:t>
      </w:r>
      <w:r w:rsidR="00DD7DC3" w:rsidRPr="00D23DCD">
        <w:rPr>
          <w:i/>
          <w:iCs/>
        </w:rPr>
        <w:t>Guía del PMBOK®- Séptima edición: Guía de los fundamentos para la</w:t>
      </w:r>
      <w:r w:rsidR="009F64F0">
        <w:rPr>
          <w:i/>
          <w:iCs/>
        </w:rPr>
        <w:t xml:space="preserve"> </w:t>
      </w:r>
      <w:r w:rsidR="00DD7DC3" w:rsidRPr="00D23DCD">
        <w:rPr>
          <w:i/>
          <w:iCs/>
        </w:rPr>
        <w:t>dirección de proyectos</w:t>
      </w:r>
      <w:r w:rsidR="00DD7DC3" w:rsidRPr="00D23DCD">
        <w:t>, por Project Management Institute, 2021, Project Management Institute</w:t>
      </w:r>
      <w:r w:rsidR="009F64F0">
        <w:t xml:space="preserve"> </w:t>
      </w:r>
      <w:r w:rsidR="00DD7DC3" w:rsidRPr="00D23DCD">
        <w:t>Copyright 2021.</w:t>
      </w:r>
    </w:p>
    <w:p w14:paraId="62CBC7D6" w14:textId="77777777" w:rsidR="009F64F0" w:rsidRDefault="009F64F0" w:rsidP="00D81025">
      <w:pPr>
        <w:ind w:firstLine="0"/>
      </w:pPr>
    </w:p>
    <w:p w14:paraId="00EBA023" w14:textId="1C855247" w:rsidR="00756640" w:rsidRDefault="00756640" w:rsidP="00D81025">
      <w:pPr>
        <w:ind w:firstLine="0"/>
        <w:rPr>
          <w:b/>
          <w:bCs/>
          <w:lang w:val="es-CR"/>
        </w:rPr>
      </w:pPr>
      <w:bookmarkStart w:id="42" w:name="_Toc210425676"/>
      <w:r w:rsidRPr="00756640">
        <w:rPr>
          <w:b/>
          <w:bCs/>
          <w:lang w:val="es-CR"/>
        </w:rPr>
        <w:lastRenderedPageBreak/>
        <w:t xml:space="preserve">Figura </w:t>
      </w:r>
      <w:r w:rsidRPr="00756640">
        <w:rPr>
          <w:b/>
          <w:bCs/>
          <w:lang w:val="es-CR"/>
        </w:rPr>
        <w:fldChar w:fldCharType="begin"/>
      </w:r>
      <w:r w:rsidRPr="00756640">
        <w:rPr>
          <w:b/>
          <w:bCs/>
          <w:lang w:val="es-CR"/>
        </w:rPr>
        <w:instrText xml:space="preserve"> SEQ Figura \* ARABIC </w:instrText>
      </w:r>
      <w:r w:rsidRPr="00756640">
        <w:rPr>
          <w:b/>
          <w:bCs/>
          <w:lang w:val="es-CR"/>
        </w:rPr>
        <w:fldChar w:fldCharType="separate"/>
      </w:r>
      <w:r w:rsidR="00476C00">
        <w:rPr>
          <w:b/>
          <w:bCs/>
          <w:noProof/>
          <w:lang w:val="es-CR"/>
        </w:rPr>
        <w:t>5</w:t>
      </w:r>
      <w:bookmarkEnd w:id="42"/>
      <w:r w:rsidRPr="00756640">
        <w:rPr>
          <w:b/>
          <w:bCs/>
          <w:lang w:val="es-CR"/>
        </w:rPr>
        <w:fldChar w:fldCharType="end"/>
      </w:r>
    </w:p>
    <w:p w14:paraId="6225DCBB" w14:textId="751FBE65" w:rsidR="00756640" w:rsidRPr="00756640" w:rsidRDefault="00756640" w:rsidP="00D81025">
      <w:pPr>
        <w:ind w:firstLine="0"/>
        <w:rPr>
          <w:b/>
          <w:bCs/>
          <w:lang w:val="es-CR"/>
        </w:rPr>
      </w:pPr>
      <w:r w:rsidRPr="00A6303F">
        <w:rPr>
          <w:bCs/>
          <w:i/>
          <w:iCs/>
          <w:lang w:val="es-CR"/>
        </w:rPr>
        <w:t xml:space="preserve">Ciclo de </w:t>
      </w:r>
      <w:r w:rsidR="00014D7D">
        <w:rPr>
          <w:bCs/>
          <w:i/>
          <w:iCs/>
          <w:lang w:val="es-CR"/>
        </w:rPr>
        <w:t>V</w:t>
      </w:r>
      <w:r w:rsidRPr="00A6303F">
        <w:rPr>
          <w:bCs/>
          <w:i/>
          <w:iCs/>
          <w:lang w:val="es-CR"/>
        </w:rPr>
        <w:t xml:space="preserve">ida del </w:t>
      </w:r>
      <w:r w:rsidR="00014D7D">
        <w:rPr>
          <w:bCs/>
          <w:i/>
          <w:iCs/>
          <w:lang w:val="es-CR"/>
        </w:rPr>
        <w:t>P</w:t>
      </w:r>
      <w:r w:rsidRPr="00A6303F">
        <w:rPr>
          <w:bCs/>
          <w:i/>
          <w:iCs/>
          <w:lang w:val="es-CR"/>
        </w:rPr>
        <w:t>royecto</w:t>
      </w:r>
      <w:r w:rsidR="00014D7D">
        <w:rPr>
          <w:bCs/>
          <w:i/>
          <w:iCs/>
          <w:lang w:val="es-CR"/>
        </w:rPr>
        <w:t>.</w:t>
      </w:r>
    </w:p>
    <w:p w14:paraId="7048FE43" w14:textId="5DD80D9E" w:rsidR="00AA5FDA" w:rsidRPr="00A6303F" w:rsidRDefault="00BE792D" w:rsidP="00D81025">
      <w:pPr>
        <w:ind w:firstLine="0"/>
        <w:jc w:val="center"/>
        <w:rPr>
          <w:b/>
          <w:lang w:val="es-CR"/>
        </w:rPr>
      </w:pPr>
      <w:r w:rsidRPr="00BE792D">
        <w:rPr>
          <w:noProof/>
        </w:rPr>
        <w:t xml:space="preserve"> </w:t>
      </w:r>
      <w:r w:rsidRPr="00BE792D">
        <w:rPr>
          <w:b/>
          <w:noProof/>
          <w:lang w:val="es-CR"/>
        </w:rPr>
        <w:drawing>
          <wp:inline distT="0" distB="0" distL="0" distR="0" wp14:anchorId="35A720AF" wp14:editId="679DA733">
            <wp:extent cx="5397777" cy="5658141"/>
            <wp:effectExtent l="0" t="0" r="0" b="0"/>
            <wp:docPr id="2369192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919296" name=""/>
                    <pic:cNvPicPr/>
                  </pic:nvPicPr>
                  <pic:blipFill>
                    <a:blip r:embed="rId17"/>
                    <a:stretch>
                      <a:fillRect/>
                    </a:stretch>
                  </pic:blipFill>
                  <pic:spPr>
                    <a:xfrm>
                      <a:off x="0" y="0"/>
                      <a:ext cx="5397777" cy="5658141"/>
                    </a:xfrm>
                    <a:prstGeom prst="rect">
                      <a:avLst/>
                    </a:prstGeom>
                  </pic:spPr>
                </pic:pic>
              </a:graphicData>
            </a:graphic>
          </wp:inline>
        </w:drawing>
      </w:r>
    </w:p>
    <w:p w14:paraId="3B4F3592" w14:textId="598D4FE6" w:rsidR="00AA5FDA" w:rsidRPr="00A6303F" w:rsidRDefault="00AA5FDA" w:rsidP="00D81025">
      <w:pPr>
        <w:ind w:firstLine="0"/>
        <w:rPr>
          <w:i/>
          <w:iCs/>
        </w:rPr>
      </w:pPr>
      <w:r w:rsidRPr="00A6303F">
        <w:t xml:space="preserve">Nota. Reproducido de </w:t>
      </w:r>
      <w:r w:rsidRPr="00A6303F">
        <w:rPr>
          <w:i/>
          <w:iCs/>
        </w:rPr>
        <w:t>Guía del PMBOK®- Séptima edición: Guía de los fundamentos para la dirección de proyectos</w:t>
      </w:r>
      <w:r w:rsidRPr="00A6303F">
        <w:t>, por Project Management Institute, 2021, Project Management Institute</w:t>
      </w:r>
      <w:r w:rsidRPr="00A6303F">
        <w:rPr>
          <w:i/>
          <w:iCs/>
        </w:rPr>
        <w:t xml:space="preserve"> </w:t>
      </w:r>
      <w:r w:rsidRPr="00A6303F">
        <w:t>Copyright 2021.</w:t>
      </w:r>
    </w:p>
    <w:p w14:paraId="67BDE201" w14:textId="77777777" w:rsidR="00AA5FDA" w:rsidRDefault="00AA5FDA" w:rsidP="00D81025">
      <w:pPr>
        <w:ind w:firstLine="0"/>
        <w:rPr>
          <w:b/>
        </w:rPr>
      </w:pPr>
    </w:p>
    <w:p w14:paraId="6C534293" w14:textId="7616EA8D" w:rsidR="00233F1C" w:rsidRPr="00233F1C" w:rsidRDefault="009F64F0" w:rsidP="00237B6D">
      <w:pPr>
        <w:pStyle w:val="Ttulo3"/>
      </w:pPr>
      <w:bookmarkStart w:id="43" w:name="_Toc212406352"/>
      <w:r>
        <w:lastRenderedPageBreak/>
        <w:t xml:space="preserve">2.2.6 </w:t>
      </w:r>
      <w:r w:rsidR="00990D5A">
        <w:t>Estrategia empresarial, portafolios, programas, proyectos</w:t>
      </w:r>
      <w:bookmarkEnd w:id="43"/>
    </w:p>
    <w:p w14:paraId="220DDD24" w14:textId="77777777" w:rsidR="00B06BD3" w:rsidRDefault="00B06BD3" w:rsidP="00E364CE">
      <w:pPr>
        <w:pStyle w:val="APA"/>
      </w:pPr>
      <w:r>
        <w:t>La estrategia empresarial es el conjunto de acciones planificadas que una organización define para alcanzar sus objetivos a mediano y largo plazo. Estas estrategias permiten decidir en qué proyectos o iniciativas se debe invertir, considerando los recursos disponibles y el entorno del negocio.</w:t>
      </w:r>
    </w:p>
    <w:p w14:paraId="08E980E1" w14:textId="77777777" w:rsidR="00B06BD3" w:rsidRDefault="00B06BD3" w:rsidP="00E364CE">
      <w:pPr>
        <w:pStyle w:val="APA"/>
      </w:pPr>
      <w:r>
        <w:t>Según el Project Management Institute (PMI, 2021), los portafolios, programas y proyectos son herramientas clave para ejecutar esas estrategias de forma estructurada. Un portafolio es un conjunto de programas, proyectos y operaciones gestionados como un grupo para alcanzar objetivos estratégicos. Dentro de un portafolio pueden existir programas, que a su vez agrupan proyectos relacionados cuya gestión coordinada permite obtener beneficios que no podrían lograrse si se gestionaran por separado.</w:t>
      </w:r>
    </w:p>
    <w:p w14:paraId="0101EBB5" w14:textId="77777777" w:rsidR="00B06BD3" w:rsidRDefault="00B06BD3" w:rsidP="00E364CE">
      <w:pPr>
        <w:pStyle w:val="APA"/>
      </w:pPr>
      <w:r>
        <w:t>Un proyecto, en cambio, es una iniciativa temporal destinada a crear un producto, servicio o resultado único. Es la unidad más específica y operativa de esta estructura. Cada proyecto puede estar o no dentro de un programa o portafolio, dependiendo de su naturaleza, escala e impacto estratégico.</w:t>
      </w:r>
    </w:p>
    <w:p w14:paraId="41BC1DD0" w14:textId="77777777" w:rsidR="00B06BD3" w:rsidRDefault="00B06BD3" w:rsidP="00E364CE">
      <w:pPr>
        <w:pStyle w:val="APA"/>
      </w:pPr>
      <w:r>
        <w:t>Lledó (2017) coincide en que los proyectos, programas y portafolios deben estar alineados con el plan estratégico de la organización. Explica que un portafolio puede agrupar proyectos de distintas áreas de negocio, y que un programa permite gestionar varios proyectos complementarios para obtener un mayor beneficio conjunto. También aclara que existen proyectos que operan de forma independiente sin pertenecer a programas o portafolios, y que la clave es que respondan a objetivos estratégicos claros.</w:t>
      </w:r>
    </w:p>
    <w:p w14:paraId="2A367DD3" w14:textId="2BEF95AA" w:rsidR="006F22A5" w:rsidRPr="00DD7DC3" w:rsidRDefault="006F22A5" w:rsidP="00E364CE">
      <w:pPr>
        <w:pStyle w:val="APA"/>
        <w:rPr>
          <w:color w:val="000000" w:themeColor="text1"/>
        </w:rPr>
      </w:pPr>
      <w:r w:rsidRPr="006F22A5">
        <w:t xml:space="preserve">Desde un enfoque estratégico, </w:t>
      </w:r>
      <w:r w:rsidRPr="00AE4839">
        <w:t>Too y Weaver (2017)</w:t>
      </w:r>
      <w:r w:rsidRPr="006F22A5">
        <w:t xml:space="preserve"> explican que la gestión de portafolios tiene como propósito fundamental garantizar que los proyectos y programas seleccionados estén alineados con los objetivos estratégicos de la organización. Este </w:t>
      </w:r>
      <w:r w:rsidRPr="006F22A5">
        <w:lastRenderedPageBreak/>
        <w:t>enfoque permite una asignación más eficaz de los recursos, mejora la toma de decisiones a nivel corporativo y fortalece la gobernanza. Por su parte, la gestión de proyectos se centra en la ejecución eficiente de cada iniciativa individual, buscando cumplir con los entregables establecidos en términos de tiempo, costo y calidad.</w:t>
      </w:r>
    </w:p>
    <w:p w14:paraId="22BEE07F" w14:textId="78129830" w:rsidR="00B06BD3" w:rsidRPr="00AD5F6F" w:rsidRDefault="00B06BD3" w:rsidP="00E364CE">
      <w:pPr>
        <w:pStyle w:val="APA"/>
        <w:rPr>
          <w:color w:val="000000" w:themeColor="text1"/>
        </w:rPr>
      </w:pPr>
      <w:r w:rsidRPr="00990C1A">
        <w:rPr>
          <w:color w:val="000000" w:themeColor="text1"/>
        </w:rPr>
        <w:t>E</w:t>
      </w:r>
      <w:r w:rsidR="00E50F5D">
        <w:rPr>
          <w:color w:val="000000" w:themeColor="text1"/>
        </w:rPr>
        <w:t>l</w:t>
      </w:r>
      <w:r w:rsidRPr="00990C1A">
        <w:rPr>
          <w:color w:val="000000" w:themeColor="text1"/>
        </w:rPr>
        <w:t xml:space="preserve"> objetivo es proponer mejoras a los procesos de planificación y control de los proyectos Design &amp; Build en Contract Workplaces</w:t>
      </w:r>
      <w:r w:rsidRPr="00DD7DC3">
        <w:rPr>
          <w:color w:val="000000" w:themeColor="text1"/>
        </w:rPr>
        <w:t>, se</w:t>
      </w:r>
      <w:r w:rsidRPr="00AD5F6F">
        <w:rPr>
          <w:color w:val="000000" w:themeColor="text1"/>
        </w:rPr>
        <w:t xml:space="preserve"> puede afirmar que el proyecto pertenece a la categoría de proyecto independiente. Aunque está alineado con los objetivos estratégicos de la empresa, no forma parte de un programa o portafolio formalmente estructurado, sino que responde a una necesidad interna específica de optimización organizacional.</w:t>
      </w:r>
    </w:p>
    <w:p w14:paraId="0FB72BA6" w14:textId="387CD159" w:rsidR="00B06BD3" w:rsidRPr="00DD7DC3" w:rsidRDefault="00B06BD3" w:rsidP="00E364CE">
      <w:pPr>
        <w:pStyle w:val="APA"/>
      </w:pPr>
      <w:r w:rsidRPr="00AD5F6F">
        <w:rPr>
          <w:color w:val="000000" w:themeColor="text1"/>
        </w:rPr>
        <w:t xml:space="preserve">Este tipo de proyectos, cuando se vinculan adecuadamente a las estrategias empresariales, permiten mejorar la eficiencia operativa, aumentar la competitividad y generar </w:t>
      </w:r>
      <w:r w:rsidRPr="00DD7DC3">
        <w:rPr>
          <w:color w:val="000000" w:themeColor="text1"/>
        </w:rPr>
        <w:t>valor sostenible para la organización</w:t>
      </w:r>
      <w:r w:rsidRPr="00DD7DC3">
        <w:t>.</w:t>
      </w:r>
      <w:r w:rsidR="00F72B5F" w:rsidRPr="00DD7DC3">
        <w:t xml:space="preserve"> </w:t>
      </w:r>
      <w:r w:rsidR="00FD6CA0" w:rsidRPr="00990C1A">
        <w:t>La siguiente figura muestra gráficamente la relación entre estrategia, portafolio, programas, proyectos y operaciones, en el marco de la dirección organizacional de proyectos.</w:t>
      </w:r>
    </w:p>
    <w:p w14:paraId="00000125" w14:textId="00F3BFB3" w:rsidR="00A2355F" w:rsidRDefault="00A2355F" w:rsidP="00D81025">
      <w:pPr>
        <w:pBdr>
          <w:top w:val="nil"/>
          <w:left w:val="nil"/>
          <w:bottom w:val="nil"/>
          <w:right w:val="nil"/>
          <w:between w:val="nil"/>
        </w:pBdr>
        <w:rPr>
          <w:color w:val="000000"/>
        </w:rPr>
      </w:pPr>
    </w:p>
    <w:p w14:paraId="4E8A8881" w14:textId="77777777" w:rsidR="006F22A5" w:rsidRDefault="006F22A5" w:rsidP="00D81025">
      <w:pPr>
        <w:pBdr>
          <w:top w:val="nil"/>
          <w:left w:val="nil"/>
          <w:bottom w:val="nil"/>
          <w:right w:val="nil"/>
          <w:between w:val="nil"/>
        </w:pBdr>
        <w:rPr>
          <w:color w:val="000000"/>
        </w:rPr>
      </w:pPr>
    </w:p>
    <w:p w14:paraId="24087D2E" w14:textId="77777777" w:rsidR="006F22A5" w:rsidRDefault="006F22A5" w:rsidP="00D81025">
      <w:pPr>
        <w:pBdr>
          <w:top w:val="nil"/>
          <w:left w:val="nil"/>
          <w:bottom w:val="nil"/>
          <w:right w:val="nil"/>
          <w:between w:val="nil"/>
        </w:pBdr>
        <w:rPr>
          <w:color w:val="000000"/>
        </w:rPr>
      </w:pPr>
    </w:p>
    <w:p w14:paraId="55212429" w14:textId="77777777" w:rsidR="006F22A5" w:rsidRDefault="006F22A5" w:rsidP="00D81025">
      <w:pPr>
        <w:pBdr>
          <w:top w:val="nil"/>
          <w:left w:val="nil"/>
          <w:bottom w:val="nil"/>
          <w:right w:val="nil"/>
          <w:between w:val="nil"/>
        </w:pBdr>
        <w:rPr>
          <w:color w:val="000000"/>
        </w:rPr>
      </w:pPr>
    </w:p>
    <w:p w14:paraId="453D26A5" w14:textId="77777777" w:rsidR="006F22A5" w:rsidRDefault="006F22A5" w:rsidP="00D81025">
      <w:pPr>
        <w:pBdr>
          <w:top w:val="nil"/>
          <w:left w:val="nil"/>
          <w:bottom w:val="nil"/>
          <w:right w:val="nil"/>
          <w:between w:val="nil"/>
        </w:pBdr>
        <w:rPr>
          <w:color w:val="000000"/>
        </w:rPr>
      </w:pPr>
    </w:p>
    <w:p w14:paraId="03F64F59" w14:textId="77777777" w:rsidR="006F22A5" w:rsidRDefault="006F22A5" w:rsidP="00D81025">
      <w:pPr>
        <w:pBdr>
          <w:top w:val="nil"/>
          <w:left w:val="nil"/>
          <w:bottom w:val="nil"/>
          <w:right w:val="nil"/>
          <w:between w:val="nil"/>
        </w:pBdr>
        <w:rPr>
          <w:color w:val="000000"/>
        </w:rPr>
      </w:pPr>
    </w:p>
    <w:p w14:paraId="1B2234EA" w14:textId="77777777" w:rsidR="006F22A5" w:rsidRDefault="006F22A5" w:rsidP="00D81025">
      <w:pPr>
        <w:pBdr>
          <w:top w:val="nil"/>
          <w:left w:val="nil"/>
          <w:bottom w:val="nil"/>
          <w:right w:val="nil"/>
          <w:between w:val="nil"/>
        </w:pBdr>
        <w:rPr>
          <w:color w:val="000000"/>
        </w:rPr>
      </w:pPr>
    </w:p>
    <w:p w14:paraId="52F138DE" w14:textId="77777777" w:rsidR="006F22A5" w:rsidRDefault="006F22A5" w:rsidP="00D81025">
      <w:pPr>
        <w:pBdr>
          <w:top w:val="nil"/>
          <w:left w:val="nil"/>
          <w:bottom w:val="nil"/>
          <w:right w:val="nil"/>
          <w:between w:val="nil"/>
        </w:pBdr>
        <w:rPr>
          <w:color w:val="000000"/>
        </w:rPr>
      </w:pPr>
    </w:p>
    <w:p w14:paraId="0FA01579" w14:textId="77777777" w:rsidR="006F22A5" w:rsidRPr="00990C1A" w:rsidRDefault="006F22A5" w:rsidP="00237B6D">
      <w:pPr>
        <w:pBdr>
          <w:top w:val="nil"/>
          <w:left w:val="nil"/>
          <w:bottom w:val="nil"/>
          <w:right w:val="nil"/>
          <w:between w:val="nil"/>
        </w:pBdr>
        <w:ind w:firstLine="0"/>
        <w:rPr>
          <w:color w:val="000000"/>
        </w:rPr>
      </w:pPr>
    </w:p>
    <w:p w14:paraId="28219009" w14:textId="0BFC82CD" w:rsidR="00756640" w:rsidRDefault="00756640" w:rsidP="00D81025">
      <w:pPr>
        <w:pBdr>
          <w:top w:val="nil"/>
          <w:left w:val="nil"/>
          <w:bottom w:val="nil"/>
          <w:right w:val="nil"/>
          <w:between w:val="nil"/>
        </w:pBdr>
        <w:ind w:firstLine="0"/>
        <w:rPr>
          <w:b/>
          <w:color w:val="000000"/>
        </w:rPr>
      </w:pPr>
      <w:bookmarkStart w:id="44" w:name="_heading=h.bcquot8pdz14" w:colFirst="0" w:colLast="0"/>
      <w:bookmarkStart w:id="45" w:name="_Toc210425677"/>
      <w:bookmarkEnd w:id="44"/>
      <w:r w:rsidRPr="00756640">
        <w:rPr>
          <w:b/>
          <w:color w:val="000000"/>
        </w:rPr>
        <w:lastRenderedPageBreak/>
        <w:t xml:space="preserve">Figura </w:t>
      </w:r>
      <w:r w:rsidRPr="00756640">
        <w:rPr>
          <w:b/>
          <w:color w:val="000000"/>
        </w:rPr>
        <w:fldChar w:fldCharType="begin"/>
      </w:r>
      <w:r w:rsidRPr="00756640">
        <w:rPr>
          <w:b/>
          <w:color w:val="000000"/>
        </w:rPr>
        <w:instrText xml:space="preserve"> SEQ Figura \* ARABIC </w:instrText>
      </w:r>
      <w:r w:rsidRPr="00756640">
        <w:rPr>
          <w:b/>
          <w:color w:val="000000"/>
        </w:rPr>
        <w:fldChar w:fldCharType="separate"/>
      </w:r>
      <w:r w:rsidR="00476C00">
        <w:rPr>
          <w:b/>
          <w:noProof/>
          <w:color w:val="000000"/>
        </w:rPr>
        <w:t>6</w:t>
      </w:r>
      <w:bookmarkEnd w:id="45"/>
      <w:r w:rsidRPr="00756640">
        <w:rPr>
          <w:b/>
          <w:color w:val="000000"/>
        </w:rPr>
        <w:fldChar w:fldCharType="end"/>
      </w:r>
    </w:p>
    <w:p w14:paraId="4F8B970C" w14:textId="31B01814" w:rsidR="00B06BD3" w:rsidRDefault="00756640" w:rsidP="00D81025">
      <w:pPr>
        <w:pBdr>
          <w:top w:val="nil"/>
          <w:left w:val="nil"/>
          <w:bottom w:val="nil"/>
          <w:right w:val="nil"/>
          <w:between w:val="nil"/>
        </w:pBdr>
        <w:ind w:firstLine="0"/>
        <w:rPr>
          <w:b/>
          <w:color w:val="000000"/>
          <w:highlight w:val="magenta"/>
        </w:rPr>
      </w:pPr>
      <w:r w:rsidRPr="00990C1A">
        <w:rPr>
          <w:bCs/>
          <w:i/>
          <w:iCs/>
          <w:color w:val="000000"/>
        </w:rPr>
        <w:t>Dirección Organizacional de Proyectos</w:t>
      </w:r>
    </w:p>
    <w:p w14:paraId="6D95DBD6" w14:textId="7945D2D0" w:rsidR="006F22A5" w:rsidRPr="002B4C13" w:rsidRDefault="006F22A5" w:rsidP="00D81025">
      <w:pPr>
        <w:pBdr>
          <w:top w:val="nil"/>
          <w:left w:val="nil"/>
          <w:bottom w:val="nil"/>
          <w:right w:val="nil"/>
          <w:between w:val="nil"/>
        </w:pBdr>
        <w:ind w:firstLine="0"/>
        <w:jc w:val="center"/>
        <w:rPr>
          <w:b/>
          <w:color w:val="000000"/>
          <w:highlight w:val="magenta"/>
        </w:rPr>
      </w:pPr>
      <w:r w:rsidRPr="006F22A5">
        <w:rPr>
          <w:b/>
          <w:noProof/>
          <w:color w:val="000000"/>
        </w:rPr>
        <w:drawing>
          <wp:inline distT="0" distB="0" distL="0" distR="0" wp14:anchorId="06B57D09" wp14:editId="705A1929">
            <wp:extent cx="5944870" cy="4120515"/>
            <wp:effectExtent l="0" t="0" r="0" b="0"/>
            <wp:docPr id="17676174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617474" name=""/>
                    <pic:cNvPicPr/>
                  </pic:nvPicPr>
                  <pic:blipFill>
                    <a:blip r:embed="rId18"/>
                    <a:stretch>
                      <a:fillRect/>
                    </a:stretch>
                  </pic:blipFill>
                  <pic:spPr>
                    <a:xfrm>
                      <a:off x="0" y="0"/>
                      <a:ext cx="5944870" cy="4120515"/>
                    </a:xfrm>
                    <a:prstGeom prst="rect">
                      <a:avLst/>
                    </a:prstGeom>
                  </pic:spPr>
                </pic:pic>
              </a:graphicData>
            </a:graphic>
          </wp:inline>
        </w:drawing>
      </w:r>
    </w:p>
    <w:p w14:paraId="00000127" w14:textId="6C67B9F4" w:rsidR="00A2355F" w:rsidRDefault="00AD5F6F" w:rsidP="00D81025">
      <w:pPr>
        <w:ind w:firstLine="0"/>
      </w:pPr>
      <w:r w:rsidRPr="00D23DCD">
        <w:rPr>
          <w:i/>
          <w:iCs/>
          <w:lang w:val="en-US"/>
        </w:rPr>
        <w:t>Nota</w:t>
      </w:r>
      <w:r w:rsidR="00DD7DC3" w:rsidRPr="00D23DCD">
        <w:rPr>
          <w:i/>
          <w:iCs/>
          <w:lang w:val="en-US"/>
        </w:rPr>
        <w:t>.</w:t>
      </w:r>
      <w:r w:rsidR="00DD7DC3" w:rsidRPr="00D23DCD">
        <w:rPr>
          <w:lang w:val="en-US"/>
        </w:rPr>
        <w:t xml:space="preserve"> </w:t>
      </w:r>
      <w:r w:rsidR="00DD7DC3" w:rsidRPr="00D23DCD">
        <w:t xml:space="preserve">Reproducido de </w:t>
      </w:r>
      <w:r w:rsidR="00DD7DC3" w:rsidRPr="00D23DCD">
        <w:rPr>
          <w:i/>
          <w:iCs/>
        </w:rPr>
        <w:t>Guía del PMBOK®- Séptima edición: Guía de los fundamentos para la</w:t>
      </w:r>
      <w:r w:rsidR="0030163B">
        <w:rPr>
          <w:i/>
          <w:iCs/>
        </w:rPr>
        <w:t xml:space="preserve"> </w:t>
      </w:r>
      <w:r w:rsidR="00DD7DC3" w:rsidRPr="00D23DCD">
        <w:rPr>
          <w:i/>
          <w:iCs/>
        </w:rPr>
        <w:t>dirección de proyectos</w:t>
      </w:r>
      <w:r w:rsidR="00DD7DC3" w:rsidRPr="00D23DCD">
        <w:t>, por Project Management Institute, 2021, Project Management Institute</w:t>
      </w:r>
      <w:r w:rsidR="007C210E">
        <w:t xml:space="preserve"> </w:t>
      </w:r>
      <w:r w:rsidR="00DD7DC3" w:rsidRPr="00D23DCD">
        <w:t>Copyright 2021.</w:t>
      </w:r>
    </w:p>
    <w:p w14:paraId="7F34BEF1" w14:textId="77777777" w:rsidR="009F64F0" w:rsidRDefault="009F64F0" w:rsidP="00D81025">
      <w:pPr>
        <w:ind w:firstLine="0"/>
      </w:pPr>
    </w:p>
    <w:p w14:paraId="5A4132C3" w14:textId="77777777" w:rsidR="009F64F0" w:rsidRDefault="009F64F0" w:rsidP="00D81025">
      <w:pPr>
        <w:ind w:firstLine="0"/>
      </w:pPr>
    </w:p>
    <w:p w14:paraId="00000128" w14:textId="1205DBD4" w:rsidR="00A2355F" w:rsidRPr="004D0870" w:rsidRDefault="009F64F0" w:rsidP="00237B6D">
      <w:pPr>
        <w:pStyle w:val="Ttulo2"/>
      </w:pPr>
      <w:bookmarkStart w:id="46" w:name="_Toc212406353"/>
      <w:r>
        <w:t xml:space="preserve">2.3 </w:t>
      </w:r>
      <w:r w:rsidR="00990D5A" w:rsidRPr="00993471">
        <w:t>Estado de la cuestión y otra teoría propia del tema de interés</w:t>
      </w:r>
      <w:bookmarkEnd w:id="46"/>
      <w:r w:rsidR="00990D5A" w:rsidRPr="00993471">
        <w:t xml:space="preserve"> </w:t>
      </w:r>
    </w:p>
    <w:p w14:paraId="0C601B35" w14:textId="77777777" w:rsidR="001C5B7E" w:rsidRPr="001C5B7E" w:rsidRDefault="001C5B7E" w:rsidP="00E364CE">
      <w:pPr>
        <w:pStyle w:val="APA"/>
        <w:rPr>
          <w:lang w:val="es-CR" w:eastAsia="es-CR"/>
        </w:rPr>
      </w:pPr>
      <w:r w:rsidRPr="001C5B7E">
        <w:rPr>
          <w:lang w:val="es-CR" w:eastAsia="es-CR"/>
        </w:rPr>
        <w:t xml:space="preserve">En este apartado se analiza con más detalle el problema identificado en el proyecto y se revisan estudios e investigaciones que ayudan a entender mejor el tema. La idea es conocer qué se ha investigado antes sobre este tipo de proyectos, especialmente </w:t>
      </w:r>
      <w:r w:rsidRPr="001C5B7E">
        <w:rPr>
          <w:lang w:val="es-CR" w:eastAsia="es-CR"/>
        </w:rPr>
        <w:lastRenderedPageBreak/>
        <w:t>los que se trabajan bajo la modalidad “Design &amp; Build” en empresas como Contract Workplaces.</w:t>
      </w:r>
    </w:p>
    <w:p w14:paraId="685C633F" w14:textId="77777777" w:rsidR="001C5B7E" w:rsidRDefault="001C5B7E" w:rsidP="00E364CE">
      <w:pPr>
        <w:pStyle w:val="APA"/>
        <w:rPr>
          <w:lang w:eastAsia="es-CR"/>
        </w:rPr>
      </w:pPr>
      <w:r w:rsidRPr="001C5B7E">
        <w:rPr>
          <w:lang w:eastAsia="es-CR"/>
        </w:rPr>
        <w:t>Más que atribuir acciones al documento, lo que se expone aquí es cómo distintas metodologías, principios y enfoques teóricos orientan el comportamiento de las personas involucradas en los proyectos, especialmente en lo relacionado con la planificación, el control y la integración entre equipos. Esta revisión contribuye a contextualizar la problemática y a identificar referentes útiles para el análisis y la formulación de propuestas.</w:t>
      </w:r>
    </w:p>
    <w:p w14:paraId="56894EE1" w14:textId="61ED545C" w:rsidR="00993471" w:rsidRPr="004D0870" w:rsidRDefault="001C5B7E" w:rsidP="00E364CE">
      <w:pPr>
        <w:pStyle w:val="APA"/>
        <w:rPr>
          <w:highlight w:val="magenta"/>
        </w:rPr>
      </w:pPr>
      <w:r w:rsidRPr="001C5B7E">
        <w:rPr>
          <w:lang w:val="es-CR" w:eastAsia="es-CR"/>
        </w:rPr>
        <w:t>El contenido está dividido en tres partes. Primero, se describe la situación actual del problema</w:t>
      </w:r>
      <w:r>
        <w:rPr>
          <w:lang w:val="es-CR" w:eastAsia="es-CR"/>
        </w:rPr>
        <w:t xml:space="preserve">. </w:t>
      </w:r>
      <w:r w:rsidRPr="001C5B7E">
        <w:rPr>
          <w:lang w:val="es-CR" w:eastAsia="es-CR"/>
        </w:rPr>
        <w:t>Luego, se resumen algunas investigaciones que se han hecho sobre este tema</w:t>
      </w:r>
      <w:r>
        <w:rPr>
          <w:lang w:val="es-CR" w:eastAsia="es-CR"/>
        </w:rPr>
        <w:t xml:space="preserve">, </w:t>
      </w:r>
      <w:r w:rsidRPr="001C5B7E">
        <w:rPr>
          <w:lang w:val="es-CR" w:eastAsia="es-CR"/>
        </w:rPr>
        <w:t>por último, se explican teorías adicionales que ayudan a reforzar el marco teórico de este trabajo.</w:t>
      </w:r>
    </w:p>
    <w:p w14:paraId="0000012A" w14:textId="630787AB" w:rsidR="00A2355F" w:rsidRDefault="009F64F0" w:rsidP="00237B6D">
      <w:pPr>
        <w:pStyle w:val="Ttulo3"/>
      </w:pPr>
      <w:bookmarkStart w:id="47" w:name="_heading=h.a40ly375ojf8" w:colFirst="0" w:colLast="0"/>
      <w:bookmarkStart w:id="48" w:name="_Toc212406354"/>
      <w:bookmarkEnd w:id="47"/>
      <w:r>
        <w:t xml:space="preserve">2.3.1 </w:t>
      </w:r>
      <w:r w:rsidR="00990D5A">
        <w:t>Situación actual del problema u oportunidad en estudio (estado de la cuestión)</w:t>
      </w:r>
      <w:bookmarkEnd w:id="48"/>
    </w:p>
    <w:p w14:paraId="50030BA8" w14:textId="77777777" w:rsidR="00E34E9B" w:rsidRPr="00E34E9B" w:rsidRDefault="00E34E9B" w:rsidP="00E364CE">
      <w:pPr>
        <w:pStyle w:val="APA"/>
        <w:rPr>
          <w:lang w:val="es-CR" w:eastAsia="es-CR"/>
        </w:rPr>
      </w:pPr>
      <w:r w:rsidRPr="00E34E9B">
        <w:rPr>
          <w:lang w:val="es-CR" w:eastAsia="es-CR"/>
        </w:rPr>
        <w:t>La modalidad de proyectos conocida como “Design &amp; Build” ha ido ganando fuerza en la industria de la construcción en los últimos años. Esta forma de trabajo combina el diseño y la construcción en un solo equipo responsable, lo que facilita la coordinación, ayuda a reducir los tiempos de entrega y permite un mejor control de los costos. Sin embargo, varios estudios han demostrado que, aunque tiene muchas ventajas, también presenta ciertos retos, especialmente cuando se trata de planificar bien desde el inicio, controlar el avance del proyecto y lograr una buena comunicación entre los equipos involucrados.</w:t>
      </w:r>
    </w:p>
    <w:p w14:paraId="1FE310F6" w14:textId="77777777" w:rsidR="00E34E9B" w:rsidRPr="00E34E9B" w:rsidRDefault="00E34E9B" w:rsidP="00E364CE">
      <w:pPr>
        <w:pStyle w:val="APA"/>
        <w:rPr>
          <w:lang w:val="es-CR" w:eastAsia="es-CR"/>
        </w:rPr>
      </w:pPr>
      <w:r w:rsidRPr="00E34E9B">
        <w:rPr>
          <w:lang w:val="es-CR" w:eastAsia="es-CR"/>
        </w:rPr>
        <w:t xml:space="preserve">Por ejemplo, una investigación realizada por Mollaoglu et al. (2017) destaca que uno de los factores clave para que un proyecto Design &amp; Build tenga éxito es que exista una comunicación clara y constante entre quienes diseñan y quienes construyen. Este </w:t>
      </w:r>
      <w:r w:rsidRPr="00E34E9B">
        <w:rPr>
          <w:lang w:val="es-CR" w:eastAsia="es-CR"/>
        </w:rPr>
        <w:lastRenderedPageBreak/>
        <w:t>estudio se basó en entrevistas a profesionales del sector y reveló que muchos errores se deben a que en las primeras etapas del proyecto no se planifica bien o no se comparte la información necesaria. Esto suele provocar retrabajos y pérdidas de tiempo, algo que es especialmente importante evitar en proyectos de oficinas corporativas como los que realiza Contract Workplaces, donde los plazos suelen ser ajustados y el cliente espera alta calidad.</w:t>
      </w:r>
    </w:p>
    <w:p w14:paraId="650E7A8B" w14:textId="77777777" w:rsidR="00E34E9B" w:rsidRPr="00E34E9B" w:rsidRDefault="00E34E9B" w:rsidP="00E364CE">
      <w:pPr>
        <w:pStyle w:val="APA"/>
        <w:rPr>
          <w:lang w:val="es-CR" w:eastAsia="es-CR"/>
        </w:rPr>
      </w:pPr>
      <w:r w:rsidRPr="00E34E9B">
        <w:rPr>
          <w:lang w:val="es-CR" w:eastAsia="es-CR"/>
        </w:rPr>
        <w:t>Por otro lado, un estudio de Chaves y González (2020), que analizó proyectos en varios países de Latinoamérica, encontró que cuando no están bien definidos los roles y responsabilidades desde la etapa de planificación, se generan muchos conflictos entre los diferentes equipos dentro de una empresa. Este análisis, basado en varios casos reales, concluyó que usar herramientas colaborativas desde el inicio puede evitar muchos problemas más adelante en la ejecución. Esto también puede ser útil para mejorar cómo se planifican y controlan los proyectos en Contract Workplaces.</w:t>
      </w:r>
    </w:p>
    <w:p w14:paraId="778003C7" w14:textId="77777777" w:rsidR="00E34E9B" w:rsidRPr="00E34E9B" w:rsidRDefault="00E34E9B" w:rsidP="00E364CE">
      <w:pPr>
        <w:pStyle w:val="APA"/>
        <w:rPr>
          <w:lang w:val="es-CR" w:eastAsia="es-CR"/>
        </w:rPr>
      </w:pPr>
      <w:r w:rsidRPr="00E34E9B">
        <w:rPr>
          <w:lang w:val="es-CR" w:eastAsia="es-CR"/>
        </w:rPr>
        <w:t>De manera similar, García y Torres (2019) realizaron encuestas en 15 empresas constructoras en Colombia que usan el enfoque Design &amp; Build. Su investigación mostró que el 62% de los proyectos tuvieron atrasos, principalmente porque no se gestionaron bien los cambios entre las etapas de diseño y construcción. Ellos recomiendan usar metodologías híbridas, que mezclan planificación tradicional con herramientas ágiles. De esta forma, el equipo puede adaptarse mejor cuando surgen imprevistos o cuando el cliente solicita ajustes. Esta recomendación coincide con el enfoque propuesto en este proyecto de graduación.</w:t>
      </w:r>
    </w:p>
    <w:p w14:paraId="68096110" w14:textId="77777777" w:rsidR="0037770A" w:rsidRPr="0037770A" w:rsidRDefault="0037770A" w:rsidP="00E364CE">
      <w:pPr>
        <w:pStyle w:val="APA"/>
        <w:rPr>
          <w:lang w:val="es-CR"/>
        </w:rPr>
      </w:pPr>
      <w:r w:rsidRPr="0037770A">
        <w:rPr>
          <w:lang w:val="es-CR"/>
        </w:rPr>
        <w:t xml:space="preserve">Además, un informe del McKinsey Global Institute (2017) señala que muchas empresas todavía enfrentan problemas porque no integran bien las herramientas digitales ni los procesos entre diseño y construcción. Según ese estudio, las organizaciones que sí </w:t>
      </w:r>
      <w:r w:rsidRPr="0037770A">
        <w:rPr>
          <w:lang w:val="es-CR"/>
        </w:rPr>
        <w:lastRenderedPageBreak/>
        <w:t>han logrado mejorar esa integración han aumentado su eficiencia hasta en un 20%. Este tipo de hallazgos refuerza la importancia de mejorar la coordinación entre los distintos actores que intervienen en el ciclo de vida de un proyecto, sobre todo cuando se busca cumplir con altos estándares de calidad en entornos corporativos.</w:t>
      </w:r>
    </w:p>
    <w:p w14:paraId="4ADD936E" w14:textId="58B4461C" w:rsidR="0037770A" w:rsidRPr="0037770A" w:rsidRDefault="0037770A" w:rsidP="00E364CE">
      <w:pPr>
        <w:pStyle w:val="APA"/>
        <w:rPr>
          <w:lang w:val="es-CR"/>
        </w:rPr>
      </w:pPr>
      <w:r w:rsidRPr="0037770A">
        <w:rPr>
          <w:lang w:val="es-CR"/>
        </w:rPr>
        <w:t>Por eso, analizar a fondo el proceso actual en Contract Workplaces y compararlo con estas buenas prácticas documentadas en la literatura especializada representa una oportunidad valiosa para identificar brechas, puntos críticos y posibles soluciones. Al conocer con claridad cómo se están llevando a cabo actualmente las etapas de planificación y control en los proyectos tipo Design &amp; Build dentro de la empresa, es posible evaluar hasta qué punto se alinean con los enfoques que han demostrado ser exitosos en otros contextos. Este análisis no solo permite detectar oportunidades de mejora, sino que también facilita la propuesta de estrategias concretas y adaptadas a la realidad operativa de la organización.</w:t>
      </w:r>
    </w:p>
    <w:p w14:paraId="059A9D40" w14:textId="68CA35DF" w:rsidR="001C5B7E" w:rsidRPr="001C5B7E" w:rsidRDefault="0037770A" w:rsidP="00E364CE">
      <w:pPr>
        <w:pStyle w:val="APA"/>
      </w:pPr>
      <w:r w:rsidRPr="0037770A">
        <w:rPr>
          <w:lang w:val="es-CR"/>
        </w:rPr>
        <w:t>Además, al tener como referencia estudios recientes sobre colaboración, gestión del cambio, planificación integrada y uso de metodologías híbridas, se puede enriquecer el análisis con herramientas y modelos aplicables al entorno de proyectos corporativos. De esta forma, el desarrollo del presente PFG no se limita a describir una situación, sino que ofrece una base argumentada y contextualizada para plantear mejoras que fortalezcan la forma en que se planifican y controlan los proyectos, permitiendo a Contract Workplaces avanzar hacia una operación más eficiente, coherente y orientada al valor tanto para sus clientes como para sus equipos internos.</w:t>
      </w:r>
    </w:p>
    <w:p w14:paraId="0000012C" w14:textId="779949A6" w:rsidR="00A2355F" w:rsidRDefault="009F64F0" w:rsidP="00237B6D">
      <w:pPr>
        <w:pStyle w:val="Ttulo3"/>
      </w:pPr>
      <w:bookmarkStart w:id="49" w:name="_Toc212406355"/>
      <w:r>
        <w:t xml:space="preserve">2.3.2 </w:t>
      </w:r>
      <w:r w:rsidR="00990D5A">
        <w:t>Investigaciones que se han hecho sobre el tema en estudio</w:t>
      </w:r>
      <w:bookmarkEnd w:id="49"/>
    </w:p>
    <w:p w14:paraId="1E3A4AA5" w14:textId="77777777" w:rsidR="00673296" w:rsidRPr="00D23DCD" w:rsidRDefault="00673296" w:rsidP="00E364CE">
      <w:pPr>
        <w:pStyle w:val="APA"/>
        <w:rPr>
          <w:lang w:val="es-CR" w:eastAsia="es-CR"/>
        </w:rPr>
      </w:pPr>
      <w:r w:rsidRPr="00D23DCD">
        <w:rPr>
          <w:lang w:val="es-CR" w:eastAsia="es-CR"/>
        </w:rPr>
        <w:t xml:space="preserve">Durante los últimos años, las investigaciones han demostrado que los proyectos ejecutados bajo el enfoque </w:t>
      </w:r>
      <w:r w:rsidRPr="00D23DCD">
        <w:rPr>
          <w:i/>
          <w:iCs/>
          <w:lang w:val="es-CR" w:eastAsia="es-CR"/>
        </w:rPr>
        <w:t>Design &amp; Build</w:t>
      </w:r>
      <w:r w:rsidRPr="00D23DCD">
        <w:rPr>
          <w:lang w:val="es-CR" w:eastAsia="es-CR"/>
        </w:rPr>
        <w:t xml:space="preserve"> pueden beneficiarse significativamente al </w:t>
      </w:r>
      <w:r w:rsidRPr="00D23DCD">
        <w:rPr>
          <w:lang w:val="es-CR" w:eastAsia="es-CR"/>
        </w:rPr>
        <w:lastRenderedPageBreak/>
        <w:t>integrar de manera más efectiva las fases de diseño y construcción. Además, se ha identificado la importancia de aplicar buenas prácticas en planificación, control de procesos, colaboración interdisciplinaria y uso de herramientas tecnológicas, elementos fundamentales para mejorar el desempeño organizacional. Estas conclusiones resultan especialmente útiles para empresas como Contract Workplaces.</w:t>
      </w:r>
    </w:p>
    <w:p w14:paraId="3D4E55A3" w14:textId="77777777" w:rsidR="00673296" w:rsidRPr="00D23DCD" w:rsidRDefault="00673296" w:rsidP="00E364CE">
      <w:pPr>
        <w:pStyle w:val="APA"/>
        <w:rPr>
          <w:lang w:val="es-CR" w:eastAsia="es-CR"/>
        </w:rPr>
      </w:pPr>
      <w:r w:rsidRPr="00D23DCD">
        <w:rPr>
          <w:lang w:val="es-CR" w:eastAsia="es-CR"/>
        </w:rPr>
        <w:t>Uno de los enfoques más estudiados ha sido el uso de metodologías híbridas, que combinan herramientas de la gestión tradicional con técnicas provenientes de marcos ágiles. Al-Sabek, Fadhil y Elshazly (2021) destacan que la adopción de enfoques híbridos permite una mayor flexibilidad y adaptación al cambio, lo cual resulta especialmente útil en entornos complejos y dinámicos como los proyectos de adecuación de espacios laborales. Su estudio demuestra que la colaboración efectiva entre los equipos y la toma de decisiones compartida mejoran los resultados en términos de tiempo, calidad y satisfacción del cliente.</w:t>
      </w:r>
    </w:p>
    <w:p w14:paraId="013822D0" w14:textId="77777777" w:rsidR="00673296" w:rsidRPr="00D23DCD" w:rsidRDefault="00673296" w:rsidP="00E364CE">
      <w:pPr>
        <w:pStyle w:val="APA"/>
        <w:rPr>
          <w:lang w:val="es-CR" w:eastAsia="es-CR"/>
        </w:rPr>
      </w:pPr>
      <w:r w:rsidRPr="00D23DCD">
        <w:rPr>
          <w:lang w:val="es-CR" w:eastAsia="es-CR"/>
        </w:rPr>
        <w:t xml:space="preserve">En cuanto a la eficiencia en la ejecución, la filosofía </w:t>
      </w:r>
      <w:r w:rsidRPr="00D23DCD">
        <w:rPr>
          <w:i/>
          <w:iCs/>
          <w:lang w:val="es-CR" w:eastAsia="es-CR"/>
        </w:rPr>
        <w:t>Lean Construction</w:t>
      </w:r>
      <w:r w:rsidRPr="00D23DCD">
        <w:rPr>
          <w:lang w:val="es-CR" w:eastAsia="es-CR"/>
        </w:rPr>
        <w:t xml:space="preserve"> ha sido ampliamente analizada. Nguyen, Mohamed y Panuwatwanich (2020) realizaron una revisión sistemática sobre la implementación del sistema </w:t>
      </w:r>
      <w:r w:rsidRPr="00D23DCD">
        <w:rPr>
          <w:i/>
          <w:iCs/>
          <w:lang w:val="es-CR" w:eastAsia="es-CR"/>
        </w:rPr>
        <w:t>Last Planner</w:t>
      </w:r>
      <w:r w:rsidRPr="00D23DCD">
        <w:rPr>
          <w:lang w:val="es-CR" w:eastAsia="es-CR"/>
        </w:rPr>
        <w:t xml:space="preserve"> y concluyeron que su uso contribuye significativamente a la reducción de desperdicios, al cumplimiento de cronogramas y a una mayor participación de los equipos. Esta herramienta, centrada en la planificación colaborativa, puede ser especialmente beneficiosa para alinear los procesos de diseño y construcción en empresas como Contract Workplaces.</w:t>
      </w:r>
    </w:p>
    <w:p w14:paraId="619C3BCF" w14:textId="77777777" w:rsidR="00673296" w:rsidRPr="00D23DCD" w:rsidRDefault="00673296" w:rsidP="00E364CE">
      <w:pPr>
        <w:pStyle w:val="APA"/>
        <w:rPr>
          <w:lang w:val="es-CR" w:eastAsia="es-CR"/>
        </w:rPr>
      </w:pPr>
      <w:r w:rsidRPr="00D23DCD">
        <w:rPr>
          <w:lang w:val="es-CR" w:eastAsia="es-CR"/>
        </w:rPr>
        <w:t xml:space="preserve">Asimismo, el uso de tecnologías ha cobrado gran relevancia en la optimización de los proyectos </w:t>
      </w:r>
      <w:r w:rsidRPr="00D23DCD">
        <w:rPr>
          <w:i/>
          <w:iCs/>
          <w:lang w:val="es-CR" w:eastAsia="es-CR"/>
        </w:rPr>
        <w:t>Design &amp; Build</w:t>
      </w:r>
      <w:r w:rsidRPr="00D23DCD">
        <w:rPr>
          <w:lang w:val="es-CR" w:eastAsia="es-CR"/>
        </w:rPr>
        <w:t xml:space="preserve">. Zhang, Teizer y Eastman (2019) subrayan el impacto positivo del modelo </w:t>
      </w:r>
      <w:r w:rsidRPr="00D23DCD">
        <w:rPr>
          <w:i/>
          <w:iCs/>
          <w:lang w:val="es-CR" w:eastAsia="es-CR"/>
        </w:rPr>
        <w:t>Building Information Modeling</w:t>
      </w:r>
      <w:r w:rsidRPr="00D23DCD">
        <w:rPr>
          <w:lang w:val="es-CR" w:eastAsia="es-CR"/>
        </w:rPr>
        <w:t xml:space="preserve"> (BIM) en la coordinación interdisciplinaria, la visualización de modelos digitales y la detección temprana de </w:t>
      </w:r>
      <w:r w:rsidRPr="00D23DCD">
        <w:rPr>
          <w:lang w:val="es-CR" w:eastAsia="es-CR"/>
        </w:rPr>
        <w:lastRenderedPageBreak/>
        <w:t>conflictos constructivos. Según sus hallazgos, BIM facilita una mejor gestión de la información durante todas las fases del proyecto, lo que permite mejorar el control, minimizar errores y optimizar recursos. Para una empresa que diseña y construye espacios corporativos, como Contract Workplaces, esta herramienta representa una ventaja competitiva clave.</w:t>
      </w:r>
    </w:p>
    <w:p w14:paraId="3F864E56" w14:textId="30818DCB" w:rsidR="00B06F47" w:rsidRPr="00B06F47" w:rsidRDefault="00673296" w:rsidP="00E364CE">
      <w:pPr>
        <w:pStyle w:val="APA"/>
      </w:pPr>
      <w:r w:rsidRPr="00D23DCD">
        <w:rPr>
          <w:lang w:val="es-CR" w:eastAsia="es-CR"/>
        </w:rPr>
        <w:t xml:space="preserve">En resumen, las investigaciones recientes muestran que la adopción de metodologías híbridas, la implementación de herramientas </w:t>
      </w:r>
      <w:r w:rsidRPr="00D23DCD">
        <w:rPr>
          <w:i/>
          <w:iCs/>
          <w:lang w:val="es-CR" w:eastAsia="es-CR"/>
        </w:rPr>
        <w:t>Lean</w:t>
      </w:r>
      <w:r w:rsidRPr="00D23DCD">
        <w:rPr>
          <w:lang w:val="es-CR" w:eastAsia="es-CR"/>
        </w:rPr>
        <w:t xml:space="preserve"> como el </w:t>
      </w:r>
      <w:r w:rsidRPr="00D23DCD">
        <w:rPr>
          <w:i/>
          <w:iCs/>
          <w:lang w:val="es-CR" w:eastAsia="es-CR"/>
        </w:rPr>
        <w:t>Last Planner</w:t>
      </w:r>
      <w:r w:rsidRPr="00D23DCD">
        <w:rPr>
          <w:lang w:val="es-CR" w:eastAsia="es-CR"/>
        </w:rPr>
        <w:t xml:space="preserve">, y el uso de tecnologías como BIM contribuyen de manera significativa al éxito de los proyectos </w:t>
      </w:r>
      <w:r w:rsidRPr="00D23DCD">
        <w:rPr>
          <w:i/>
          <w:iCs/>
          <w:lang w:val="es-CR" w:eastAsia="es-CR"/>
        </w:rPr>
        <w:t>Design &amp; Build</w:t>
      </w:r>
      <w:r w:rsidRPr="00D23DCD">
        <w:rPr>
          <w:lang w:val="es-CR" w:eastAsia="es-CR"/>
        </w:rPr>
        <w:t>. Estos aportes pueden ser aplicados en Contract Workplaces para mejorar la eficiencia, la calidad y la coordinación de sus procesos internos.</w:t>
      </w:r>
    </w:p>
    <w:p w14:paraId="0000012E" w14:textId="6F342DE4" w:rsidR="00A2355F" w:rsidRDefault="009F64F0" w:rsidP="00237B6D">
      <w:pPr>
        <w:pStyle w:val="Ttulo3"/>
      </w:pPr>
      <w:bookmarkStart w:id="50" w:name="_Toc212406356"/>
      <w:r>
        <w:t xml:space="preserve">2.3.3 </w:t>
      </w:r>
      <w:r w:rsidR="00990D5A">
        <w:t>Otra teoría relacionada con el tema en estudio</w:t>
      </w:r>
      <w:bookmarkEnd w:id="50"/>
    </w:p>
    <w:p w14:paraId="0ECA2D4C" w14:textId="704AEABB" w:rsidR="00ED1674" w:rsidRPr="00197882" w:rsidRDefault="00ED1674" w:rsidP="00E364CE">
      <w:pPr>
        <w:pStyle w:val="APA"/>
      </w:pPr>
      <w:r w:rsidRPr="00ED1674">
        <w:t xml:space="preserve">Este apartado presenta teorías y enfoques complementarios al marco teórico desarrollado previamente, que permiten ampliar la comprensión del problema y aportar nuevas perspectivas a la propuesta de mejora. Estas teorías no solo enriquecen el análisis conceptual, sino que también ofrecen herramientas prácticas para fortalecer los procesos de planificación y control en proyectos tipo Design &amp; Build. </w:t>
      </w:r>
    </w:p>
    <w:p w14:paraId="00000131" w14:textId="12463F4C" w:rsidR="00A2355F" w:rsidRPr="009F64F0" w:rsidRDefault="007D3402" w:rsidP="00237B6D">
      <w:pPr>
        <w:pStyle w:val="Ttulo3"/>
      </w:pPr>
      <w:bookmarkStart w:id="51" w:name="_Toc212406357"/>
      <w:r>
        <w:t xml:space="preserve">2.3.3.1 </w:t>
      </w:r>
      <w:r w:rsidR="00ED1674" w:rsidRPr="009F64F0">
        <w:t>Teoría del Valor en la Gestión de Proyectos</w:t>
      </w:r>
      <w:bookmarkEnd w:id="51"/>
    </w:p>
    <w:p w14:paraId="3FA61107" w14:textId="77777777" w:rsidR="0090322E" w:rsidRPr="00D23DCD" w:rsidRDefault="0090322E" w:rsidP="00D81025">
      <w:pPr>
        <w:pStyle w:val="Figura1"/>
        <w:rPr>
          <w:lang w:val="es-CR" w:eastAsia="es-CR"/>
        </w:rPr>
      </w:pPr>
      <w:r w:rsidRPr="00D23DCD">
        <w:rPr>
          <w:lang w:val="es-CR" w:eastAsia="es-CR"/>
        </w:rPr>
        <w:t xml:space="preserve">La teoría del valor en la gestión de proyectos parte del principio de que todas las actividades desarrolladas en un proyecto deben contribuir a generar beneficios tangibles para las partes interesadas, en especial para el cliente. Esta perspectiva resulta crucial en entornos complejos como los proyectos </w:t>
      </w:r>
      <w:r w:rsidRPr="00D23DCD">
        <w:rPr>
          <w:i/>
          <w:iCs/>
          <w:lang w:val="es-CR" w:eastAsia="es-CR"/>
        </w:rPr>
        <w:t>Design &amp; Build</w:t>
      </w:r>
      <w:r w:rsidRPr="00D23DCD">
        <w:rPr>
          <w:lang w:val="es-CR" w:eastAsia="es-CR"/>
        </w:rPr>
        <w:t>, donde confluyen plazos ajustados, presión presupuestaria y altos estándares de calidad.</w:t>
      </w:r>
    </w:p>
    <w:p w14:paraId="60E80299" w14:textId="38E91014" w:rsidR="0090322E" w:rsidRPr="00D23DCD" w:rsidRDefault="0090322E" w:rsidP="00D81025">
      <w:pPr>
        <w:pStyle w:val="Figura1"/>
        <w:rPr>
          <w:lang w:val="es-CR" w:eastAsia="es-CR"/>
        </w:rPr>
      </w:pPr>
      <w:r w:rsidRPr="00D23DCD">
        <w:rPr>
          <w:lang w:val="es-CR" w:eastAsia="es-CR"/>
        </w:rPr>
        <w:lastRenderedPageBreak/>
        <w:t xml:space="preserve">El </w:t>
      </w:r>
      <w:r w:rsidRPr="00D23DCD">
        <w:rPr>
          <w:i/>
          <w:iCs/>
          <w:lang w:val="es-CR" w:eastAsia="es-CR"/>
        </w:rPr>
        <w:t>Project Management Institute</w:t>
      </w:r>
      <w:r w:rsidRPr="00D23DCD">
        <w:rPr>
          <w:lang w:val="es-CR" w:eastAsia="es-CR"/>
        </w:rPr>
        <w:t xml:space="preserve"> (2021 y 2023) establece que uno de los principios fundamentales de la dirección de proyectos es la entrega de valor. Esto implica que el enfoque del equipo no debe limitarse a cumplir con tareas, sino garantizar que cada acción aporte directamente al propósito del proyecto y a la satisfacción del cliente. Se trata de entregar resultados significativos, útiles y alineados con los objetivos organizacionales.</w:t>
      </w:r>
    </w:p>
    <w:p w14:paraId="3FB8853E" w14:textId="77777777" w:rsidR="0090322E" w:rsidRPr="00D23DCD" w:rsidRDefault="0090322E" w:rsidP="00D81025">
      <w:pPr>
        <w:pStyle w:val="Figura1"/>
        <w:rPr>
          <w:lang w:val="es-CR" w:eastAsia="es-CR"/>
        </w:rPr>
      </w:pPr>
      <w:r w:rsidRPr="00D23DCD">
        <w:rPr>
          <w:lang w:val="es-CR" w:eastAsia="es-CR"/>
        </w:rPr>
        <w:t>En este mismo sentido, Kerzner (2017) señala que la orientación a resultados de valor es un criterio diferenciador en la madurez de la gestión de proyectos, ya que permite alinear la planificación, ejecución y control con lo que realmente importa para el cliente y la organización. El autor propone integrar este enfoque desde las etapas iniciales para maximizar beneficios y minimizar actividades que no aportan.</w:t>
      </w:r>
    </w:p>
    <w:p w14:paraId="24DC7750" w14:textId="77777777" w:rsidR="0090322E" w:rsidRPr="00D23DCD" w:rsidRDefault="0090322E" w:rsidP="00D81025">
      <w:pPr>
        <w:pStyle w:val="Figura1"/>
        <w:rPr>
          <w:lang w:val="es-CR" w:eastAsia="es-CR"/>
        </w:rPr>
      </w:pPr>
      <w:r w:rsidRPr="00D23DCD">
        <w:rPr>
          <w:lang w:val="es-CR" w:eastAsia="es-CR"/>
        </w:rPr>
        <w:t>Por otro lado, Lledó (2017) destaca que los enfoques ágiles y Lean, cada vez más utilizados en entornos de alta incertidumbre, colocan la entrega de valor como eje central de su lógica operativa. La participación activa del cliente, la priorización de funcionalidades útiles y la eliminación de desperdicios son prácticas orientadas a maximizar dicho valor durante el ciclo de vida del proyecto.</w:t>
      </w:r>
    </w:p>
    <w:p w14:paraId="38D9FF18" w14:textId="77777777" w:rsidR="0090322E" w:rsidRPr="00D23DCD" w:rsidRDefault="0090322E" w:rsidP="00D81025">
      <w:pPr>
        <w:pStyle w:val="Figura1"/>
        <w:rPr>
          <w:lang w:val="es-CR" w:eastAsia="es-CR"/>
        </w:rPr>
      </w:pPr>
      <w:r w:rsidRPr="00D23DCD">
        <w:rPr>
          <w:lang w:val="es-CR" w:eastAsia="es-CR"/>
        </w:rPr>
        <w:t>Asimismo, el PMI (2023) actualiza este enfoque al indicar que los equipos de proyectos deben actuar como catalizadores del valor, no solo ejecutores. Esto implica comprender qué es valor para el cliente, adaptarse a cambios contextuales y tomar decisiones basadas en el impacto que tendrán los entregables en los objetivos estratégicos.</w:t>
      </w:r>
    </w:p>
    <w:p w14:paraId="1E1C1D0E" w14:textId="77777777" w:rsidR="0090322E" w:rsidRPr="00D23DCD" w:rsidRDefault="0090322E" w:rsidP="00D81025">
      <w:pPr>
        <w:pStyle w:val="Figura1"/>
        <w:rPr>
          <w:lang w:val="es-CR" w:eastAsia="es-CR"/>
        </w:rPr>
      </w:pPr>
      <w:r w:rsidRPr="00D23DCD">
        <w:rPr>
          <w:lang w:val="es-CR" w:eastAsia="es-CR"/>
        </w:rPr>
        <w:t xml:space="preserve">Aplicar esta teoría en proyectos como los de Contract Workplaces permite tomar decisiones más conscientes desde la planificación. Por ejemplo, no basta con entregar un diseño completo y a tiempo; es fundamental que dicho diseño responda a las necesidades </w:t>
      </w:r>
      <w:r w:rsidRPr="00D23DCD">
        <w:rPr>
          <w:lang w:val="es-CR" w:eastAsia="es-CR"/>
        </w:rPr>
        <w:lastRenderedPageBreak/>
        <w:t>reales del cliente en términos de funcionalidad, experiencia del usuario y sostenibilidad. Durante la ejecución, esta mirada facilita eliminar procesos redundantes, evitar reprocesos y reforzar la colaboración entre equipos técnicos y de diseño.</w:t>
      </w:r>
    </w:p>
    <w:p w14:paraId="5A2119D2" w14:textId="75298028" w:rsidR="00ED1674" w:rsidRDefault="0090322E" w:rsidP="00D81025">
      <w:pPr>
        <w:pStyle w:val="Figura1"/>
      </w:pPr>
      <w:r w:rsidRPr="00D23DCD">
        <w:rPr>
          <w:lang w:val="es-CR" w:eastAsia="es-CR"/>
        </w:rPr>
        <w:t xml:space="preserve">En conclusión, la teoría del valor se convierte en una herramienta estratégica para la mejora de procesos en la modalidad </w:t>
      </w:r>
      <w:r w:rsidRPr="00D23DCD">
        <w:rPr>
          <w:i/>
          <w:iCs/>
          <w:lang w:val="es-CR" w:eastAsia="es-CR"/>
        </w:rPr>
        <w:t>Design &amp; Build</w:t>
      </w:r>
      <w:r w:rsidRPr="00D23DCD">
        <w:rPr>
          <w:lang w:val="es-CR" w:eastAsia="es-CR"/>
        </w:rPr>
        <w:t>, al permitir enfocar los esfuerzos en lo que verdaderamente genera impacto positivo, reduce desperdicio y fortalece la relación con el cliente.</w:t>
      </w:r>
    </w:p>
    <w:p w14:paraId="00000133" w14:textId="18A3C179" w:rsidR="00A2355F" w:rsidRDefault="007D3402" w:rsidP="00237B6D">
      <w:pPr>
        <w:pStyle w:val="Ttulo3"/>
      </w:pPr>
      <w:bookmarkStart w:id="52" w:name="_Toc212406358"/>
      <w:r>
        <w:t xml:space="preserve">2.3.3.2 </w:t>
      </w:r>
      <w:r w:rsidR="00990D5A">
        <w:t>T</w:t>
      </w:r>
      <w:r w:rsidR="004E158F" w:rsidRPr="004E158F">
        <w:t>eoría de la Complejidad Organizacional en Proyectos Integrados</w:t>
      </w:r>
      <w:bookmarkEnd w:id="52"/>
    </w:p>
    <w:p w14:paraId="4CCD7FD1" w14:textId="1C458A5F" w:rsidR="00C05694" w:rsidRPr="00856BBF" w:rsidRDefault="00856BBF" w:rsidP="00E364CE">
      <w:pPr>
        <w:pStyle w:val="APA"/>
        <w:rPr>
          <w:lang w:val="es-CR" w:eastAsia="es-CR"/>
        </w:rPr>
      </w:pPr>
      <w:r w:rsidRPr="00856BBF">
        <w:rPr>
          <w:lang w:val="es-CR" w:eastAsia="es-CR"/>
        </w:rPr>
        <w:t xml:space="preserve">La teoría de la complejidad organizacional ayuda a comprender cómo interactúan las personas, los procesos y las herramientas dentro de una organización o proyecto. Esta teoría es especialmente útil en proyectos tipo </w:t>
      </w:r>
      <w:r w:rsidRPr="004D0870">
        <w:rPr>
          <w:lang w:val="es-CR" w:eastAsia="es-CR"/>
        </w:rPr>
        <w:t>Design &amp; Build</w:t>
      </w:r>
      <w:r w:rsidRPr="00856BBF">
        <w:rPr>
          <w:lang w:val="es-CR" w:eastAsia="es-CR"/>
        </w:rPr>
        <w:t>, ya que en ellos participan varios equipos de forma simultánea: diseñadores, constructores, proveedores, supervisores, clientes y otros actores clave. Cuando estas interacciones no se gestionan adecuadamente, pueden aparecer problemas como retrasos, errores de comunicación, decisiones duplicadas o pérdida de información.</w:t>
      </w:r>
    </w:p>
    <w:p w14:paraId="6AAF0598" w14:textId="77777777" w:rsidR="005A06A6" w:rsidRPr="005A06A6" w:rsidRDefault="005A06A6" w:rsidP="00E364CE">
      <w:pPr>
        <w:pStyle w:val="APA"/>
        <w:rPr>
          <w:lang w:eastAsia="es-CR"/>
        </w:rPr>
      </w:pPr>
      <w:r w:rsidRPr="005A06A6">
        <w:rPr>
          <w:lang w:eastAsia="es-CR"/>
        </w:rPr>
        <w:t>Según Petit y Hobbs (2017), la complejidad no es algo que aparece ocasionalmente, sino que es parte natural de los proyectos actuales. Por eso, se necesitan estructuras flexibles, reglas claras y herramientas colaborativas para poder manejarla bien. Esto aplica directamente al caso de Contract Workplaces, donde varios equipos trabajan al mismo tiempo y es fundamental mantener la comunicación y coordinación.</w:t>
      </w:r>
    </w:p>
    <w:p w14:paraId="5BE45DD3" w14:textId="77777777" w:rsidR="005A06A6" w:rsidRDefault="005A06A6" w:rsidP="00D81025">
      <w:pPr>
        <w:pStyle w:val="Figura1"/>
        <w:rPr>
          <w:lang w:eastAsia="es-CR"/>
        </w:rPr>
      </w:pPr>
      <w:r w:rsidRPr="005A06A6">
        <w:rPr>
          <w:lang w:eastAsia="es-CR"/>
        </w:rPr>
        <w:t xml:space="preserve">Biesenthal, Clegg y Maher (2020) destacan que también existe una complejidad relacionada con las personas. Por ejemplo, la presión por cumplir fechas, las diferencias entre equipos técnicos y los estilos distintos de comunicación pueden generar conflictos si </w:t>
      </w:r>
      <w:r w:rsidRPr="005A06A6">
        <w:rPr>
          <w:lang w:eastAsia="es-CR"/>
        </w:rPr>
        <w:lastRenderedPageBreak/>
        <w:t>no se gestionan bien. Una solución efectiva que ellos proponen es el uso de herramientas digitales que permitan compartir información y alinear al equipo.</w:t>
      </w:r>
    </w:p>
    <w:p w14:paraId="354F449F" w14:textId="026262B7" w:rsidR="00856BBF" w:rsidRPr="00856BBF" w:rsidRDefault="00856BBF" w:rsidP="00D81025">
      <w:pPr>
        <w:pStyle w:val="Figura1"/>
        <w:rPr>
          <w:lang w:val="es-CR" w:eastAsia="es-CR"/>
        </w:rPr>
      </w:pPr>
      <w:r w:rsidRPr="00856BBF">
        <w:rPr>
          <w:lang w:val="es-CR" w:eastAsia="es-CR"/>
        </w:rPr>
        <w:t xml:space="preserve">Para enfrentar estos desafíos, la teoría recomienda tener </w:t>
      </w:r>
      <w:r w:rsidRPr="004D0870">
        <w:rPr>
          <w:lang w:val="es-CR" w:eastAsia="es-CR"/>
        </w:rPr>
        <w:t>procesos claros, roles definidos y canales de comunicación efectivos</w:t>
      </w:r>
      <w:r w:rsidRPr="00856BBF">
        <w:rPr>
          <w:lang w:val="es-CR" w:eastAsia="es-CR"/>
        </w:rPr>
        <w:t xml:space="preserve">. Por ejemplo, </w:t>
      </w:r>
      <w:r w:rsidR="005A06A6">
        <w:rPr>
          <w:lang w:eastAsia="es-CR"/>
        </w:rPr>
        <w:t>p</w:t>
      </w:r>
      <w:r w:rsidR="005A06A6" w:rsidRPr="005A06A6">
        <w:rPr>
          <w:lang w:eastAsia="es-CR"/>
        </w:rPr>
        <w:t>lataformas com</w:t>
      </w:r>
      <w:r w:rsidR="005A06A6" w:rsidRPr="00725713">
        <w:rPr>
          <w:lang w:eastAsia="es-CR"/>
        </w:rPr>
        <w:t xml:space="preserve">o Asana o BIM </w:t>
      </w:r>
      <w:r w:rsidR="005A06A6" w:rsidRPr="005A06A6">
        <w:rPr>
          <w:lang w:eastAsia="es-CR"/>
        </w:rPr>
        <w:t>ayudan a centralizar tareas, seguir el progreso en tiempo real y asegurar que todos tengan acceso a los mismos datos. Según Svejvig y Andersen (2020), estas herramientas hacen que los proyectos se vean menos complicados porque aportan más claridad, orden y agilidad.</w:t>
      </w:r>
    </w:p>
    <w:p w14:paraId="3D085FF4" w14:textId="7C0BFAA3" w:rsidR="00856BBF" w:rsidRPr="00856BBF" w:rsidRDefault="00856BBF" w:rsidP="00D81025">
      <w:pPr>
        <w:pStyle w:val="Figura1"/>
        <w:rPr>
          <w:lang w:val="es-CR" w:eastAsia="es-CR"/>
        </w:rPr>
      </w:pPr>
      <w:r w:rsidRPr="00856BBF">
        <w:rPr>
          <w:lang w:val="es-CR" w:eastAsia="es-CR"/>
        </w:rPr>
        <w:t xml:space="preserve">Otro aspecto importante que destaca esta teoría es el rol del </w:t>
      </w:r>
      <w:r w:rsidRPr="004D0870">
        <w:rPr>
          <w:lang w:val="es-CR" w:eastAsia="es-CR"/>
        </w:rPr>
        <w:t>liderazgo en entornos complejos</w:t>
      </w:r>
      <w:r w:rsidRPr="00856BBF">
        <w:rPr>
          <w:lang w:val="es-CR" w:eastAsia="es-CR"/>
        </w:rPr>
        <w:t xml:space="preserve">. Según </w:t>
      </w:r>
      <w:r w:rsidR="00725713" w:rsidRPr="00725713">
        <w:rPr>
          <w:lang w:eastAsia="es-CR"/>
        </w:rPr>
        <w:t xml:space="preserve">Geraldi y Adlbrecht (2021) señalan que en proyectos complejos es clave tener líderes que sepan adaptarse y ayudar al equipo a colaborar. Esto es muy importante en </w:t>
      </w:r>
      <w:r w:rsidR="00725713" w:rsidRPr="00725713">
        <w:rPr>
          <w:i/>
          <w:iCs/>
          <w:lang w:eastAsia="es-CR"/>
        </w:rPr>
        <w:t>Design &amp; Build</w:t>
      </w:r>
      <w:r w:rsidR="00725713" w:rsidRPr="00725713">
        <w:rPr>
          <w:lang w:eastAsia="es-CR"/>
        </w:rPr>
        <w:t>, donde los cambios de último momento y los imprevistos son comunes y se necesita tomar decisiones rápidas y bien coordinadas.</w:t>
      </w:r>
    </w:p>
    <w:p w14:paraId="0555E577" w14:textId="77777777" w:rsidR="00856BBF" w:rsidRPr="00856BBF" w:rsidRDefault="00856BBF" w:rsidP="00D81025">
      <w:pPr>
        <w:pStyle w:val="Figura1"/>
        <w:rPr>
          <w:lang w:val="es-CR" w:eastAsia="es-CR"/>
        </w:rPr>
      </w:pPr>
      <w:r w:rsidRPr="00856BBF">
        <w:rPr>
          <w:lang w:val="es-CR" w:eastAsia="es-CR"/>
        </w:rPr>
        <w:t>Aplicar la teoría de la complejidad organizacional al caso de Contract Workplaces puede ser muy útil para diseñar mejoras que respondan a la realidad del trabajo diario. Por ejemplo, se pueden proponer rutinas de coordinación más estructuradas, establecer flujos de información entre diseño y construcción, o introducir herramientas que reduzcan la incertidumbre en la toma de decisiones. Todo esto ayuda a que los proyectos sean más ordenados, predecibles y colaborativos.</w:t>
      </w:r>
    </w:p>
    <w:p w14:paraId="11BF717D" w14:textId="54266F73" w:rsidR="004E158F" w:rsidRDefault="00856BBF" w:rsidP="00D81025">
      <w:pPr>
        <w:pStyle w:val="Figura1"/>
      </w:pPr>
      <w:r w:rsidRPr="00856BBF">
        <w:rPr>
          <w:lang w:val="es-CR" w:eastAsia="es-CR"/>
        </w:rPr>
        <w:t xml:space="preserve">En conclusión, esta teoría aporta una visión muy práctica para comprender cómo se comportan los proyectos Design &amp; Build desde adentro. Reconocer que hay complejidad no significa que los proyectos sean imposibles de manejar, sino que necesitan soluciones específicas que ayuden a reducir el caos y mejorar la organización del trabajo. Incorporar esta perspectiva al análisis del proceso actual en Contract </w:t>
      </w:r>
      <w:r w:rsidRPr="00856BBF">
        <w:rPr>
          <w:lang w:val="es-CR" w:eastAsia="es-CR"/>
        </w:rPr>
        <w:lastRenderedPageBreak/>
        <w:t>Workplaces permite plantear propuestas más realistas, aplicables y ajustadas al entorno real de la empresa.</w:t>
      </w:r>
    </w:p>
    <w:p w14:paraId="00000135" w14:textId="4B1E9E51" w:rsidR="00A2355F" w:rsidRDefault="007D3402" w:rsidP="00237B6D">
      <w:pPr>
        <w:pStyle w:val="Ttulo3"/>
      </w:pPr>
      <w:bookmarkStart w:id="53" w:name="_Toc212406359"/>
      <w:r>
        <w:t xml:space="preserve">2.3.3.3 </w:t>
      </w:r>
      <w:r w:rsidR="00990D5A" w:rsidRPr="007D3402">
        <w:t>T</w:t>
      </w:r>
      <w:r w:rsidR="00856BBF" w:rsidRPr="007D3402">
        <w:t>eoría de la Gestión por Procesos (Business Process Management</w:t>
      </w:r>
      <w:r w:rsidR="00856BBF" w:rsidRPr="00856BBF">
        <w:t>)</w:t>
      </w:r>
      <w:bookmarkEnd w:id="53"/>
    </w:p>
    <w:p w14:paraId="26AEE25D" w14:textId="7CDCA388" w:rsidR="00856BBF" w:rsidRPr="00856BBF" w:rsidRDefault="00856BBF" w:rsidP="00D81025">
      <w:pPr>
        <w:pStyle w:val="Figura1"/>
        <w:rPr>
          <w:lang w:val="es-CR" w:eastAsia="es-CR"/>
        </w:rPr>
      </w:pPr>
      <w:r w:rsidRPr="00856BBF">
        <w:rPr>
          <w:lang w:val="es-CR" w:eastAsia="es-CR"/>
        </w:rPr>
        <w:t xml:space="preserve">La teoría de la gestión por procesos, también conocida como </w:t>
      </w:r>
      <w:r w:rsidRPr="004D0870">
        <w:rPr>
          <w:lang w:val="es-CR" w:eastAsia="es-CR"/>
        </w:rPr>
        <w:t>Business Process Management</w:t>
      </w:r>
      <w:r w:rsidRPr="00856BBF">
        <w:rPr>
          <w:lang w:val="es-CR" w:eastAsia="es-CR"/>
        </w:rPr>
        <w:t>, plantea que las organizaciones deben estructurar su trabajo en torno a procesos bien definidos y no solo en funciones o departamentos aislados. Su objetivo es analizar, rediseñar y mejorar de manera continua los procesos clave de una empresa para lograr mejores resultados en eficiencia, calidad, tiempo y satisfacción del cliente (Dumas et al., 2018).</w:t>
      </w:r>
    </w:p>
    <w:p w14:paraId="2B5E1BDC" w14:textId="77777777" w:rsidR="00725713" w:rsidRDefault="00725713" w:rsidP="00D81025">
      <w:pPr>
        <w:pStyle w:val="Figura1"/>
        <w:rPr>
          <w:lang w:eastAsia="es-CR"/>
        </w:rPr>
      </w:pPr>
      <w:r w:rsidRPr="00725713">
        <w:rPr>
          <w:lang w:eastAsia="es-CR"/>
        </w:rPr>
        <w:t xml:space="preserve">Uno de los fundamentos clave de este enfoque es que muchas ineficiencias en las organizaciones ocurren porque las tareas están fragmentadas entre áreas y no hay una visión completa de cómo fluye el trabajo. Según vom Brocke y Mendling (2018), BPM promueve una gestión transversal que rompe los silos organizacionales y alinea los procesos con los objetivos estratégicos, lo que encaja perfectamente con la modalidad </w:t>
      </w:r>
      <w:r w:rsidRPr="00725713">
        <w:rPr>
          <w:i/>
          <w:iCs/>
          <w:lang w:eastAsia="es-CR"/>
        </w:rPr>
        <w:t>Design &amp; Build</w:t>
      </w:r>
      <w:r w:rsidRPr="00725713">
        <w:rPr>
          <w:lang w:eastAsia="es-CR"/>
        </w:rPr>
        <w:t>, donde el éxito del proyecto depende de que diseño, planificación y construcción trabajen de forma conectada.</w:t>
      </w:r>
    </w:p>
    <w:p w14:paraId="074129EA" w14:textId="1D679F7C" w:rsidR="00856BBF" w:rsidRPr="00856BBF" w:rsidRDefault="00856BBF" w:rsidP="00D81025">
      <w:pPr>
        <w:pStyle w:val="Figura1"/>
        <w:rPr>
          <w:lang w:val="es-CR" w:eastAsia="es-CR"/>
        </w:rPr>
      </w:pPr>
      <w:r w:rsidRPr="00856BBF">
        <w:rPr>
          <w:lang w:val="es-CR" w:eastAsia="es-CR"/>
        </w:rPr>
        <w:t xml:space="preserve">Aplicar esta teoría al caso de </w:t>
      </w:r>
      <w:r w:rsidRPr="004D0870">
        <w:rPr>
          <w:lang w:val="es-CR" w:eastAsia="es-CR"/>
        </w:rPr>
        <w:t>Contract Workplaces</w:t>
      </w:r>
      <w:r w:rsidRPr="00856BBF">
        <w:rPr>
          <w:lang w:val="es-CR" w:eastAsia="es-CR"/>
        </w:rPr>
        <w:t xml:space="preserve"> permite entender que la planificación y el control no deben ser vistos como actividades aisladas, sino como parte de un proceso completo que va desde la identificación del cliente hasta la entrega final del proyecto. Este enfoque ayuda a identificar cuellos de botella, tareas duplicadas, falta de comunicación o puntos donde se pierde tiempo y calidad.</w:t>
      </w:r>
    </w:p>
    <w:p w14:paraId="69F1A583" w14:textId="77777777" w:rsidR="00856BBF" w:rsidRPr="00856BBF" w:rsidRDefault="00856BBF" w:rsidP="00D81025">
      <w:pPr>
        <w:pStyle w:val="Figura1"/>
        <w:rPr>
          <w:lang w:val="es-CR" w:eastAsia="es-CR"/>
        </w:rPr>
      </w:pPr>
      <w:r w:rsidRPr="00856BBF">
        <w:rPr>
          <w:lang w:val="es-CR" w:eastAsia="es-CR"/>
        </w:rPr>
        <w:t xml:space="preserve">Además, BPM propone una </w:t>
      </w:r>
      <w:r w:rsidRPr="004D0870">
        <w:rPr>
          <w:lang w:val="es-CR" w:eastAsia="es-CR"/>
        </w:rPr>
        <w:t>cultura de mejora continua</w:t>
      </w:r>
      <w:r w:rsidRPr="00856BBF">
        <w:rPr>
          <w:lang w:val="es-CR" w:eastAsia="es-CR"/>
        </w:rPr>
        <w:t xml:space="preserve">, en la que los procesos se evalúan y ajustan constantemente. Para lograrlo, se pueden usar herramientas como diagramas de flujo, mapas de procesos, análisis de tiempo y valor, indicadores clave de </w:t>
      </w:r>
      <w:r w:rsidRPr="00856BBF">
        <w:rPr>
          <w:lang w:val="es-CR" w:eastAsia="es-CR"/>
        </w:rPr>
        <w:lastRenderedPageBreak/>
        <w:t xml:space="preserve">desempeño (KPIs) y plataformas digitales de seguimiento. En este sentido, plataformas como </w:t>
      </w:r>
      <w:r w:rsidRPr="004D0870">
        <w:rPr>
          <w:lang w:val="es-CR" w:eastAsia="es-CR"/>
        </w:rPr>
        <w:t>Asana</w:t>
      </w:r>
      <w:r w:rsidRPr="00856BBF">
        <w:rPr>
          <w:lang w:val="es-CR" w:eastAsia="es-CR"/>
        </w:rPr>
        <w:t>, que ya se utilizan en algunos equipos de Contract Workplaces, pueden servir para aplicar los principios de BPM en la práctica, al dar visibilidad al proceso, asignar tareas y monitorear el avance en tiempo real.</w:t>
      </w:r>
    </w:p>
    <w:p w14:paraId="76677292" w14:textId="77777777" w:rsidR="00856BBF" w:rsidRPr="00856BBF" w:rsidRDefault="00856BBF" w:rsidP="00D81025">
      <w:pPr>
        <w:pStyle w:val="Figura1"/>
        <w:rPr>
          <w:lang w:val="es-CR" w:eastAsia="es-CR"/>
        </w:rPr>
      </w:pPr>
      <w:r w:rsidRPr="00856BBF">
        <w:rPr>
          <w:lang w:val="es-CR" w:eastAsia="es-CR"/>
        </w:rPr>
        <w:t>Dumas et al. (2018) explican que un buen sistema de gestión por procesos debe tener cinco etapas: diseño del proceso, modelado, ejecución, monitoreo y optimización. Estas etapas permiten que las organizaciones pasen de tener procesos “informales” o poco documentados, a contar con flujos de trabajo más estandarizados, medibles y adaptables. Esto es especialmente útil para los proyectos Design &amp; Build, donde hay alta exigencia de coordinación y tiempos muy ajustados.</w:t>
      </w:r>
    </w:p>
    <w:p w14:paraId="222CD438" w14:textId="2CF1C95D" w:rsidR="007C210E" w:rsidRDefault="00856BBF" w:rsidP="00237B6D">
      <w:pPr>
        <w:pStyle w:val="Figura1"/>
        <w:rPr>
          <w:lang w:val="es-CR" w:eastAsia="es-CR"/>
        </w:rPr>
      </w:pPr>
      <w:r w:rsidRPr="00856BBF">
        <w:rPr>
          <w:lang w:val="es-CR" w:eastAsia="es-CR"/>
        </w:rPr>
        <w:t>En conclusión, la teoría BPM es una herramienta clave para apoyar la propuesta de mejora del presente PFG. Su enfoque centrado en procesos integrados, medibles y orientados al cliente permite estructurar cambios reales que mejoren la forma en que se planifican y controlan los proyectos. Para Contract Workplaces, adoptar esta visión puede traducirse en equipos más alineados, entregas más predecibles y una mayor capacidad de adaptación a los desafíos del mercado.</w:t>
      </w:r>
    </w:p>
    <w:p w14:paraId="52C6B273" w14:textId="77777777" w:rsidR="007C210E" w:rsidRDefault="007C210E">
      <w:pPr>
        <w:rPr>
          <w:lang w:val="es-CR" w:eastAsia="es-CR"/>
        </w:rPr>
      </w:pPr>
      <w:r>
        <w:rPr>
          <w:lang w:val="es-CR" w:eastAsia="es-CR"/>
        </w:rPr>
        <w:br w:type="page"/>
      </w:r>
    </w:p>
    <w:p w14:paraId="0CE7A000" w14:textId="77777777" w:rsidR="00856BBF" w:rsidRPr="00A6303F" w:rsidRDefault="00856BBF" w:rsidP="00237B6D">
      <w:pPr>
        <w:pStyle w:val="Figura1"/>
        <w:rPr>
          <w:lang w:val="es-CR" w:eastAsia="es-CR"/>
        </w:rPr>
      </w:pPr>
    </w:p>
    <w:p w14:paraId="00000136" w14:textId="4A3FF648" w:rsidR="00A2355F" w:rsidRDefault="00990D5A" w:rsidP="007C210E">
      <w:pPr>
        <w:pStyle w:val="Ttulo1"/>
        <w:jc w:val="center"/>
      </w:pPr>
      <w:bookmarkStart w:id="54" w:name="_Toc200286364"/>
      <w:bookmarkStart w:id="55" w:name="_Toc212406360"/>
      <w:r w:rsidRPr="007D3402">
        <w:t xml:space="preserve">Marco </w:t>
      </w:r>
      <w:r w:rsidR="007D3402" w:rsidRPr="007D3402">
        <w:t>M</w:t>
      </w:r>
      <w:r w:rsidRPr="007D3402">
        <w:t>etodológico</w:t>
      </w:r>
      <w:bookmarkEnd w:id="54"/>
      <w:bookmarkEnd w:id="55"/>
    </w:p>
    <w:p w14:paraId="3D3012AB" w14:textId="62984747" w:rsidR="00D961AD" w:rsidRPr="00D961AD" w:rsidRDefault="00D961AD" w:rsidP="00D961AD">
      <w:pPr>
        <w:pStyle w:val="APA"/>
        <w:rPr>
          <w:lang w:val="es-CR" w:eastAsia="es-CR"/>
        </w:rPr>
      </w:pPr>
      <w:r w:rsidRPr="00D961AD">
        <w:rPr>
          <w:lang w:val="es-CR" w:eastAsia="es-CR"/>
        </w:rPr>
        <w:t>El presente marco metodológico se estructura de acuerdo con la Estructura de Desglose del Trabajo (EDT) elaborada para este Proyecto Final de Graduación (véase Anexo 2). La EDT permitió organizar las fases y los entregables principales en correspondencia directa con los objetivos específicos definidos, asegurando coherencia entre la planificación académica y la ejecución del proyecto. Entre las fases establecidas se incluyen el diagnóstico del proceso actual, la revisión de buenas prácticas, la propuesta de mejora, el plan de implementación y las conclusiones con sus respectivas recomendaciones. Cada una de estas fases responde a un objetivo específico, lo que garantiza la trazabilidad del estudio y la alineación entre los resultados esperados y el propósito general del proyecto.</w:t>
      </w:r>
    </w:p>
    <w:p w14:paraId="7848F3D9" w14:textId="77777777" w:rsidR="00D961AD" w:rsidRPr="00D961AD" w:rsidRDefault="00D961AD" w:rsidP="00D961AD">
      <w:pPr>
        <w:pStyle w:val="APA"/>
        <w:rPr>
          <w:lang w:val="es-CR" w:eastAsia="es-CR"/>
        </w:rPr>
      </w:pPr>
      <w:r w:rsidRPr="00D961AD">
        <w:rPr>
          <w:lang w:val="es-CR" w:eastAsia="es-CR"/>
        </w:rPr>
        <w:t>Asimismo, la EDT facilita una secuencia lógica y progresiva de actividades, permite asignar responsabilidades con claridad y funciona como una guía de referencia que garantiza que cada fase del estudio se desarrolle dentro de los tiempos y alcances definidos en el cronograma general del proyecto (véase Anexo 3). Este orden metodológico contribuye a la planificación estructurada del trabajo, al control de los avances y al cumplimiento de los hitos establecidos, fortaleciendo la eficiencia y la consistencia interna del PFG.</w:t>
      </w:r>
    </w:p>
    <w:p w14:paraId="21BFC1D9" w14:textId="77777777" w:rsidR="00D961AD" w:rsidRPr="00D961AD" w:rsidRDefault="00D961AD" w:rsidP="00D961AD">
      <w:pPr>
        <w:pStyle w:val="APA"/>
        <w:rPr>
          <w:lang w:val="es-CR" w:eastAsia="es-CR"/>
        </w:rPr>
      </w:pPr>
      <w:r w:rsidRPr="00D961AD">
        <w:rPr>
          <w:lang w:val="es-CR" w:eastAsia="es-CR"/>
        </w:rPr>
        <w:t xml:space="preserve">De igual forma, la EDT posibilita la integración entre las fases académicas y prácticas del estudio, estableciendo vínculos entre la revisión teórica, la aplicación de metodologías, la propuesta de mejora y la validación de resultados. Esta organización permite que el proyecto mantenga una relación directa con las etapas del ciclo de vida de la investigación, promoviendo una visión sistémica y coordinada del proceso. Además, la </w:t>
      </w:r>
      <w:r w:rsidRPr="00D961AD">
        <w:rPr>
          <w:lang w:val="es-CR" w:eastAsia="es-CR"/>
        </w:rPr>
        <w:lastRenderedPageBreak/>
        <w:t>EDT se articula con los métodos, herramientas y fuentes descritos en este capítulo, lo que refuerza la coherencia metodológica y la transparencia en el desarrollo del trabajo.</w:t>
      </w:r>
    </w:p>
    <w:p w14:paraId="49CF9213" w14:textId="07AF69D8" w:rsidR="00D961AD" w:rsidRPr="00D961AD" w:rsidRDefault="00D961AD" w:rsidP="00D961AD">
      <w:pPr>
        <w:pStyle w:val="APA"/>
        <w:rPr>
          <w:lang w:val="es-CR" w:eastAsia="es-CR"/>
        </w:rPr>
      </w:pPr>
      <w:r w:rsidRPr="00D961AD">
        <w:rPr>
          <w:lang w:val="es-CR" w:eastAsia="es-CR"/>
        </w:rPr>
        <w:t>En este contexto, el presente capítulo describe la metodología utilizada para el desarrollo del tema Propuesta de mejora del proceso de planificación y control en proyectos Design &amp; Build en Contract Workplaces en el sector de diseño y construcción de oficinas corporativas</w:t>
      </w:r>
      <w:r>
        <w:rPr>
          <w:lang w:val="es-CR" w:eastAsia="es-CR"/>
        </w:rPr>
        <w:t>.</w:t>
      </w:r>
      <w:r w:rsidRPr="00D961AD">
        <w:rPr>
          <w:lang w:val="es-CR" w:eastAsia="es-CR"/>
        </w:rPr>
        <w:t xml:space="preserve"> El marco metodológico comprende la definición de fuentes de información, los métodos de investigación aplicados, las herramientas empleadas, así como los supuestos y restricciones del proyecto y los entregables generados. Su finalidad es garantizar que los métodos y herramientas utilizados respondan de manera adecuada a los objetivos planteados, asegurando la validez, confiabilidad y pertinencia de los resultados obtenidos.</w:t>
      </w:r>
    </w:p>
    <w:p w14:paraId="0000013A" w14:textId="41B48A4F" w:rsidR="00A2355F" w:rsidRPr="00E01D79" w:rsidRDefault="007D3402" w:rsidP="00237B6D">
      <w:pPr>
        <w:pStyle w:val="Ttulo2"/>
      </w:pPr>
      <w:bookmarkStart w:id="56" w:name="_Toc200286365"/>
      <w:bookmarkStart w:id="57" w:name="_Toc212406361"/>
      <w:r>
        <w:t xml:space="preserve">3.1 </w:t>
      </w:r>
      <w:r w:rsidR="00990D5A" w:rsidRPr="00E01D79">
        <w:t>Fuentes de información</w:t>
      </w:r>
      <w:bookmarkEnd w:id="56"/>
      <w:bookmarkEnd w:id="57"/>
    </w:p>
    <w:p w14:paraId="134BE0D9" w14:textId="2DC958A9" w:rsidR="00E01D79" w:rsidRPr="004D589C" w:rsidRDefault="004D589C" w:rsidP="00D81025">
      <w:pPr>
        <w:pStyle w:val="Figura1"/>
        <w:rPr>
          <w:lang w:val="es-CR" w:eastAsia="es-CR"/>
        </w:rPr>
      </w:pPr>
      <w:r w:rsidRPr="004D589C">
        <w:rPr>
          <w:lang w:val="es-CR" w:eastAsia="es-CR"/>
        </w:rPr>
        <w:t>Las fuentes de información fueron fundamentales para respaldar el desarrollo del proyecto. Según el Project Management Institute (2021</w:t>
      </w:r>
      <w:r>
        <w:rPr>
          <w:lang w:val="es-CR" w:eastAsia="es-CR"/>
        </w:rPr>
        <w:t xml:space="preserve"> y 2023</w:t>
      </w:r>
      <w:r w:rsidRPr="004D589C">
        <w:rPr>
          <w:lang w:val="es-CR" w:eastAsia="es-CR"/>
        </w:rPr>
        <w:t>), una buena gestión del conocimiento depende de contar con fuentes claras, organizadas y accesibles. Por otro lado, Ballard y Howell (2017) destacan que en proyectos tipo Design &amp; Build es esencial contar con información directa del equipo y documentos técnicos confiables para lograr mejoras efectivas en planificación y control.</w:t>
      </w:r>
    </w:p>
    <w:p w14:paraId="0000013C" w14:textId="603C129C" w:rsidR="00A2355F" w:rsidRPr="00B732CA" w:rsidRDefault="007D3402" w:rsidP="00237B6D">
      <w:pPr>
        <w:pStyle w:val="Ttulo3"/>
      </w:pPr>
      <w:bookmarkStart w:id="58" w:name="_Toc212406362"/>
      <w:r>
        <w:t xml:space="preserve">3.1.1 </w:t>
      </w:r>
      <w:r w:rsidR="00990D5A" w:rsidRPr="00B732CA">
        <w:t>Fuentes primarias</w:t>
      </w:r>
      <w:bookmarkEnd w:id="58"/>
    </w:p>
    <w:p w14:paraId="603E5184" w14:textId="568EC557" w:rsidR="00D86E4A" w:rsidRPr="00B732CA" w:rsidRDefault="00D86E4A" w:rsidP="00D81025">
      <w:pPr>
        <w:pStyle w:val="Figura1"/>
        <w:rPr>
          <w:lang w:val="es-CR" w:eastAsia="es-CR"/>
        </w:rPr>
      </w:pPr>
      <w:r w:rsidRPr="00B732CA">
        <w:t>Las fuentes primarias se defin</w:t>
      </w:r>
      <w:r w:rsidR="00834489">
        <w:t xml:space="preserve">ieron </w:t>
      </w:r>
      <w:r w:rsidRPr="00B732CA">
        <w:t>como aquellas que proporcionan información de primera mano. De acuerdo</w:t>
      </w:r>
      <w:r w:rsidRPr="00B732CA">
        <w:rPr>
          <w:lang w:val="es-CR" w:eastAsia="es-CR"/>
        </w:rPr>
        <w:t xml:space="preserve"> con Bernal (2018), se trata de “datos originales obtenidos directamente del objeto de estudio a través de técnicas como entrevistas, encuestas, observación directa o documentos internos no publicados” (p. 115). Por su parte, </w:t>
      </w:r>
      <w:r w:rsidRPr="00B732CA">
        <w:rPr>
          <w:lang w:val="es-CR" w:eastAsia="es-CR"/>
        </w:rPr>
        <w:lastRenderedPageBreak/>
        <w:t>Hernández Sampieri et al. (2018) indican que estas fuentes son fundamentales cuando se busca describir o entender fenómenos específicos en contextos reales.</w:t>
      </w:r>
    </w:p>
    <w:p w14:paraId="28CECF3B" w14:textId="7FC20073" w:rsidR="00E01D79" w:rsidRPr="00B732CA" w:rsidRDefault="00D86E4A" w:rsidP="00D81025">
      <w:pPr>
        <w:pStyle w:val="Figura1"/>
        <w:rPr>
          <w:lang w:val="es-CR" w:eastAsia="es-CR"/>
        </w:rPr>
      </w:pPr>
      <w:r w:rsidRPr="00B732CA">
        <w:rPr>
          <w:lang w:val="es-CR" w:eastAsia="es-CR"/>
        </w:rPr>
        <w:t>En esta investigación</w:t>
      </w:r>
      <w:r w:rsidRPr="000067A4">
        <w:rPr>
          <w:lang w:val="es-CR" w:eastAsia="es-CR"/>
        </w:rPr>
        <w:t>, las fuentes primarias incluyeron la revisión de documentos internos generados por Contract Workplaces, como cronogramas de obra, reportes de avance, matrices de planificación, manuales operativos e instructivos.</w:t>
      </w:r>
      <w:r w:rsidRPr="00B732CA">
        <w:rPr>
          <w:lang w:val="es-CR" w:eastAsia="es-CR"/>
        </w:rPr>
        <w:t xml:space="preserve"> Además, se recogieron testimonios verbales obtenidos durante sesiones internas de retroalimentación con miembros del equipo de diseño y planificación. Esta información directa y actualizada permitió comprender con precisión la estructura organizativa de los procesos bajo la modalidad </w:t>
      </w:r>
      <w:r w:rsidRPr="00B732CA">
        <w:rPr>
          <w:i/>
          <w:iCs/>
          <w:lang w:val="es-CR" w:eastAsia="es-CR"/>
        </w:rPr>
        <w:t>Design &amp; Build</w:t>
      </w:r>
      <w:r w:rsidRPr="00B732CA">
        <w:rPr>
          <w:lang w:val="es-CR" w:eastAsia="es-CR"/>
        </w:rPr>
        <w:t>, así como identificar oportunidades concretas de mejora.</w:t>
      </w:r>
    </w:p>
    <w:p w14:paraId="0000013F" w14:textId="22EBBE53" w:rsidR="00A2355F" w:rsidRPr="00B732CA" w:rsidRDefault="007D3402" w:rsidP="00237B6D">
      <w:pPr>
        <w:pStyle w:val="Ttulo3"/>
      </w:pPr>
      <w:bookmarkStart w:id="59" w:name="_Toc212406363"/>
      <w:r>
        <w:t xml:space="preserve">3.1.2 </w:t>
      </w:r>
      <w:r w:rsidR="00990D5A" w:rsidRPr="00B732CA">
        <w:t>Fuentes secundarias</w:t>
      </w:r>
      <w:bookmarkEnd w:id="59"/>
    </w:p>
    <w:p w14:paraId="3A6CDFC1" w14:textId="22CF95F4" w:rsidR="00D86E4A" w:rsidRPr="00B732CA" w:rsidRDefault="00D86E4A" w:rsidP="00D81025">
      <w:pPr>
        <w:pStyle w:val="Figura1"/>
        <w:rPr>
          <w:lang w:val="es-CR" w:eastAsia="es-CR"/>
        </w:rPr>
      </w:pPr>
      <w:r w:rsidRPr="00B732CA">
        <w:rPr>
          <w:lang w:val="es-CR" w:eastAsia="es-CR"/>
        </w:rPr>
        <w:t xml:space="preserve">Las fuentes secundarias </w:t>
      </w:r>
      <w:r w:rsidR="00834489">
        <w:rPr>
          <w:lang w:val="es-CR" w:eastAsia="es-CR"/>
        </w:rPr>
        <w:t>fueron</w:t>
      </w:r>
      <w:r w:rsidRPr="00B732CA">
        <w:rPr>
          <w:lang w:val="es-CR" w:eastAsia="es-CR"/>
        </w:rPr>
        <w:t xml:space="preserve"> aquellas que contienen información previamente recopilada y analizada por otros autores o instituciones. Según Sampieri et al. (2018), incluyen “libros, artículos científicos, tesis, reportes técnicos, documentos normativos y estadísticas que han sido organizadas para fines informativos o de análisis” (p. 140). Gallardo (2020) agreg</w:t>
      </w:r>
      <w:r w:rsidR="00834489">
        <w:rPr>
          <w:lang w:val="es-CR" w:eastAsia="es-CR"/>
        </w:rPr>
        <w:t>ó</w:t>
      </w:r>
      <w:r w:rsidRPr="00B732CA">
        <w:rPr>
          <w:lang w:val="es-CR" w:eastAsia="es-CR"/>
        </w:rPr>
        <w:t xml:space="preserve"> que estas fuentes permiten establecer una base conceptual sólida, así como realizar comparaciones con otros contextos o experiencias.</w:t>
      </w:r>
    </w:p>
    <w:p w14:paraId="79A128E0" w14:textId="50983696" w:rsidR="00807963" w:rsidRPr="00807963" w:rsidRDefault="00D86E4A" w:rsidP="00D81025">
      <w:pPr>
        <w:pStyle w:val="Figura1"/>
        <w:rPr>
          <w:lang w:val="es-CR" w:eastAsia="es-CR"/>
        </w:rPr>
      </w:pPr>
      <w:r w:rsidRPr="00B732CA">
        <w:rPr>
          <w:lang w:val="es-CR" w:eastAsia="es-CR"/>
        </w:rPr>
        <w:t xml:space="preserve">Este proyecto utilizó fuentes secundarias como las guías y estándares del PMI (2021, 2023), libros sobre gestión de procesos (Dumas et al., 2018), artículos académicos sobre la metodología </w:t>
      </w:r>
      <w:r w:rsidRPr="00B732CA">
        <w:rPr>
          <w:i/>
          <w:iCs/>
          <w:lang w:val="es-CR" w:eastAsia="es-CR"/>
        </w:rPr>
        <w:t>Design &amp; Build</w:t>
      </w:r>
      <w:r w:rsidRPr="00B732CA">
        <w:rPr>
          <w:lang w:val="es-CR" w:eastAsia="es-CR"/>
        </w:rPr>
        <w:t xml:space="preserve"> y estudios de caso publicados en revistas científicas. También se emplearon informes de consultoras como McKinsey &amp; Company (2017), que aportaron evidencia empírica sobre eficiencia y buenas prácticas en la industria de la construcción.</w:t>
      </w:r>
    </w:p>
    <w:p w14:paraId="24A269CD" w14:textId="50D0F186" w:rsidR="00807963" w:rsidRDefault="00E02D78" w:rsidP="00D81025">
      <w:r>
        <w:t>El resumen de las fuentes de información que se utilizaron en este proyecto se presenta en la Tabla 1:</w:t>
      </w:r>
    </w:p>
    <w:p w14:paraId="5162D692" w14:textId="77777777" w:rsidR="00A6303F" w:rsidRDefault="00A6303F" w:rsidP="008813FA">
      <w:pPr>
        <w:ind w:firstLine="0"/>
      </w:pPr>
    </w:p>
    <w:p w14:paraId="56E0D558" w14:textId="7F75AB0F" w:rsidR="00CA7A66" w:rsidRDefault="00CA7A66" w:rsidP="00D81025">
      <w:pPr>
        <w:pBdr>
          <w:top w:val="nil"/>
          <w:left w:val="nil"/>
          <w:bottom w:val="nil"/>
          <w:right w:val="nil"/>
          <w:between w:val="nil"/>
        </w:pBdr>
        <w:spacing w:after="200"/>
        <w:ind w:firstLine="0"/>
        <w:rPr>
          <w:b/>
          <w:color w:val="000000"/>
        </w:rPr>
      </w:pPr>
      <w:bookmarkStart w:id="60" w:name="_Toc210425788"/>
      <w:r w:rsidRPr="00CA7A66">
        <w:rPr>
          <w:b/>
          <w:color w:val="000000"/>
        </w:rPr>
        <w:t xml:space="preserve">Tabla </w:t>
      </w:r>
      <w:r w:rsidRPr="00CA7A66">
        <w:rPr>
          <w:b/>
          <w:color w:val="000000"/>
        </w:rPr>
        <w:fldChar w:fldCharType="begin"/>
      </w:r>
      <w:r w:rsidRPr="00CA7A66">
        <w:rPr>
          <w:b/>
          <w:color w:val="000000"/>
        </w:rPr>
        <w:instrText xml:space="preserve"> SEQ Tabla \* ARABIC </w:instrText>
      </w:r>
      <w:r w:rsidRPr="00CA7A66">
        <w:rPr>
          <w:b/>
          <w:color w:val="000000"/>
        </w:rPr>
        <w:fldChar w:fldCharType="separate"/>
      </w:r>
      <w:r w:rsidR="00795FC2">
        <w:rPr>
          <w:b/>
          <w:noProof/>
          <w:color w:val="000000"/>
        </w:rPr>
        <w:t>1</w:t>
      </w:r>
      <w:bookmarkEnd w:id="60"/>
      <w:r w:rsidRPr="00CA7A66">
        <w:rPr>
          <w:b/>
          <w:color w:val="000000"/>
        </w:rPr>
        <w:fldChar w:fldCharType="end"/>
      </w:r>
    </w:p>
    <w:p w14:paraId="4F56879F" w14:textId="0B26B62B" w:rsidR="00CA7A66" w:rsidRPr="00CA7A66" w:rsidRDefault="00CA7A66" w:rsidP="00D81025">
      <w:pPr>
        <w:pBdr>
          <w:top w:val="nil"/>
          <w:left w:val="nil"/>
          <w:bottom w:val="nil"/>
          <w:right w:val="nil"/>
          <w:between w:val="nil"/>
        </w:pBdr>
        <w:spacing w:after="200"/>
        <w:ind w:firstLine="0"/>
        <w:rPr>
          <w:i/>
          <w:color w:val="000000"/>
        </w:rPr>
      </w:pPr>
      <w:r>
        <w:rPr>
          <w:i/>
          <w:color w:val="000000"/>
        </w:rPr>
        <w:t>Fuentes de Información Utilizadas</w:t>
      </w:r>
    </w:p>
    <w:tbl>
      <w:tblPr>
        <w:tblStyle w:val="24"/>
        <w:tblW w:w="936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16"/>
        <w:gridCol w:w="3149"/>
        <w:gridCol w:w="3297"/>
      </w:tblGrid>
      <w:tr w:rsidR="00A2355F" w14:paraId="5C3EE26A" w14:textId="77777777" w:rsidTr="00D23DCD">
        <w:trPr>
          <w:trHeight w:val="276"/>
        </w:trPr>
        <w:tc>
          <w:tcPr>
            <w:tcW w:w="2916" w:type="dxa"/>
            <w:vMerge w:val="restart"/>
          </w:tcPr>
          <w:p w14:paraId="00000146" w14:textId="77777777" w:rsidR="00A2355F" w:rsidRDefault="00990D5A" w:rsidP="00D81025">
            <w:r>
              <w:t>Objetivos</w:t>
            </w:r>
          </w:p>
        </w:tc>
        <w:tc>
          <w:tcPr>
            <w:tcW w:w="6446" w:type="dxa"/>
            <w:gridSpan w:val="2"/>
          </w:tcPr>
          <w:p w14:paraId="00000147" w14:textId="77777777" w:rsidR="00A2355F" w:rsidRDefault="00990D5A" w:rsidP="00D81025">
            <w:pPr>
              <w:jc w:val="center"/>
            </w:pPr>
            <w:r>
              <w:t>Fuentes de Información</w:t>
            </w:r>
          </w:p>
        </w:tc>
      </w:tr>
      <w:tr w:rsidR="00A2355F" w14:paraId="7380EFE5" w14:textId="77777777" w:rsidTr="00D23DCD">
        <w:trPr>
          <w:trHeight w:val="147"/>
        </w:trPr>
        <w:tc>
          <w:tcPr>
            <w:tcW w:w="2916" w:type="dxa"/>
            <w:vMerge/>
          </w:tcPr>
          <w:p w14:paraId="00000149" w14:textId="77777777" w:rsidR="00A2355F" w:rsidRDefault="00A2355F" w:rsidP="00D81025">
            <w:pPr>
              <w:widowControl w:val="0"/>
              <w:pBdr>
                <w:top w:val="nil"/>
                <w:left w:val="nil"/>
                <w:bottom w:val="nil"/>
                <w:right w:val="nil"/>
                <w:between w:val="nil"/>
              </w:pBdr>
              <w:ind w:firstLine="0"/>
            </w:pPr>
          </w:p>
        </w:tc>
        <w:tc>
          <w:tcPr>
            <w:tcW w:w="3149" w:type="dxa"/>
          </w:tcPr>
          <w:p w14:paraId="0000014A" w14:textId="77777777" w:rsidR="00A2355F" w:rsidRDefault="00990D5A" w:rsidP="00D81025">
            <w:r>
              <w:t>Primarias</w:t>
            </w:r>
          </w:p>
        </w:tc>
        <w:tc>
          <w:tcPr>
            <w:tcW w:w="3297" w:type="dxa"/>
          </w:tcPr>
          <w:p w14:paraId="0000014B" w14:textId="77777777" w:rsidR="00A2355F" w:rsidRDefault="00990D5A" w:rsidP="00D81025">
            <w:r>
              <w:t>Secundarias</w:t>
            </w:r>
          </w:p>
        </w:tc>
      </w:tr>
      <w:tr w:rsidR="00A2355F" w14:paraId="348019E8" w14:textId="77777777" w:rsidTr="00D23DCD">
        <w:trPr>
          <w:trHeight w:val="1136"/>
        </w:trPr>
        <w:tc>
          <w:tcPr>
            <w:tcW w:w="2916" w:type="dxa"/>
          </w:tcPr>
          <w:p w14:paraId="5AF8CE8F" w14:textId="1EC683B4" w:rsidR="00A2355F" w:rsidRDefault="00990D5A" w:rsidP="00D81025">
            <w:pPr>
              <w:ind w:firstLine="0"/>
            </w:pPr>
            <w:r>
              <w:t xml:space="preserve">1. </w:t>
            </w:r>
            <w:r w:rsidR="00807963">
              <w:rPr>
                <w:highlight w:val="white"/>
              </w:rPr>
              <w:t>Analizar el</w:t>
            </w:r>
            <w:r w:rsidR="0059220D">
              <w:rPr>
                <w:highlight w:val="white"/>
              </w:rPr>
              <w:t xml:space="preserve"> grupo de </w:t>
            </w:r>
            <w:r w:rsidR="00807963">
              <w:rPr>
                <w:highlight w:val="white"/>
              </w:rPr>
              <w:t xml:space="preserve"> proceso</w:t>
            </w:r>
            <w:r w:rsidR="0059220D">
              <w:rPr>
                <w:highlight w:val="white"/>
              </w:rPr>
              <w:t>s</w:t>
            </w:r>
            <w:r w:rsidR="00807963">
              <w:rPr>
                <w:highlight w:val="white"/>
              </w:rPr>
              <w:t xml:space="preserve"> actual de planificación y control de proyectos “Design &amp; Build” en Contract Workplaces, para identificar las fortalezas, debilidades y oportunidades de </w:t>
            </w:r>
            <w:r w:rsidR="00807963" w:rsidRPr="00990C1A">
              <w:t>mejora.</w:t>
            </w:r>
          </w:p>
          <w:p w14:paraId="0000014C" w14:textId="0FD37650" w:rsidR="00807963" w:rsidRDefault="00807963" w:rsidP="00D81025">
            <w:pPr>
              <w:ind w:firstLine="0"/>
            </w:pPr>
          </w:p>
        </w:tc>
        <w:tc>
          <w:tcPr>
            <w:tcW w:w="3149" w:type="dxa"/>
          </w:tcPr>
          <w:p w14:paraId="28371239" w14:textId="77777777" w:rsidR="00E01D79" w:rsidRPr="000067A4" w:rsidRDefault="00E01D79" w:rsidP="00D81025">
            <w:pPr>
              <w:ind w:firstLine="0"/>
            </w:pPr>
            <w:r w:rsidRPr="000067A4">
              <w:t>Revisión de cronogramas de obra, reportes de avance y matrices de planificación internas</w:t>
            </w:r>
          </w:p>
          <w:p w14:paraId="0000014D" w14:textId="28810FAA" w:rsidR="00A2355F" w:rsidRPr="000067A4" w:rsidRDefault="00A2355F" w:rsidP="00D81025">
            <w:pPr>
              <w:ind w:firstLine="0"/>
            </w:pPr>
          </w:p>
        </w:tc>
        <w:tc>
          <w:tcPr>
            <w:tcW w:w="3297" w:type="dxa"/>
          </w:tcPr>
          <w:p w14:paraId="0000014E" w14:textId="4247FFA5" w:rsidR="00A2355F" w:rsidRPr="00A53C01" w:rsidRDefault="00A6303F" w:rsidP="00D81025">
            <w:pPr>
              <w:ind w:firstLine="0"/>
            </w:pPr>
            <w:r w:rsidRPr="00A53C01">
              <w:t xml:space="preserve">Project Management Institute. (2023). </w:t>
            </w:r>
            <w:r w:rsidRPr="00A53C01">
              <w:rPr>
                <w:i/>
                <w:iCs/>
              </w:rPr>
              <w:t>Guía práctica de grupos de procesos para la dirección de proyectos</w:t>
            </w:r>
            <w:r w:rsidRPr="00A53C01">
              <w:t>. Project Management Institute.</w:t>
            </w:r>
          </w:p>
        </w:tc>
      </w:tr>
      <w:tr w:rsidR="000B3CC2" w14:paraId="3A479060" w14:textId="77777777" w:rsidTr="000B3CC2">
        <w:trPr>
          <w:trHeight w:val="1136"/>
        </w:trPr>
        <w:tc>
          <w:tcPr>
            <w:tcW w:w="2916" w:type="dxa"/>
          </w:tcPr>
          <w:p w14:paraId="288F755F" w14:textId="77777777" w:rsidR="000B3CC2" w:rsidRDefault="000B3CC2" w:rsidP="00D81025">
            <w:pPr>
              <w:ind w:firstLine="0"/>
            </w:pPr>
            <w:r>
              <w:t xml:space="preserve">2. </w:t>
            </w:r>
            <w:r>
              <w:rPr>
                <w:highlight w:val="white"/>
              </w:rPr>
              <w:t>Determinar las necesidades de integración entre diseño y ejecución, para fortalecer la toma de decisiones durante la ejecución del proyecto.</w:t>
            </w:r>
          </w:p>
          <w:p w14:paraId="73D83FDB" w14:textId="77777777" w:rsidR="000B3CC2" w:rsidRDefault="000B3CC2" w:rsidP="00D81025">
            <w:pPr>
              <w:ind w:firstLine="0"/>
            </w:pPr>
          </w:p>
        </w:tc>
        <w:tc>
          <w:tcPr>
            <w:tcW w:w="3149" w:type="dxa"/>
          </w:tcPr>
          <w:p w14:paraId="6F763744" w14:textId="77777777" w:rsidR="000B3CC2" w:rsidRPr="00AE4839" w:rsidRDefault="000B3CC2" w:rsidP="00D81025">
            <w:pPr>
              <w:ind w:firstLine="0"/>
            </w:pPr>
            <w:r w:rsidRPr="00AE4839">
              <w:t>Manuales operativos, testimonios informales de equipo de diseño y planificación</w:t>
            </w:r>
          </w:p>
          <w:p w14:paraId="4A16BC07" w14:textId="77777777" w:rsidR="000B3CC2" w:rsidRPr="00AE4839" w:rsidRDefault="000B3CC2" w:rsidP="00D81025">
            <w:pPr>
              <w:ind w:firstLine="0"/>
            </w:pPr>
          </w:p>
        </w:tc>
        <w:tc>
          <w:tcPr>
            <w:tcW w:w="3297" w:type="dxa"/>
          </w:tcPr>
          <w:p w14:paraId="6096D86D" w14:textId="77777777" w:rsidR="000B3CC2" w:rsidRPr="00990C1A" w:rsidRDefault="000B3CC2" w:rsidP="00D81025">
            <w:pPr>
              <w:ind w:firstLine="0"/>
              <w:rPr>
                <w:highlight w:val="white"/>
              </w:rPr>
            </w:pPr>
            <w:r w:rsidRPr="00990C1A">
              <w:rPr>
                <w:highlight w:val="white"/>
              </w:rPr>
              <w:t>Chaves y González (2020), El Asmar et al. (2018), Ballard &amp; Howell (2017)</w:t>
            </w:r>
          </w:p>
          <w:p w14:paraId="653841F7" w14:textId="77777777" w:rsidR="000B3CC2" w:rsidRPr="000B3CC2" w:rsidRDefault="000B3CC2" w:rsidP="00D81025">
            <w:pPr>
              <w:ind w:firstLine="0"/>
              <w:rPr>
                <w:highlight w:val="yellow"/>
              </w:rPr>
            </w:pPr>
          </w:p>
        </w:tc>
      </w:tr>
      <w:tr w:rsidR="000B3CC2" w14:paraId="10871AE7" w14:textId="77777777" w:rsidTr="000B3CC2">
        <w:trPr>
          <w:trHeight w:val="1136"/>
        </w:trPr>
        <w:tc>
          <w:tcPr>
            <w:tcW w:w="2916" w:type="dxa"/>
          </w:tcPr>
          <w:p w14:paraId="03935D44" w14:textId="1F6E18AB" w:rsidR="000B3CC2" w:rsidRDefault="000B3CC2" w:rsidP="00D81025">
            <w:pPr>
              <w:ind w:firstLine="0"/>
            </w:pPr>
            <w:r>
              <w:lastRenderedPageBreak/>
              <w:t xml:space="preserve">3. </w:t>
            </w:r>
            <w:r>
              <w:rPr>
                <w:highlight w:val="white"/>
              </w:rPr>
              <w:t>Diseñar propuestas de mejora en los procesos de planificación y control, para optimizar la integración entre diseño y construcción y mejorar los resultados del proyecto.</w:t>
            </w:r>
          </w:p>
          <w:p w14:paraId="645421EF" w14:textId="77777777" w:rsidR="000B3CC2" w:rsidRDefault="000B3CC2" w:rsidP="00D81025">
            <w:pPr>
              <w:ind w:firstLine="0"/>
            </w:pPr>
          </w:p>
        </w:tc>
        <w:tc>
          <w:tcPr>
            <w:tcW w:w="3149" w:type="dxa"/>
          </w:tcPr>
          <w:p w14:paraId="57955FEB" w14:textId="77777777" w:rsidR="000B3CC2" w:rsidRPr="00990C1A" w:rsidRDefault="000B3CC2" w:rsidP="00D81025">
            <w:pPr>
              <w:ind w:firstLine="0"/>
              <w:rPr>
                <w:highlight w:val="white"/>
              </w:rPr>
            </w:pPr>
            <w:r w:rsidRPr="00990C1A">
              <w:rPr>
                <w:highlight w:val="white"/>
              </w:rPr>
              <w:t>Documentación interna sobre procesos previos y resultados de proyectos anteriores</w:t>
            </w:r>
          </w:p>
          <w:p w14:paraId="0AA6AC16" w14:textId="77777777" w:rsidR="000B3CC2" w:rsidRPr="00990C1A" w:rsidRDefault="000B3CC2" w:rsidP="00D81025">
            <w:pPr>
              <w:ind w:firstLine="0"/>
              <w:rPr>
                <w:highlight w:val="white"/>
              </w:rPr>
            </w:pPr>
          </w:p>
        </w:tc>
        <w:tc>
          <w:tcPr>
            <w:tcW w:w="3297" w:type="dxa"/>
          </w:tcPr>
          <w:p w14:paraId="37248ECD" w14:textId="00595809" w:rsidR="000B3CC2" w:rsidRPr="00990C1A" w:rsidRDefault="000B3CC2" w:rsidP="00D81025">
            <w:pPr>
              <w:ind w:firstLine="0"/>
              <w:rPr>
                <w:highlight w:val="white"/>
              </w:rPr>
            </w:pPr>
            <w:r w:rsidRPr="00AE4839">
              <w:rPr>
                <w:lang w:val="da-DK"/>
              </w:rPr>
              <w:t xml:space="preserve">Kotter (2021). </w:t>
            </w:r>
            <w:r w:rsidRPr="00AE4839">
              <w:rPr>
                <w:i/>
                <w:iCs/>
                <w:lang w:val="da-DK"/>
              </w:rPr>
              <w:t>Change: How Organizations Achieve Hard-to-Imagine Results</w:t>
            </w:r>
            <w:r w:rsidRPr="00AE4839">
              <w:rPr>
                <w:lang w:val="da-DK"/>
              </w:rPr>
              <w:t xml:space="preserve">; El Asmar et al. </w:t>
            </w:r>
            <w:r w:rsidRPr="00B732CA">
              <w:t>(2018); Hammer &amp; Champy (2019)</w:t>
            </w:r>
          </w:p>
        </w:tc>
      </w:tr>
      <w:tr w:rsidR="000B3CC2" w14:paraId="2AB19E1D" w14:textId="77777777" w:rsidTr="000B3CC2">
        <w:trPr>
          <w:trHeight w:val="1136"/>
        </w:trPr>
        <w:tc>
          <w:tcPr>
            <w:tcW w:w="2916" w:type="dxa"/>
          </w:tcPr>
          <w:p w14:paraId="4CC45FC9" w14:textId="77777777" w:rsidR="000B3CC2" w:rsidRDefault="000B3CC2" w:rsidP="00D81025">
            <w:pPr>
              <w:ind w:firstLine="0"/>
            </w:pPr>
            <w:r>
              <w:rPr>
                <w:highlight w:val="white"/>
              </w:rPr>
              <w:t>4.</w:t>
            </w:r>
            <w:r w:rsidRPr="00E01D79">
              <w:rPr>
                <w:highlight w:val="white"/>
              </w:rPr>
              <w:t>Desarrollar un plan de implementación de las mejoras propuestas, para facilitar su adopción en los proyectos futuros.</w:t>
            </w:r>
          </w:p>
          <w:p w14:paraId="0AD3687C" w14:textId="77777777" w:rsidR="000B3CC2" w:rsidRDefault="000B3CC2" w:rsidP="00D81025">
            <w:pPr>
              <w:ind w:firstLine="0"/>
            </w:pPr>
          </w:p>
        </w:tc>
        <w:tc>
          <w:tcPr>
            <w:tcW w:w="3149" w:type="dxa"/>
          </w:tcPr>
          <w:p w14:paraId="04EBCABE" w14:textId="77777777" w:rsidR="000B3CC2" w:rsidRPr="00990C1A" w:rsidRDefault="000B3CC2" w:rsidP="00D81025">
            <w:pPr>
              <w:ind w:firstLine="0"/>
              <w:rPr>
                <w:highlight w:val="white"/>
              </w:rPr>
            </w:pPr>
            <w:r w:rsidRPr="00990C1A">
              <w:rPr>
                <w:highlight w:val="white"/>
              </w:rPr>
              <w:t>Validación en sesiones internas con stakeholders</w:t>
            </w:r>
          </w:p>
          <w:p w14:paraId="6B5C14B7" w14:textId="77777777" w:rsidR="000B3CC2" w:rsidRPr="00990C1A" w:rsidRDefault="000B3CC2" w:rsidP="00D81025">
            <w:pPr>
              <w:ind w:firstLine="0"/>
              <w:rPr>
                <w:highlight w:val="white"/>
              </w:rPr>
            </w:pPr>
          </w:p>
        </w:tc>
        <w:tc>
          <w:tcPr>
            <w:tcW w:w="3297" w:type="dxa"/>
          </w:tcPr>
          <w:p w14:paraId="54A27EF8" w14:textId="77777777" w:rsidR="000B3CC2" w:rsidRPr="00990C1A" w:rsidRDefault="000B3CC2" w:rsidP="00D81025">
            <w:pPr>
              <w:ind w:firstLine="0"/>
              <w:rPr>
                <w:highlight w:val="white"/>
              </w:rPr>
            </w:pPr>
            <w:r w:rsidRPr="00990C1A">
              <w:rPr>
                <w:highlight w:val="white"/>
              </w:rPr>
              <w:t>Dumas et al. (2018), Hammer y Champy (2019)</w:t>
            </w:r>
          </w:p>
          <w:p w14:paraId="4693AF1C" w14:textId="77777777" w:rsidR="000B3CC2" w:rsidRPr="00D97B5C" w:rsidRDefault="000B3CC2" w:rsidP="00D81025">
            <w:pPr>
              <w:ind w:firstLine="0"/>
              <w:rPr>
                <w:highlight w:val="yellow"/>
              </w:rPr>
            </w:pPr>
          </w:p>
        </w:tc>
      </w:tr>
      <w:tr w:rsidR="000B3CC2" w14:paraId="2490605D" w14:textId="77777777" w:rsidTr="000B3CC2">
        <w:trPr>
          <w:trHeight w:val="1136"/>
        </w:trPr>
        <w:tc>
          <w:tcPr>
            <w:tcW w:w="2916" w:type="dxa"/>
          </w:tcPr>
          <w:p w14:paraId="719BC1B0" w14:textId="4AA51C45" w:rsidR="000B3CC2" w:rsidRDefault="000B3CC2" w:rsidP="00D81025">
            <w:pPr>
              <w:ind w:firstLine="0"/>
              <w:rPr>
                <w:highlight w:val="white"/>
              </w:rPr>
            </w:pPr>
            <w:r w:rsidRPr="00990C1A">
              <w:rPr>
                <w:highlight w:val="white"/>
              </w:rPr>
              <w:t>5.</w:t>
            </w:r>
            <w:r>
              <w:rPr>
                <w:highlight w:val="white"/>
              </w:rPr>
              <w:t xml:space="preserve"> </w:t>
            </w:r>
            <w:r w:rsidRPr="00990C1A">
              <w:rPr>
                <w:highlight w:val="white"/>
              </w:rPr>
              <w:t>Comparar los procesos actuales con las propuestas de mejora desarrolladas, para identificar sus principales diferencias y beneficios en la gestión de proyectos “Design &amp; Build” en Contract Workplaces.</w:t>
            </w:r>
          </w:p>
        </w:tc>
        <w:tc>
          <w:tcPr>
            <w:tcW w:w="3149" w:type="dxa"/>
          </w:tcPr>
          <w:p w14:paraId="34E0D8F7" w14:textId="77777777" w:rsidR="000B3CC2" w:rsidRPr="00990C1A" w:rsidRDefault="000B3CC2" w:rsidP="00D81025">
            <w:pPr>
              <w:ind w:firstLine="0"/>
              <w:rPr>
                <w:highlight w:val="white"/>
              </w:rPr>
            </w:pPr>
            <w:r w:rsidRPr="00990C1A">
              <w:rPr>
                <w:highlight w:val="white"/>
              </w:rPr>
              <w:t>Comparación documental entre procesos actuales y propuestos</w:t>
            </w:r>
          </w:p>
          <w:p w14:paraId="7F627618" w14:textId="77777777" w:rsidR="000B3CC2" w:rsidRPr="00990C1A" w:rsidRDefault="000B3CC2" w:rsidP="00D81025">
            <w:pPr>
              <w:ind w:firstLine="0"/>
              <w:rPr>
                <w:highlight w:val="white"/>
              </w:rPr>
            </w:pPr>
          </w:p>
        </w:tc>
        <w:tc>
          <w:tcPr>
            <w:tcW w:w="3297" w:type="dxa"/>
          </w:tcPr>
          <w:p w14:paraId="2DC3CA30" w14:textId="77777777" w:rsidR="000B3CC2" w:rsidRPr="00990C1A" w:rsidRDefault="000B3CC2" w:rsidP="00D81025">
            <w:pPr>
              <w:ind w:firstLine="0"/>
              <w:rPr>
                <w:highlight w:val="white"/>
              </w:rPr>
            </w:pPr>
            <w:r w:rsidRPr="00990C1A">
              <w:rPr>
                <w:highlight w:val="white"/>
              </w:rPr>
              <w:t>Mollaoglu et al. (2017), McKinsey Global Institute (2017)</w:t>
            </w:r>
          </w:p>
          <w:p w14:paraId="7F596BFA" w14:textId="77777777" w:rsidR="000B3CC2" w:rsidRPr="00990C1A" w:rsidRDefault="000B3CC2" w:rsidP="00D81025">
            <w:pPr>
              <w:ind w:firstLine="0"/>
              <w:rPr>
                <w:highlight w:val="white"/>
              </w:rPr>
            </w:pPr>
          </w:p>
        </w:tc>
      </w:tr>
    </w:tbl>
    <w:p w14:paraId="3889B9B2" w14:textId="6B2834EC" w:rsidR="00EB01E5" w:rsidRDefault="00EB01E5" w:rsidP="00D81025">
      <w:pPr>
        <w:ind w:firstLine="0"/>
      </w:pPr>
      <w:r w:rsidRPr="00EB01E5">
        <w:rPr>
          <w:i/>
          <w:iCs/>
        </w:rPr>
        <w:lastRenderedPageBreak/>
        <w:t>Nota</w:t>
      </w:r>
      <w:r>
        <w:rPr>
          <w:i/>
          <w:iCs/>
        </w:rPr>
        <w:t>:</w:t>
      </w:r>
      <w:r w:rsidRPr="00EB01E5">
        <w:t xml:space="preserve"> </w:t>
      </w:r>
      <w:r w:rsidRPr="00EB01E5">
        <w:rPr>
          <w:i/>
          <w:iCs/>
        </w:rPr>
        <w:t>Fuente: Elaboración propia.</w:t>
      </w:r>
      <w:r w:rsidRPr="00EB01E5">
        <w:br/>
        <w:t>La Tabla 1 muestra las fuentes de información utilizadas en correspondencia con cada objetivo, según sean primarias o secundarias</w:t>
      </w:r>
    </w:p>
    <w:p w14:paraId="4D35E80B" w14:textId="77777777" w:rsidR="00E01D79" w:rsidRDefault="00E01D79" w:rsidP="00D81025">
      <w:pPr>
        <w:ind w:firstLine="0"/>
      </w:pPr>
    </w:p>
    <w:p w14:paraId="00000154" w14:textId="0CC8075E" w:rsidR="00A2355F" w:rsidRDefault="007D3402" w:rsidP="00237B6D">
      <w:pPr>
        <w:pStyle w:val="Ttulo2"/>
      </w:pPr>
      <w:bookmarkStart w:id="61" w:name="_Toc200286366"/>
      <w:bookmarkStart w:id="62" w:name="_Toc212406364"/>
      <w:r>
        <w:t xml:space="preserve">3.2 </w:t>
      </w:r>
      <w:r w:rsidR="00990D5A">
        <w:t>Métodos de Investigación</w:t>
      </w:r>
      <w:bookmarkEnd w:id="61"/>
      <w:bookmarkEnd w:id="62"/>
    </w:p>
    <w:p w14:paraId="6597A187" w14:textId="364B92C6" w:rsidR="00A6303F" w:rsidRPr="00A53C01" w:rsidRDefault="00A6303F" w:rsidP="00D81025">
      <w:pPr>
        <w:pStyle w:val="Figura1"/>
      </w:pPr>
      <w:r w:rsidRPr="00A53C01">
        <w:t xml:space="preserve">Los métodos de investigación </w:t>
      </w:r>
      <w:r w:rsidR="00834489">
        <w:t>fueron</w:t>
      </w:r>
      <w:r w:rsidRPr="00A53C01">
        <w:t xml:space="preserve"> herramientas que permit</w:t>
      </w:r>
      <w:r w:rsidR="00834489">
        <w:t>ieron</w:t>
      </w:r>
      <w:r w:rsidRPr="00A53C01">
        <w:t xml:space="preserve"> organizar de forma sistemática el estudio de un fenómeno. Su función </w:t>
      </w:r>
      <w:r w:rsidR="00834489">
        <w:t>fue</w:t>
      </w:r>
      <w:r w:rsidRPr="00A53C01">
        <w:t xml:space="preserve"> facilitar la recolección, análisis e interpretación de datos para extraer conclusiones útiles. Según Hernández Sampieri, Fernández Collado y Baptista Lucio (2018), un método constituye una estrategia que orienta la obtención de conocimientos nuevos o la confirmación de ideas. Por su parte, Arias (2019) sostiene que los métodos posibilitan la aplicación ordenada y lógica de reglas y pasos para resolver problemas de investigación. Mendoza y Sánchez (2019) destacan que el uso adecuado de métodos contribuye a obtener resultados confiables y válidos en cualquier estudio académico.</w:t>
      </w:r>
    </w:p>
    <w:p w14:paraId="051CA0B9" w14:textId="2212FA68" w:rsidR="00A6303F" w:rsidRPr="00A53C01" w:rsidRDefault="00A6303F" w:rsidP="00D81025">
      <w:pPr>
        <w:pStyle w:val="Figura1"/>
      </w:pPr>
      <w:r w:rsidRPr="00A53C01">
        <w:t xml:space="preserve">La elección de los métodos </w:t>
      </w:r>
      <w:r w:rsidR="00834489" w:rsidRPr="00A53C01">
        <w:t>de</w:t>
      </w:r>
      <w:r w:rsidR="00834489">
        <w:t>pendió</w:t>
      </w:r>
      <w:r w:rsidRPr="00A53C01">
        <w:t xml:space="preserve"> del tipo de investigación, de los objetivos establecidos y del contexto organizacional. En el caso de investigaciones aplicadas a procesos empresariales en el sector del diseño y la construcción, resulta pertinente seleccionar métodos que permitan comprender la situación actual, identificar brechas y formular propuestas basadas en teorías y experiencias documentadas.</w:t>
      </w:r>
    </w:p>
    <w:p w14:paraId="364E832B" w14:textId="08CB57E1" w:rsidR="00A6303F" w:rsidRPr="00A53C01" w:rsidRDefault="00A6303F" w:rsidP="00D81025">
      <w:pPr>
        <w:pStyle w:val="Figura1"/>
      </w:pPr>
      <w:r w:rsidRPr="00B0250A">
        <w:t>Para el desarrollo de este proyecto se aplicaron tres métodos principales.</w:t>
      </w:r>
      <w:r w:rsidRPr="00A53C01">
        <w:t xml:space="preserve"> El primero fue el método analítico-sintético, el cual permite descomponer un proceso complejo en sus partes para analizarlas individualmente y, posteriormente, integrarlas en un nuevo diseño optimizado. Este método fue clave para examinar los procesos actuales </w:t>
      </w:r>
      <w:r w:rsidRPr="00A53C01">
        <w:lastRenderedPageBreak/>
        <w:t>de planificación y control, identificar puntos críticos y proponer flujos mejorados (Universidad para la Cooperación Internacional [UCI], 2023).</w:t>
      </w:r>
    </w:p>
    <w:p w14:paraId="7D0AD7AB" w14:textId="77777777" w:rsidR="00A6303F" w:rsidRPr="00A53C01" w:rsidRDefault="00A6303F" w:rsidP="00D81025">
      <w:pPr>
        <w:pStyle w:val="Figura1"/>
      </w:pPr>
      <w:r w:rsidRPr="00A53C01">
        <w:t>El segundo método utilizado fue el deductivo, el cual parte de principios generales para aplicarlos a casos concretos. En este caso, se contrastaron las prácticas reales de la empresa con las recomendaciones formuladas en estándares internacionales como los del Project Management Institute, con el objetivo de identificar alineamientos y desviaciones (Hernández Sampieri et al., 2018).</w:t>
      </w:r>
    </w:p>
    <w:p w14:paraId="2400AD2A" w14:textId="77777777" w:rsidR="00A6303F" w:rsidRPr="00A53C01" w:rsidRDefault="00A6303F" w:rsidP="00D81025">
      <w:pPr>
        <w:pStyle w:val="Figura1"/>
      </w:pPr>
      <w:r w:rsidRPr="00A53C01">
        <w:t>El tercer método aplicado fue el comparativo, que permite establecer similitudes y diferencias entre prácticas organizativas. A través de este enfoque fue posible identificar prácticas exitosas tanto dentro de la organización como en otros contextos similares, con el fin de evaluar su aplicabilidad. Según Álvarez y Martínez (2020), este tipo de análisis es valioso cuando se busca adaptar soluciones ya validadas en otros entornos.</w:t>
      </w:r>
    </w:p>
    <w:p w14:paraId="4529D514" w14:textId="11FF7893" w:rsidR="007A70F9" w:rsidRPr="00407A78" w:rsidRDefault="00A6303F" w:rsidP="00D81025">
      <w:pPr>
        <w:pStyle w:val="Figura1"/>
      </w:pPr>
      <w:r w:rsidRPr="00A53C01">
        <w:t>La combinación de estos métodos permitió abordar la problemática desde diversas perspectivas, facilitando un análisis riguroso y propuestas realistas, alineadas con los objetivos del proyecto.</w:t>
      </w:r>
    </w:p>
    <w:p w14:paraId="00000158" w14:textId="5DFF961C" w:rsidR="00A2355F" w:rsidRDefault="007D3402" w:rsidP="00237B6D">
      <w:pPr>
        <w:pStyle w:val="Ttulo3"/>
      </w:pPr>
      <w:bookmarkStart w:id="63" w:name="_Toc212406365"/>
      <w:r>
        <w:rPr>
          <w:lang w:val="es-CR" w:eastAsia="es-CR"/>
        </w:rPr>
        <w:t xml:space="preserve">3.2.1 </w:t>
      </w:r>
      <w:r w:rsidR="00716FA5" w:rsidRPr="00407A78">
        <w:rPr>
          <w:lang w:val="es-CR" w:eastAsia="es-CR"/>
        </w:rPr>
        <w:t>Método analítico-sintético aplicado a la descomposición y rediseño de procesos</w:t>
      </w:r>
      <w:bookmarkEnd w:id="63"/>
      <w:r w:rsidR="00716FA5" w:rsidRPr="00716FA5">
        <w:rPr>
          <w:lang w:val="es-CR" w:eastAsia="es-CR"/>
        </w:rPr>
        <w:t xml:space="preserve"> </w:t>
      </w:r>
    </w:p>
    <w:p w14:paraId="0D13A0A2" w14:textId="77777777" w:rsidR="007A70F9" w:rsidRPr="00A6303F" w:rsidRDefault="007A70F9" w:rsidP="00D81025">
      <w:pPr>
        <w:pStyle w:val="Figura1"/>
      </w:pPr>
      <w:r w:rsidRPr="00A6303F">
        <w:t>El método analítico-sintético es una estrategia que permite estudiar un objeto dividiéndolo en sus partes más simples para entender su funcionamiento, y luego integrarlas nuevamente en una estructura mejorada. Según Hernández Sampieri, Fernández Collado y Baptista Lucio (2018), el método analítico “consiste en separar un todo en sus elementos para estudiarlos en forma individual”, mientras que el método sintético “consiste en reunir esos elementos para formar una visión comprensiva y estructurada” (p. 35).</w:t>
      </w:r>
    </w:p>
    <w:p w14:paraId="4506108D" w14:textId="77777777" w:rsidR="007A70F9" w:rsidRPr="00A6303F" w:rsidRDefault="007A70F9" w:rsidP="00D81025">
      <w:pPr>
        <w:pStyle w:val="Figura1"/>
      </w:pPr>
      <w:r w:rsidRPr="00A6303F">
        <w:lastRenderedPageBreak/>
        <w:t>Este método se utilizó en el presente proyecto para analizar los procesos actuales de gestión bajo la modalidad Design &amp; Build dentro de Contract Workplaces. Primero, se descompusieron los procesos en componentes clave, como la planificación inicial, el control del cronograma, y la integración entre equipos de diseño y ejecución. Luego, se examinó cada parte por separado para identificar fallas, ineficiencias o duplicaciones. Finalmente, con base en ese análisis, se formularon propuestas de mejora que reorganizan e integran nuevamente los elementos en una estructura optimizada y alineada con los principios de gestión moderna de proyectos.</w:t>
      </w:r>
    </w:p>
    <w:p w14:paraId="0000015A" w14:textId="46CF6FEF" w:rsidR="00A2355F" w:rsidRDefault="007A70F9" w:rsidP="00D81025">
      <w:pPr>
        <w:pStyle w:val="Figura1"/>
      </w:pPr>
      <w:r w:rsidRPr="00A6303F">
        <w:t>Este enfoque permitió observar con mayor claridad cómo interactúan las diferentes áreas involucradas en un proyecto, y facilitó el diseño de soluciones que consideran tanto la lógica técnica como el contexto organizativo específico.</w:t>
      </w:r>
    </w:p>
    <w:p w14:paraId="7CCE85FF" w14:textId="513C3779" w:rsidR="00FB7EF6" w:rsidRPr="00FB7EF6" w:rsidRDefault="007D3402" w:rsidP="00237B6D">
      <w:pPr>
        <w:pStyle w:val="Ttulo3"/>
        <w:rPr>
          <w:lang w:val="es-CR"/>
        </w:rPr>
      </w:pPr>
      <w:bookmarkStart w:id="64" w:name="_Toc212406366"/>
      <w:r>
        <w:rPr>
          <w:lang w:val="es-CR"/>
        </w:rPr>
        <w:t xml:space="preserve">3.2.2 </w:t>
      </w:r>
      <w:r w:rsidR="00FB7EF6" w:rsidRPr="00FB7EF6">
        <w:rPr>
          <w:lang w:val="es-CR"/>
        </w:rPr>
        <w:t>M</w:t>
      </w:r>
      <w:r w:rsidR="00ED1B27" w:rsidRPr="00ED1B27">
        <w:t>étodo deductivo aplicado a la validación de mejoras según marcos teóricos</w:t>
      </w:r>
      <w:bookmarkEnd w:id="64"/>
    </w:p>
    <w:p w14:paraId="527890FA" w14:textId="1EA52EED" w:rsidR="00ED1B27" w:rsidRPr="00A6303F" w:rsidRDefault="00ED1B27" w:rsidP="00D81025">
      <w:pPr>
        <w:pStyle w:val="Figura1"/>
        <w:rPr>
          <w:lang w:val="es-CR" w:eastAsia="es-CR"/>
        </w:rPr>
      </w:pPr>
      <w:r w:rsidRPr="00A6303F">
        <w:rPr>
          <w:lang w:val="es-CR" w:eastAsia="es-CR"/>
        </w:rPr>
        <w:t>El método deductivo parte de principios generales o teorías para aplicarlos a casos específicos, con el fin de explicar fenómenos o validar soluciones. Según Sampieri, Collado y Lucio (2018), este método “inicia con el análisis de postulados teóricos amplios, que luego se contrastan con situaciones particulares para comprobar su aplicabilidad” (p. 42). Por su parte, Mendoza y Sánchez (2019) señalan que es útil en investigaciones aplicadas, ya que permite usar marcos conceptuales reconocidos para interpretar la realidad y diseñar propuestas alineadas con ellos.</w:t>
      </w:r>
    </w:p>
    <w:p w14:paraId="765EA0CE" w14:textId="77777777" w:rsidR="00ED1B27" w:rsidRPr="00A6303F" w:rsidRDefault="00ED1B27" w:rsidP="00D81025">
      <w:pPr>
        <w:pStyle w:val="Figura1"/>
        <w:rPr>
          <w:lang w:val="es-CR" w:eastAsia="es-CR"/>
        </w:rPr>
      </w:pPr>
      <w:r w:rsidRPr="00A6303F">
        <w:rPr>
          <w:lang w:val="es-CR" w:eastAsia="es-CR"/>
        </w:rPr>
        <w:t xml:space="preserve">En este proyecto, el método deductivo se utilizó para comparar los principios establecidos por el </w:t>
      </w:r>
      <w:r w:rsidRPr="00A6303F">
        <w:rPr>
          <w:i/>
          <w:iCs/>
          <w:lang w:val="es-CR" w:eastAsia="es-CR"/>
        </w:rPr>
        <w:t>Project Management Institute</w:t>
      </w:r>
      <w:r w:rsidRPr="00A6303F">
        <w:rPr>
          <w:lang w:val="es-CR" w:eastAsia="es-CR"/>
        </w:rPr>
        <w:t xml:space="preserve"> (PMI, 2021, 2023) y otros autores sobre planificación y control de proyectos, con los procesos reales implementados por Contract Workplaces. A partir de esta comparación, se identificaron coincidencias, vacíos y oportunidades de mejora en la integración entre diseño y ejecución.</w:t>
      </w:r>
    </w:p>
    <w:p w14:paraId="0000015D" w14:textId="2B4939C7" w:rsidR="00A2355F" w:rsidRPr="00A6303F" w:rsidRDefault="00ED1B27" w:rsidP="00D81025">
      <w:pPr>
        <w:pStyle w:val="Figura1"/>
        <w:rPr>
          <w:lang w:val="es-CR" w:eastAsia="es-CR"/>
        </w:rPr>
      </w:pPr>
      <w:r w:rsidRPr="00A6303F">
        <w:rPr>
          <w:lang w:val="es-CR" w:eastAsia="es-CR"/>
        </w:rPr>
        <w:lastRenderedPageBreak/>
        <w:t xml:space="preserve">El análisis permitió evaluar en qué medida los procesos actuales reflejan las buenas prácticas internacionales, y con base en esa validación, se propusieron mejoras metodológicas. Este enfoque aportó rigor conceptual al diseño de soluciones prácticas para proyectos bajo la modalidad </w:t>
      </w:r>
      <w:r w:rsidRPr="00A6303F">
        <w:rPr>
          <w:i/>
          <w:iCs/>
          <w:lang w:val="es-CR" w:eastAsia="es-CR"/>
        </w:rPr>
        <w:t>Design &amp; Build</w:t>
      </w:r>
      <w:r w:rsidRPr="00A6303F">
        <w:rPr>
          <w:lang w:val="es-CR" w:eastAsia="es-CR"/>
        </w:rPr>
        <w:t>, asegurando su coherencia con los estándares de dirección de proyectos.</w:t>
      </w:r>
    </w:p>
    <w:p w14:paraId="5E363C4B" w14:textId="50D88139" w:rsidR="00ED1B27" w:rsidRPr="00ED1B27" w:rsidRDefault="007D3402" w:rsidP="00237B6D">
      <w:pPr>
        <w:pStyle w:val="Ttulo3"/>
        <w:rPr>
          <w:lang w:val="es-CR"/>
        </w:rPr>
      </w:pPr>
      <w:bookmarkStart w:id="65" w:name="_Toc212406367"/>
      <w:r>
        <w:rPr>
          <w:lang w:val="es-CR"/>
        </w:rPr>
        <w:t xml:space="preserve">3.2.3 </w:t>
      </w:r>
      <w:r w:rsidR="00FB7EF6" w:rsidRPr="00FB7EF6">
        <w:rPr>
          <w:lang w:val="es-CR"/>
        </w:rPr>
        <w:t>M</w:t>
      </w:r>
      <w:r w:rsidR="00ED1B27" w:rsidRPr="00ED1B27">
        <w:rPr>
          <w:lang w:val="es-CR"/>
        </w:rPr>
        <w:t>étodo comparativo para la evaluación de procesos y propuestas</w:t>
      </w:r>
      <w:bookmarkEnd w:id="65"/>
    </w:p>
    <w:p w14:paraId="61B3EE53" w14:textId="77777777" w:rsidR="00ED1B27" w:rsidRPr="00ED1B27" w:rsidRDefault="00ED1B27" w:rsidP="00D81025">
      <w:pPr>
        <w:pStyle w:val="Figura1"/>
        <w:rPr>
          <w:lang w:val="es-CR"/>
        </w:rPr>
      </w:pPr>
      <w:r w:rsidRPr="00ED1B27">
        <w:rPr>
          <w:lang w:val="es-CR"/>
        </w:rPr>
        <w:t>El método comparativo es una técnica que permite identificar similitudes, diferencias y relaciones entre dos o más elementos, con el fin de analizar su desempeño y proponer mejoras. De acuerdo con Álvarez y Martínez (2020), este método “consiste en estudiar dos o más situaciones, casos o modelos para destacar sus coincidencias y divergencias, y así generar conclusiones aplicables a una situación concreta” (p. 87).</w:t>
      </w:r>
    </w:p>
    <w:p w14:paraId="4ECAC144" w14:textId="77777777" w:rsidR="00ED1B27" w:rsidRPr="00ED1B27" w:rsidRDefault="00ED1B27" w:rsidP="00D81025">
      <w:pPr>
        <w:pStyle w:val="Figura1"/>
        <w:rPr>
          <w:lang w:val="es-CR"/>
        </w:rPr>
      </w:pPr>
      <w:r w:rsidRPr="00ED1B27">
        <w:rPr>
          <w:lang w:val="es-CR"/>
        </w:rPr>
        <w:t>En este proyecto, el método comparativo se utilizó para contrastar los procesos actuales de gestión de proyectos en Contract Workplaces con las propuestas de mejora diseñadas, y también con modelos de planificación y control utilizados por otras empresas del sector. Esta comparación permitió evidenciar las debilidades de los métodos actuales, así como identificar buenas prácticas documentadas en estudios de caso, literatura académica e informes del sector construcción.</w:t>
      </w:r>
    </w:p>
    <w:p w14:paraId="536522BF" w14:textId="77777777" w:rsidR="00ED1B27" w:rsidRPr="00ED1B27" w:rsidRDefault="00ED1B27" w:rsidP="00D81025">
      <w:pPr>
        <w:pStyle w:val="Figura1"/>
        <w:rPr>
          <w:lang w:val="es-CR"/>
        </w:rPr>
      </w:pPr>
      <w:r w:rsidRPr="00ED1B27">
        <w:rPr>
          <w:lang w:val="es-CR"/>
        </w:rPr>
        <w:t>A través de esta metodología, fue posible validar la viabilidad y pertinencia de las soluciones propuestas, estableciendo criterios de mejora que se ajustan tanto al contexto organizacional como a estándares internacionales. Además, el uso de este método facilitó el análisis costo-beneficio entre el modelo actual y el modelo mejorado, aportando evidencia para la toma de decisiones estratégicas dentro de la empresa.</w:t>
      </w:r>
    </w:p>
    <w:p w14:paraId="006672C0" w14:textId="771DF568" w:rsidR="0030163B" w:rsidRDefault="00990D5A" w:rsidP="008813FA">
      <w:pPr>
        <w:pStyle w:val="Figura1"/>
        <w:rPr>
          <w:color w:val="FF0000"/>
        </w:rPr>
      </w:pPr>
      <w:r>
        <w:t>En la Tabla 2, se pueden apreciar los métodos de investigación utilizados para el desarrollo de los objetivos definidos para este proyecto.</w:t>
      </w:r>
      <w:r>
        <w:rPr>
          <w:color w:val="FF0000"/>
        </w:rPr>
        <w:t xml:space="preserve"> </w:t>
      </w:r>
    </w:p>
    <w:p w14:paraId="4E48578D" w14:textId="4F30E305" w:rsidR="00CA7A66" w:rsidRDefault="00CA7A66" w:rsidP="00D81025">
      <w:pPr>
        <w:pBdr>
          <w:top w:val="nil"/>
          <w:left w:val="nil"/>
          <w:bottom w:val="nil"/>
          <w:right w:val="nil"/>
          <w:between w:val="nil"/>
        </w:pBdr>
        <w:spacing w:after="200"/>
        <w:ind w:firstLine="0"/>
        <w:rPr>
          <w:b/>
          <w:color w:val="000000"/>
        </w:rPr>
      </w:pPr>
      <w:bookmarkStart w:id="66" w:name="_Toc210425789"/>
      <w:r w:rsidRPr="00CA7A66">
        <w:rPr>
          <w:b/>
          <w:color w:val="000000"/>
        </w:rPr>
        <w:lastRenderedPageBreak/>
        <w:t xml:space="preserve">Tabla </w:t>
      </w:r>
      <w:r w:rsidRPr="00CA7A66">
        <w:rPr>
          <w:b/>
          <w:color w:val="000000"/>
        </w:rPr>
        <w:fldChar w:fldCharType="begin"/>
      </w:r>
      <w:r w:rsidRPr="00CA7A66">
        <w:rPr>
          <w:b/>
          <w:color w:val="000000"/>
        </w:rPr>
        <w:instrText xml:space="preserve"> SEQ Tabla \* ARABIC </w:instrText>
      </w:r>
      <w:r w:rsidRPr="00CA7A66">
        <w:rPr>
          <w:b/>
          <w:color w:val="000000"/>
        </w:rPr>
        <w:fldChar w:fldCharType="separate"/>
      </w:r>
      <w:r w:rsidR="00795FC2">
        <w:rPr>
          <w:b/>
          <w:noProof/>
          <w:color w:val="000000"/>
        </w:rPr>
        <w:t>2</w:t>
      </w:r>
      <w:bookmarkEnd w:id="66"/>
      <w:r w:rsidRPr="00CA7A66">
        <w:rPr>
          <w:b/>
          <w:color w:val="000000"/>
        </w:rPr>
        <w:fldChar w:fldCharType="end"/>
      </w:r>
    </w:p>
    <w:p w14:paraId="7D1D7481" w14:textId="1BB1EA64" w:rsidR="00CA7A66" w:rsidRPr="00CA7A66" w:rsidRDefault="00CA7A66" w:rsidP="00D81025">
      <w:pPr>
        <w:pStyle w:val="Ttulo5"/>
        <w:numPr>
          <w:ilvl w:val="0"/>
          <w:numId w:val="0"/>
        </w:numPr>
        <w:rPr>
          <w:b w:val="0"/>
          <w:i/>
        </w:rPr>
      </w:pPr>
      <w:r>
        <w:rPr>
          <w:b w:val="0"/>
          <w:i/>
        </w:rPr>
        <w:t xml:space="preserve">Métodos de Investigación Utilizados </w:t>
      </w:r>
    </w:p>
    <w:tbl>
      <w:tblPr>
        <w:tblStyle w:val="23"/>
        <w:tblW w:w="9347"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5"/>
        <w:gridCol w:w="2073"/>
        <w:gridCol w:w="2066"/>
        <w:gridCol w:w="2073"/>
      </w:tblGrid>
      <w:tr w:rsidR="00A2355F" w:rsidRPr="00255610" w14:paraId="7B2BA859" w14:textId="77777777" w:rsidTr="006D386C">
        <w:trPr>
          <w:trHeight w:val="173"/>
          <w:jc w:val="center"/>
        </w:trPr>
        <w:tc>
          <w:tcPr>
            <w:tcW w:w="3135" w:type="dxa"/>
            <w:vMerge w:val="restart"/>
          </w:tcPr>
          <w:p w14:paraId="00000165" w14:textId="77777777" w:rsidR="00A2355F" w:rsidRPr="00255610" w:rsidRDefault="00990D5A" w:rsidP="00D81025">
            <w:pPr>
              <w:jc w:val="center"/>
            </w:pPr>
            <w:r w:rsidRPr="00255610">
              <w:t>Objetivos</w:t>
            </w:r>
          </w:p>
        </w:tc>
        <w:tc>
          <w:tcPr>
            <w:tcW w:w="6212" w:type="dxa"/>
            <w:gridSpan w:val="3"/>
          </w:tcPr>
          <w:p w14:paraId="00000166" w14:textId="77777777" w:rsidR="00A2355F" w:rsidRPr="00255610" w:rsidRDefault="00990D5A" w:rsidP="00D81025">
            <w:pPr>
              <w:jc w:val="center"/>
            </w:pPr>
            <w:r w:rsidRPr="00255610">
              <w:t>Métodos de Investigación</w:t>
            </w:r>
          </w:p>
        </w:tc>
      </w:tr>
      <w:tr w:rsidR="00A2355F" w:rsidRPr="00255610" w14:paraId="54E66713" w14:textId="77777777" w:rsidTr="006D386C">
        <w:trPr>
          <w:trHeight w:val="614"/>
          <w:jc w:val="center"/>
        </w:trPr>
        <w:tc>
          <w:tcPr>
            <w:tcW w:w="3135" w:type="dxa"/>
            <w:vMerge/>
          </w:tcPr>
          <w:p w14:paraId="00000169" w14:textId="77777777" w:rsidR="00A2355F" w:rsidRPr="00255610" w:rsidRDefault="00A2355F" w:rsidP="00D81025">
            <w:pPr>
              <w:widowControl w:val="0"/>
              <w:pBdr>
                <w:top w:val="nil"/>
                <w:left w:val="nil"/>
                <w:bottom w:val="nil"/>
                <w:right w:val="nil"/>
                <w:between w:val="nil"/>
              </w:pBdr>
              <w:ind w:firstLine="0"/>
            </w:pPr>
          </w:p>
        </w:tc>
        <w:tc>
          <w:tcPr>
            <w:tcW w:w="2073" w:type="dxa"/>
          </w:tcPr>
          <w:p w14:paraId="0000016A" w14:textId="3F8E0CDB" w:rsidR="00A2355F" w:rsidRPr="00255610" w:rsidRDefault="00ED1B27" w:rsidP="00D81025">
            <w:pPr>
              <w:ind w:firstLine="0"/>
              <w:jc w:val="center"/>
            </w:pPr>
            <w:r w:rsidRPr="00255610">
              <w:t>Método Analítico-Sintético</w:t>
            </w:r>
          </w:p>
        </w:tc>
        <w:tc>
          <w:tcPr>
            <w:tcW w:w="2066" w:type="dxa"/>
          </w:tcPr>
          <w:p w14:paraId="0000016B" w14:textId="7D2AB232" w:rsidR="00A2355F" w:rsidRPr="00255610" w:rsidRDefault="00ED1B27" w:rsidP="00D81025">
            <w:pPr>
              <w:ind w:firstLine="0"/>
              <w:jc w:val="center"/>
            </w:pPr>
            <w:r w:rsidRPr="00255610">
              <w:t>Método Deductivo</w:t>
            </w:r>
          </w:p>
        </w:tc>
        <w:tc>
          <w:tcPr>
            <w:tcW w:w="2073" w:type="dxa"/>
          </w:tcPr>
          <w:p w14:paraId="0000016C" w14:textId="04C72D50" w:rsidR="00A2355F" w:rsidRPr="00255610" w:rsidRDefault="00ED1B27" w:rsidP="00D81025">
            <w:pPr>
              <w:ind w:firstLine="0"/>
              <w:jc w:val="center"/>
            </w:pPr>
            <w:r w:rsidRPr="00255610">
              <w:t>Método Comparativo</w:t>
            </w:r>
          </w:p>
        </w:tc>
      </w:tr>
      <w:tr w:rsidR="00FB7EF6" w:rsidRPr="00255610" w14:paraId="260D30C6" w14:textId="77777777" w:rsidTr="006D386C">
        <w:trPr>
          <w:trHeight w:val="217"/>
          <w:jc w:val="center"/>
        </w:trPr>
        <w:tc>
          <w:tcPr>
            <w:tcW w:w="3135" w:type="dxa"/>
          </w:tcPr>
          <w:p w14:paraId="0000016D" w14:textId="5EADCC4C" w:rsidR="00FB7EF6" w:rsidRPr="00255610" w:rsidRDefault="00FB7EF6" w:rsidP="00D81025">
            <w:pPr>
              <w:ind w:firstLine="0"/>
            </w:pPr>
            <w:r w:rsidRPr="00255610">
              <w:t>1.</w:t>
            </w:r>
            <w:r w:rsidR="00DA50DA" w:rsidRPr="00255610">
              <w:t xml:space="preserve">Analizar el </w:t>
            </w:r>
            <w:r w:rsidR="00A105B8" w:rsidRPr="00255610">
              <w:t xml:space="preserve">grupo de </w:t>
            </w:r>
            <w:r w:rsidR="00DA50DA" w:rsidRPr="00255610">
              <w:t>proceso</w:t>
            </w:r>
            <w:r w:rsidR="00A105B8" w:rsidRPr="00255610">
              <w:t>s</w:t>
            </w:r>
            <w:r w:rsidR="00DA50DA" w:rsidRPr="00255610">
              <w:t xml:space="preserve"> actual de</w:t>
            </w:r>
            <w:r w:rsidR="00EF688A">
              <w:t xml:space="preserve"> </w:t>
            </w:r>
            <w:r w:rsidR="00DA50DA" w:rsidRPr="00255610">
              <w:t>planificación y control de proyectos “Design &amp; Build” en Contract Workplaces, para identificar las fortalezas, debilidades y oportunidades de mejora.</w:t>
            </w:r>
          </w:p>
        </w:tc>
        <w:tc>
          <w:tcPr>
            <w:tcW w:w="2073" w:type="dxa"/>
          </w:tcPr>
          <w:p w14:paraId="5CA5E180" w14:textId="40B7612A" w:rsidR="00021ADB" w:rsidRPr="00255610" w:rsidRDefault="00ED1B27" w:rsidP="00D81025">
            <w:pPr>
              <w:ind w:firstLine="0"/>
            </w:pPr>
            <w:r w:rsidRPr="00255610">
              <w:t>Se descompusieron los procesos en partes clave (planificación, control e integración) para entender su funcionamiento interno.</w:t>
            </w:r>
          </w:p>
          <w:p w14:paraId="0000016E" w14:textId="381C99D9" w:rsidR="00FB7EF6" w:rsidRPr="00255610" w:rsidRDefault="00FB7EF6" w:rsidP="00D81025">
            <w:pPr>
              <w:ind w:firstLine="0"/>
            </w:pPr>
          </w:p>
        </w:tc>
        <w:tc>
          <w:tcPr>
            <w:tcW w:w="2066" w:type="dxa"/>
          </w:tcPr>
          <w:p w14:paraId="0000016F" w14:textId="31181D73" w:rsidR="00FB7EF6" w:rsidRPr="00255610" w:rsidRDefault="00ED1B27" w:rsidP="00D81025">
            <w:pPr>
              <w:ind w:firstLine="0"/>
            </w:pPr>
            <w:r w:rsidRPr="00255610">
              <w:t xml:space="preserve">Se contrastaron los procesos reales con estándares teóricos del </w:t>
            </w:r>
            <w:r w:rsidRPr="00255610">
              <w:rPr>
                <w:i/>
                <w:iCs/>
              </w:rPr>
              <w:t>PMBOK® Guide</w:t>
            </w:r>
            <w:r w:rsidRPr="00255610">
              <w:t xml:space="preserve"> y otros marcos de gestión.</w:t>
            </w:r>
          </w:p>
        </w:tc>
        <w:tc>
          <w:tcPr>
            <w:tcW w:w="2073" w:type="dxa"/>
          </w:tcPr>
          <w:p w14:paraId="00000170" w14:textId="1318C513" w:rsidR="00FB7EF6" w:rsidRPr="00255610" w:rsidRDefault="00ED1B27" w:rsidP="00D81025">
            <w:pPr>
              <w:ind w:firstLine="0"/>
            </w:pPr>
            <w:r w:rsidRPr="00255610">
              <w:t>Se compararon los procesos actuales con modelos documentados en empresas similares del sector.</w:t>
            </w:r>
          </w:p>
        </w:tc>
      </w:tr>
      <w:tr w:rsidR="00ED1B27" w:rsidRPr="00255610" w14:paraId="0AB4D9A6" w14:textId="77777777" w:rsidTr="006D386C">
        <w:trPr>
          <w:trHeight w:val="217"/>
          <w:jc w:val="center"/>
        </w:trPr>
        <w:tc>
          <w:tcPr>
            <w:tcW w:w="3135" w:type="dxa"/>
          </w:tcPr>
          <w:p w14:paraId="501DF4F3" w14:textId="77777777" w:rsidR="00ED1B27" w:rsidRPr="00255610" w:rsidRDefault="00ED1B27" w:rsidP="00D81025">
            <w:pPr>
              <w:ind w:firstLine="0"/>
            </w:pPr>
            <w:r w:rsidRPr="00255610">
              <w:t>2. Determinar las necesidades de integración entre diseño y ejecución, para fortalecer la toma de decisiones durante la ejecución del proyecto.</w:t>
            </w:r>
          </w:p>
          <w:p w14:paraId="65C205D3" w14:textId="77777777" w:rsidR="00ED1B27" w:rsidRPr="00255610" w:rsidRDefault="00ED1B27" w:rsidP="00D81025">
            <w:pPr>
              <w:ind w:firstLine="0"/>
            </w:pPr>
          </w:p>
        </w:tc>
        <w:tc>
          <w:tcPr>
            <w:tcW w:w="2073" w:type="dxa"/>
          </w:tcPr>
          <w:p w14:paraId="5F665AA6" w14:textId="2EAC5031" w:rsidR="00ED1B27" w:rsidRPr="00255610" w:rsidRDefault="00ED1B27" w:rsidP="00D81025">
            <w:pPr>
              <w:ind w:firstLine="0"/>
            </w:pPr>
            <w:r w:rsidRPr="00255610">
              <w:t>Se analizaron por separado los flujos de trabajo entre equipos, identificando puntos críticos y duplicidades.</w:t>
            </w:r>
          </w:p>
        </w:tc>
        <w:tc>
          <w:tcPr>
            <w:tcW w:w="2066" w:type="dxa"/>
          </w:tcPr>
          <w:p w14:paraId="74B07AD4" w14:textId="47FDA8B7" w:rsidR="00ED1B27" w:rsidRPr="00255610" w:rsidRDefault="00ED1B27" w:rsidP="00D81025">
            <w:pPr>
              <w:ind w:firstLine="0"/>
            </w:pPr>
            <w:r w:rsidRPr="00255610">
              <w:t>Se aplicaron principios teóricos sobre colaboración y coordinación para evaluar la situación actual.</w:t>
            </w:r>
          </w:p>
        </w:tc>
        <w:tc>
          <w:tcPr>
            <w:tcW w:w="2073" w:type="dxa"/>
          </w:tcPr>
          <w:p w14:paraId="3164FFC4" w14:textId="02C9CA27" w:rsidR="00ED1B27" w:rsidRPr="00255610" w:rsidRDefault="00ED1B27" w:rsidP="00D81025">
            <w:pPr>
              <w:ind w:firstLine="0"/>
            </w:pPr>
            <w:r w:rsidRPr="00255610">
              <w:t xml:space="preserve">Se evaluaron experiencias exitosas de integración en otras organizaciones para establecer </w:t>
            </w:r>
            <w:r w:rsidRPr="00255610">
              <w:lastRenderedPageBreak/>
              <w:t>criterios aplicables.</w:t>
            </w:r>
          </w:p>
        </w:tc>
      </w:tr>
      <w:tr w:rsidR="00ED1B27" w:rsidRPr="00255610" w14:paraId="4A26F442" w14:textId="77777777" w:rsidTr="006D386C">
        <w:trPr>
          <w:trHeight w:val="217"/>
          <w:jc w:val="center"/>
        </w:trPr>
        <w:tc>
          <w:tcPr>
            <w:tcW w:w="3135" w:type="dxa"/>
          </w:tcPr>
          <w:p w14:paraId="360C31D3" w14:textId="082E3FDE" w:rsidR="00DA50DA" w:rsidRPr="00255610" w:rsidRDefault="00DA50DA" w:rsidP="00D81025">
            <w:pPr>
              <w:ind w:firstLine="0"/>
            </w:pPr>
            <w:r w:rsidRPr="00255610">
              <w:lastRenderedPageBreak/>
              <w:t>3.Diseñar propuestas de mejora en los procesos de planificación y control, para optimizar la integración entre diseño y construcción y mejorar los resultados del proyecto.</w:t>
            </w:r>
          </w:p>
          <w:p w14:paraId="39C43474" w14:textId="0CE02D85" w:rsidR="00ED1B27" w:rsidRPr="00255610" w:rsidRDefault="00ED1B27" w:rsidP="00D81025">
            <w:pPr>
              <w:ind w:firstLine="0"/>
            </w:pPr>
          </w:p>
        </w:tc>
        <w:tc>
          <w:tcPr>
            <w:tcW w:w="2073" w:type="dxa"/>
          </w:tcPr>
          <w:p w14:paraId="371D0E86" w14:textId="38298171" w:rsidR="00ED1B27" w:rsidRPr="00255610" w:rsidRDefault="00DA50DA" w:rsidP="00D81025">
            <w:pPr>
              <w:ind w:firstLine="0"/>
            </w:pPr>
            <w:r w:rsidRPr="00255610">
              <w:t>Se integraron nuevamente los componentes analizados, estructurando propuestas optimizadas.</w:t>
            </w:r>
          </w:p>
        </w:tc>
        <w:tc>
          <w:tcPr>
            <w:tcW w:w="2066" w:type="dxa"/>
          </w:tcPr>
          <w:p w14:paraId="70C2EFFC" w14:textId="10CCADB7" w:rsidR="00ED1B27" w:rsidRPr="00255610" w:rsidRDefault="00DA50DA" w:rsidP="00D81025">
            <w:pPr>
              <w:ind w:firstLine="0"/>
            </w:pPr>
            <w:r w:rsidRPr="00255610">
              <w:t>Se formularon soluciones alineadas con las buenas prácticas de dirección de proyectos.</w:t>
            </w:r>
          </w:p>
        </w:tc>
        <w:tc>
          <w:tcPr>
            <w:tcW w:w="2073" w:type="dxa"/>
          </w:tcPr>
          <w:p w14:paraId="017D976D" w14:textId="213132E7" w:rsidR="00ED1B27" w:rsidRPr="00255610" w:rsidRDefault="00DA50DA" w:rsidP="00D81025">
            <w:pPr>
              <w:ind w:firstLine="0"/>
            </w:pPr>
            <w:r w:rsidRPr="00255610">
              <w:t>Se adaptaron prácticas recomendadas internacional</w:t>
            </w:r>
            <w:r w:rsidR="002B34D9">
              <w:t>-</w:t>
            </w:r>
            <w:r w:rsidRPr="00255610">
              <w:t>mente al contexto de Contract Workplaces.</w:t>
            </w:r>
          </w:p>
        </w:tc>
      </w:tr>
      <w:tr w:rsidR="00ED1B27" w:rsidRPr="00255610" w14:paraId="52536FBB" w14:textId="77777777" w:rsidTr="006D386C">
        <w:trPr>
          <w:trHeight w:val="217"/>
          <w:jc w:val="center"/>
        </w:trPr>
        <w:tc>
          <w:tcPr>
            <w:tcW w:w="3135" w:type="dxa"/>
          </w:tcPr>
          <w:p w14:paraId="261D1FE7" w14:textId="26DD482D" w:rsidR="00ED1B27" w:rsidRPr="00255610" w:rsidRDefault="00DA50DA" w:rsidP="00D81025">
            <w:pPr>
              <w:ind w:firstLine="0"/>
            </w:pPr>
            <w:r w:rsidRPr="00255610">
              <w:t>4. Desarrollar un plan de implementación de las mejoras propuestas.</w:t>
            </w:r>
          </w:p>
        </w:tc>
        <w:tc>
          <w:tcPr>
            <w:tcW w:w="2073" w:type="dxa"/>
          </w:tcPr>
          <w:p w14:paraId="465DAE52" w14:textId="43118AAE" w:rsidR="00ED1B27" w:rsidRPr="00255610" w:rsidRDefault="00DA50DA" w:rsidP="00D81025">
            <w:pPr>
              <w:ind w:firstLine="0"/>
            </w:pPr>
            <w:r w:rsidRPr="00255610">
              <w:t>Se organizaron fases del plan tomando en cuenta los elementos analizados en etapas anteriores.</w:t>
            </w:r>
          </w:p>
        </w:tc>
        <w:tc>
          <w:tcPr>
            <w:tcW w:w="2066" w:type="dxa"/>
          </w:tcPr>
          <w:p w14:paraId="12F54B9F" w14:textId="45943B25" w:rsidR="00ED1B27" w:rsidRPr="00255610" w:rsidRDefault="00DA50DA" w:rsidP="00D81025">
            <w:pPr>
              <w:ind w:firstLine="0"/>
            </w:pPr>
            <w:r w:rsidRPr="00255610">
              <w:t>Se diseñaron acciones concretas con base en teorías sobre cambio organizacional y mejora continua.</w:t>
            </w:r>
          </w:p>
        </w:tc>
        <w:tc>
          <w:tcPr>
            <w:tcW w:w="2073" w:type="dxa"/>
          </w:tcPr>
          <w:p w14:paraId="6762BF58" w14:textId="33FA9371" w:rsidR="00ED1B27" w:rsidRPr="00255610" w:rsidRDefault="00DA50DA" w:rsidP="00D81025">
            <w:pPr>
              <w:ind w:firstLine="0"/>
            </w:pPr>
            <w:r w:rsidRPr="00255610">
              <w:t>Se compararon escenarios de implementación frente a experiencias documentadas para seleccionar el más adecuado.</w:t>
            </w:r>
          </w:p>
        </w:tc>
      </w:tr>
      <w:tr w:rsidR="00ED1B27" w:rsidRPr="00255610" w14:paraId="3667D8F3" w14:textId="77777777" w:rsidTr="006D386C">
        <w:trPr>
          <w:trHeight w:val="217"/>
          <w:jc w:val="center"/>
        </w:trPr>
        <w:tc>
          <w:tcPr>
            <w:tcW w:w="3135" w:type="dxa"/>
          </w:tcPr>
          <w:p w14:paraId="21DA9B6D" w14:textId="3E8AD80F" w:rsidR="00ED1B27" w:rsidRPr="00255610" w:rsidRDefault="00DA50DA" w:rsidP="00D81025">
            <w:pPr>
              <w:ind w:firstLine="0"/>
            </w:pPr>
            <w:r w:rsidRPr="00255610">
              <w:t xml:space="preserve">5. Comparar los procesos actuales con las propuestas de mejora desarrolladas, para identificar sus principales diferencias y </w:t>
            </w:r>
            <w:r w:rsidRPr="00255610">
              <w:lastRenderedPageBreak/>
              <w:t>beneficios en la gestión de proyectos “Design &amp; Build” en Contract Workplaces</w:t>
            </w:r>
          </w:p>
        </w:tc>
        <w:tc>
          <w:tcPr>
            <w:tcW w:w="2073" w:type="dxa"/>
          </w:tcPr>
          <w:p w14:paraId="5A895CDE" w14:textId="6C5D61CC" w:rsidR="00ED1B27" w:rsidRPr="00255610" w:rsidRDefault="00DA50DA" w:rsidP="00D81025">
            <w:pPr>
              <w:ind w:firstLine="0"/>
            </w:pPr>
            <w:r w:rsidRPr="00255610">
              <w:lastRenderedPageBreak/>
              <w:t>Se estructuró un análisis paralelo de los procesos antes y después de las mejoras.</w:t>
            </w:r>
          </w:p>
        </w:tc>
        <w:tc>
          <w:tcPr>
            <w:tcW w:w="2066" w:type="dxa"/>
          </w:tcPr>
          <w:p w14:paraId="62BC9A4C" w14:textId="01CF6379" w:rsidR="00ED1B27" w:rsidRPr="00255610" w:rsidRDefault="00DA50DA" w:rsidP="00D81025">
            <w:pPr>
              <w:ind w:firstLine="0"/>
            </w:pPr>
            <w:r w:rsidRPr="00255610">
              <w:t>Se evaluaron los beneficios teóricos de las propuestas aplicadas al caso real.</w:t>
            </w:r>
          </w:p>
        </w:tc>
        <w:tc>
          <w:tcPr>
            <w:tcW w:w="2073" w:type="dxa"/>
          </w:tcPr>
          <w:p w14:paraId="787833CB" w14:textId="674A0E09" w:rsidR="00ED1B27" w:rsidRPr="00255610" w:rsidRDefault="00DA50DA" w:rsidP="00D81025">
            <w:pPr>
              <w:ind w:firstLine="0"/>
            </w:pPr>
            <w:r w:rsidRPr="00255610">
              <w:t xml:space="preserve">Se realizó una comparación detallada entre ambos modelos para identificar </w:t>
            </w:r>
            <w:r w:rsidRPr="00255610">
              <w:lastRenderedPageBreak/>
              <w:t>impactos, fortalezas y limitaciones.</w:t>
            </w:r>
          </w:p>
        </w:tc>
      </w:tr>
    </w:tbl>
    <w:p w14:paraId="00000176" w14:textId="0AFC34C0" w:rsidR="00A2355F" w:rsidRDefault="00E10D9A" w:rsidP="00E10D9A">
      <w:pPr>
        <w:pStyle w:val="Figura1"/>
        <w:ind w:firstLine="0"/>
      </w:pPr>
      <w:r w:rsidRPr="00E10D9A">
        <w:rPr>
          <w:i/>
          <w:iCs/>
        </w:rPr>
        <w:lastRenderedPageBreak/>
        <w:t>Nota: Fuente: Elaboración propia.</w:t>
      </w:r>
      <w:r w:rsidRPr="00E10D9A">
        <w:br/>
        <w:t>La Tabla 2 muestra los métodos de investigación utilizados en correspondencia con cada objetivo.</w:t>
      </w:r>
    </w:p>
    <w:p w14:paraId="00000177" w14:textId="58893788" w:rsidR="00A2355F" w:rsidRDefault="007D3402" w:rsidP="00237B6D">
      <w:pPr>
        <w:pStyle w:val="Ttulo2"/>
      </w:pPr>
      <w:bookmarkStart w:id="67" w:name="_Toc200286367"/>
      <w:bookmarkStart w:id="68" w:name="_Toc212406368"/>
      <w:r>
        <w:t xml:space="preserve">3.3 </w:t>
      </w:r>
      <w:r w:rsidR="00990D5A">
        <w:t>Herramientas</w:t>
      </w:r>
      <w:bookmarkEnd w:id="67"/>
      <w:bookmarkEnd w:id="68"/>
    </w:p>
    <w:p w14:paraId="1CFC5C3E" w14:textId="77777777" w:rsidR="00255610" w:rsidRPr="00A53C01" w:rsidRDefault="00255610" w:rsidP="00D81025">
      <w:pPr>
        <w:rPr>
          <w:lang w:val="es-CR"/>
        </w:rPr>
      </w:pPr>
      <w:r w:rsidRPr="00A53C01">
        <w:rPr>
          <w:lang w:val="es-CR"/>
        </w:rPr>
        <w:t>Las herramientas de investigación son instrumentos técnicos que permiten recolectar, organizar, analizar e interpretar datos durante un proceso de estudio. Según Hernández Sampieri et al. (2018), las herramientas “permiten operacionalizar los métodos de investigación, facilitando la obtención y análisis de la información de manera estructurada” (p. 152). Por su parte, Kerzner (2017) indica que, en la gestión de proyectos, estas herramientas contribuyen a mejorar la planificación, el control y la toma de decisiones, ya que estandarizan procesos y proporcionan datos precisos para la gestión efectiva.</w:t>
      </w:r>
    </w:p>
    <w:p w14:paraId="186B7D2F" w14:textId="77777777" w:rsidR="00255610" w:rsidRPr="00A53C01" w:rsidRDefault="00255610" w:rsidP="00D81025">
      <w:pPr>
        <w:rPr>
          <w:lang w:val="es-CR"/>
        </w:rPr>
      </w:pPr>
      <w:r w:rsidRPr="00A53C01">
        <w:rPr>
          <w:lang w:val="es-CR"/>
        </w:rPr>
        <w:t>En este proyecto se emplearon herramientas cualitativas y tecnológicas propuestas tanto en la Guía del PMBOK® (Project Management Institute, 2021) como en metodologías propias de la industria de la construcción. Cada herramienta fue seleccionada con base en su utilidad para alcanzar los objetivos específicos del trabajo, y se aplicó de manera estratégica según la etapa del proyecto. A continuación, se describen las herramientas utilizadas y su finalidad principal:</w:t>
      </w:r>
    </w:p>
    <w:p w14:paraId="6EAE3290" w14:textId="77777777" w:rsidR="00255610" w:rsidRPr="00A53C01" w:rsidRDefault="00255610" w:rsidP="00D81025">
      <w:pPr>
        <w:pStyle w:val="Prrafodelista"/>
        <w:numPr>
          <w:ilvl w:val="0"/>
          <w:numId w:val="25"/>
        </w:numPr>
        <w:rPr>
          <w:lang w:val="es-CR"/>
        </w:rPr>
      </w:pPr>
      <w:r w:rsidRPr="00A53C01">
        <w:rPr>
          <w:b/>
          <w:bCs/>
          <w:lang w:val="es-CR"/>
        </w:rPr>
        <w:t>Análisis documental</w:t>
      </w:r>
      <w:r w:rsidRPr="00A53C01">
        <w:rPr>
          <w:lang w:val="es-CR"/>
        </w:rPr>
        <w:t>: permitió revisar cronogramas, reportes y matrices internas para comprender el funcionamiento actual de los procesos.</w:t>
      </w:r>
    </w:p>
    <w:p w14:paraId="2BD6AAE3" w14:textId="09F6D300" w:rsidR="00255610" w:rsidRPr="0098201D" w:rsidRDefault="00255610" w:rsidP="00D81025">
      <w:pPr>
        <w:pStyle w:val="Prrafodelista"/>
        <w:numPr>
          <w:ilvl w:val="0"/>
          <w:numId w:val="25"/>
        </w:numPr>
        <w:rPr>
          <w:lang w:val="es-CR"/>
        </w:rPr>
      </w:pPr>
      <w:r w:rsidRPr="0098201D">
        <w:rPr>
          <w:b/>
          <w:bCs/>
          <w:lang w:val="es-CR"/>
        </w:rPr>
        <w:lastRenderedPageBreak/>
        <w:t>Entrevistas no estructuradas</w:t>
      </w:r>
      <w:r w:rsidRPr="0098201D">
        <w:rPr>
          <w:lang w:val="es-CR"/>
        </w:rPr>
        <w:t xml:space="preserve">: </w:t>
      </w:r>
      <w:r w:rsidR="009153BF" w:rsidRPr="0098201D">
        <w:t xml:space="preserve">se utilizaron para obtener percepciones del equipo, específicamente del </w:t>
      </w:r>
      <w:r w:rsidR="000C3758">
        <w:t>j</w:t>
      </w:r>
      <w:r w:rsidR="009153BF" w:rsidRPr="0098201D">
        <w:t xml:space="preserve">efe de </w:t>
      </w:r>
      <w:r w:rsidR="000C3758">
        <w:t>c</w:t>
      </w:r>
      <w:r w:rsidR="009153BF" w:rsidRPr="0098201D">
        <w:t xml:space="preserve">onstrucción, el </w:t>
      </w:r>
      <w:r w:rsidR="000C3758">
        <w:t>p</w:t>
      </w:r>
      <w:r w:rsidR="009153BF" w:rsidRPr="0098201D">
        <w:t xml:space="preserve">roject </w:t>
      </w:r>
      <w:r w:rsidR="000C3758">
        <w:t>m</w:t>
      </w:r>
      <w:r w:rsidR="009153BF" w:rsidRPr="0098201D">
        <w:t>anager (</w:t>
      </w:r>
      <w:r w:rsidR="000C3758">
        <w:t>pm</w:t>
      </w:r>
      <w:r w:rsidR="009153BF" w:rsidRPr="0098201D">
        <w:t xml:space="preserve">) y el </w:t>
      </w:r>
      <w:r w:rsidR="000C3758">
        <w:t>j</w:t>
      </w:r>
      <w:r w:rsidR="009153BF" w:rsidRPr="0098201D">
        <w:t xml:space="preserve">efe de </w:t>
      </w:r>
      <w:r w:rsidR="000C3758">
        <w:t>d</w:t>
      </w:r>
      <w:r w:rsidR="009153BF" w:rsidRPr="0098201D">
        <w:t>iseño, sobre la integración entre áreas, sin limitar las respuestas a un guion cerrado.</w:t>
      </w:r>
    </w:p>
    <w:p w14:paraId="65668195" w14:textId="77777777" w:rsidR="00255610" w:rsidRPr="00D27BB9" w:rsidRDefault="00255610" w:rsidP="00D81025">
      <w:pPr>
        <w:pStyle w:val="Prrafodelista"/>
        <w:numPr>
          <w:ilvl w:val="0"/>
          <w:numId w:val="25"/>
        </w:numPr>
        <w:rPr>
          <w:lang w:val="es-CR"/>
        </w:rPr>
      </w:pPr>
      <w:r w:rsidRPr="00D27BB9">
        <w:rPr>
          <w:b/>
          <w:bCs/>
          <w:lang w:val="es-CR"/>
        </w:rPr>
        <w:t>Observación directa</w:t>
      </w:r>
      <w:r w:rsidRPr="00D27BB9">
        <w:rPr>
          <w:lang w:val="es-CR"/>
        </w:rPr>
        <w:t>: facilitó la identificación de prácticas reales en la planificación y ejecución de proyectos.</w:t>
      </w:r>
    </w:p>
    <w:p w14:paraId="28861708" w14:textId="30F93E11" w:rsidR="00255610" w:rsidRPr="00D27BB9" w:rsidRDefault="00255610" w:rsidP="00D81025">
      <w:pPr>
        <w:pStyle w:val="Prrafodelista"/>
        <w:numPr>
          <w:ilvl w:val="0"/>
          <w:numId w:val="25"/>
        </w:numPr>
        <w:rPr>
          <w:lang w:val="es-CR"/>
        </w:rPr>
      </w:pPr>
      <w:r w:rsidRPr="0098201D">
        <w:rPr>
          <w:b/>
          <w:bCs/>
          <w:lang w:val="es-CR"/>
        </w:rPr>
        <w:t>Validación con actores clave</w:t>
      </w:r>
      <w:r w:rsidRPr="0098201D">
        <w:rPr>
          <w:lang w:val="es-CR"/>
        </w:rPr>
        <w:t xml:space="preserve">: </w:t>
      </w:r>
      <w:r w:rsidR="009153BF" w:rsidRPr="0098201D">
        <w:t xml:space="preserve">sirvió para contrastar propuestas con el conocimiento empírico de los responsables de áreas, incluyendo nuevamente al </w:t>
      </w:r>
      <w:r w:rsidR="000C3758">
        <w:t>j</w:t>
      </w:r>
      <w:r w:rsidR="009153BF" w:rsidRPr="0098201D">
        <w:t xml:space="preserve">efe de </w:t>
      </w:r>
      <w:r w:rsidR="000C3758">
        <w:t>c</w:t>
      </w:r>
      <w:r w:rsidR="009153BF" w:rsidRPr="0098201D">
        <w:t xml:space="preserve">onstrucción, </w:t>
      </w:r>
      <w:r w:rsidR="000C3758">
        <w:t>p</w:t>
      </w:r>
      <w:r w:rsidR="000C3758" w:rsidRPr="008B17A9">
        <w:t xml:space="preserve">roject </w:t>
      </w:r>
      <w:r w:rsidR="000C3758">
        <w:t>m</w:t>
      </w:r>
      <w:r w:rsidR="000C3758" w:rsidRPr="008B17A9">
        <w:t xml:space="preserve">anager </w:t>
      </w:r>
      <w:r w:rsidR="009153BF" w:rsidRPr="0098201D">
        <w:t xml:space="preserve"> y </w:t>
      </w:r>
      <w:r w:rsidR="000C3758">
        <w:t>j</w:t>
      </w:r>
      <w:r w:rsidR="009153BF" w:rsidRPr="0098201D">
        <w:t xml:space="preserve">efe de </w:t>
      </w:r>
      <w:r w:rsidR="000C3758">
        <w:t>d</w:t>
      </w:r>
      <w:r w:rsidR="009153BF" w:rsidRPr="0098201D">
        <w:t>iseño, quienes aportaron desde su experiencia en la ejecución de proyectos integrados.</w:t>
      </w:r>
    </w:p>
    <w:p w14:paraId="3B2E68F2" w14:textId="77777777" w:rsidR="00255610" w:rsidRPr="00A53C01" w:rsidRDefault="00255610" w:rsidP="00D81025">
      <w:pPr>
        <w:pStyle w:val="Prrafodelista"/>
        <w:numPr>
          <w:ilvl w:val="0"/>
          <w:numId w:val="25"/>
        </w:numPr>
        <w:rPr>
          <w:lang w:val="es-CR"/>
        </w:rPr>
      </w:pPr>
      <w:r w:rsidRPr="00A53C01">
        <w:rPr>
          <w:b/>
          <w:bCs/>
          <w:lang w:val="es-CR"/>
        </w:rPr>
        <w:t>SIPOC (Supplier-Input-Process-Output-Customer)</w:t>
      </w:r>
      <w:r w:rsidRPr="00A53C01">
        <w:rPr>
          <w:lang w:val="es-CR"/>
        </w:rPr>
        <w:t>: ayudó a visualizar procesos clave y sus componentes, facilitando el análisis de mejora.</w:t>
      </w:r>
    </w:p>
    <w:p w14:paraId="7E7CD9FC" w14:textId="77777777" w:rsidR="00255610" w:rsidRPr="00A53C01" w:rsidRDefault="00255610" w:rsidP="00D81025">
      <w:pPr>
        <w:pStyle w:val="Prrafodelista"/>
        <w:numPr>
          <w:ilvl w:val="0"/>
          <w:numId w:val="25"/>
        </w:numPr>
        <w:rPr>
          <w:lang w:val="es-CR"/>
        </w:rPr>
      </w:pPr>
      <w:r w:rsidRPr="00A53C01">
        <w:rPr>
          <w:b/>
          <w:bCs/>
          <w:lang w:val="es-CR"/>
        </w:rPr>
        <w:t>Mapas de interacción y matriz RACI</w:t>
      </w:r>
      <w:r w:rsidRPr="00A53C01">
        <w:rPr>
          <w:lang w:val="es-CR"/>
        </w:rPr>
        <w:t>: fueron útiles para identificar responsables, roles y relaciones entre los actores del proceso.</w:t>
      </w:r>
    </w:p>
    <w:p w14:paraId="16C3A318" w14:textId="77777777" w:rsidR="00255610" w:rsidRPr="00A53C01" w:rsidRDefault="00255610" w:rsidP="00D81025">
      <w:pPr>
        <w:pStyle w:val="Prrafodelista"/>
        <w:numPr>
          <w:ilvl w:val="0"/>
          <w:numId w:val="25"/>
        </w:numPr>
        <w:rPr>
          <w:lang w:val="es-CR"/>
        </w:rPr>
      </w:pPr>
      <w:r w:rsidRPr="00A53C01">
        <w:rPr>
          <w:b/>
          <w:bCs/>
          <w:lang w:val="es-CR"/>
        </w:rPr>
        <w:t>BIM (Building Information Modeling)</w:t>
      </w:r>
      <w:r w:rsidRPr="00A53C01">
        <w:rPr>
          <w:lang w:val="es-CR"/>
        </w:rPr>
        <w:t>: permitió analizar flujos de diseño y construcción en entornos digitales integrados.</w:t>
      </w:r>
    </w:p>
    <w:p w14:paraId="6A547DA6" w14:textId="77777777" w:rsidR="00255610" w:rsidRPr="00A53C01" w:rsidRDefault="00255610" w:rsidP="00D81025">
      <w:pPr>
        <w:pStyle w:val="Prrafodelista"/>
        <w:numPr>
          <w:ilvl w:val="0"/>
          <w:numId w:val="25"/>
        </w:numPr>
        <w:rPr>
          <w:lang w:val="es-CR"/>
        </w:rPr>
      </w:pPr>
      <w:r w:rsidRPr="00A53C01">
        <w:rPr>
          <w:b/>
          <w:bCs/>
          <w:lang w:val="es-CR"/>
        </w:rPr>
        <w:t>Last Planner System</w:t>
      </w:r>
      <w:r w:rsidRPr="00A53C01">
        <w:rPr>
          <w:lang w:val="es-CR"/>
        </w:rPr>
        <w:t>: apoyó la evaluación del grado de compromiso del equipo y la planificación colaborativa.</w:t>
      </w:r>
    </w:p>
    <w:p w14:paraId="46653068" w14:textId="77777777" w:rsidR="00255610" w:rsidRPr="00A53C01" w:rsidRDefault="00255610" w:rsidP="00D81025">
      <w:pPr>
        <w:pStyle w:val="Prrafodelista"/>
        <w:numPr>
          <w:ilvl w:val="0"/>
          <w:numId w:val="25"/>
        </w:numPr>
        <w:rPr>
          <w:lang w:val="es-CR"/>
        </w:rPr>
      </w:pPr>
      <w:r w:rsidRPr="00A53C01">
        <w:rPr>
          <w:b/>
          <w:bCs/>
          <w:lang w:val="es-CR"/>
        </w:rPr>
        <w:t>Lean Construction</w:t>
      </w:r>
      <w:r w:rsidRPr="00A53C01">
        <w:rPr>
          <w:lang w:val="es-CR"/>
        </w:rPr>
        <w:t>: se aplicó como enfoque para reducir desperdicios y mejorar el flujo de trabajo en las etapas del proyecto.</w:t>
      </w:r>
    </w:p>
    <w:p w14:paraId="32FEDD39" w14:textId="77777777" w:rsidR="00255610" w:rsidRPr="00A53C01" w:rsidRDefault="00255610" w:rsidP="00D81025">
      <w:pPr>
        <w:pStyle w:val="Prrafodelista"/>
        <w:numPr>
          <w:ilvl w:val="0"/>
          <w:numId w:val="25"/>
        </w:numPr>
        <w:rPr>
          <w:lang w:val="es-CR"/>
        </w:rPr>
      </w:pPr>
      <w:r w:rsidRPr="00A53C01">
        <w:rPr>
          <w:b/>
          <w:bCs/>
          <w:lang w:val="es-CR"/>
        </w:rPr>
        <w:t>Asana</w:t>
      </w:r>
      <w:r w:rsidRPr="00A53C01">
        <w:rPr>
          <w:lang w:val="es-CR"/>
        </w:rPr>
        <w:t>: plataforma digital usada para gestionar tareas, asignar responsables y monitorear avances del plan.</w:t>
      </w:r>
    </w:p>
    <w:p w14:paraId="7679AC92" w14:textId="77777777" w:rsidR="00255610" w:rsidRPr="00A53C01" w:rsidRDefault="00255610" w:rsidP="00D81025">
      <w:pPr>
        <w:pStyle w:val="Prrafodelista"/>
        <w:numPr>
          <w:ilvl w:val="0"/>
          <w:numId w:val="25"/>
        </w:numPr>
        <w:rPr>
          <w:lang w:val="es-CR"/>
        </w:rPr>
      </w:pPr>
      <w:r w:rsidRPr="00A53C01">
        <w:rPr>
          <w:b/>
          <w:bCs/>
          <w:lang w:val="es-CR"/>
        </w:rPr>
        <w:t>Benchmarking</w:t>
      </w:r>
      <w:r w:rsidRPr="00A53C01">
        <w:rPr>
          <w:lang w:val="es-CR"/>
        </w:rPr>
        <w:t>: facilitó la comparación de procesos internos con estándares de empresas similares.</w:t>
      </w:r>
    </w:p>
    <w:p w14:paraId="34DE4737" w14:textId="77777777" w:rsidR="00255610" w:rsidRPr="00A53C01" w:rsidRDefault="00255610" w:rsidP="00D81025">
      <w:pPr>
        <w:pStyle w:val="Prrafodelista"/>
        <w:numPr>
          <w:ilvl w:val="0"/>
          <w:numId w:val="25"/>
        </w:numPr>
        <w:rPr>
          <w:lang w:val="es-CR"/>
        </w:rPr>
      </w:pPr>
      <w:r w:rsidRPr="00A53C01">
        <w:rPr>
          <w:b/>
          <w:bCs/>
          <w:lang w:val="es-CR"/>
        </w:rPr>
        <w:lastRenderedPageBreak/>
        <w:t>BPMN (Business Process Model and Notation)</w:t>
      </w:r>
      <w:r w:rsidRPr="00A53C01">
        <w:rPr>
          <w:lang w:val="es-CR"/>
        </w:rPr>
        <w:t>: permitió modelar procesos actuales y propuestos de forma visual y estructurada.</w:t>
      </w:r>
    </w:p>
    <w:p w14:paraId="4E5ECB4B" w14:textId="77777777" w:rsidR="00255610" w:rsidRPr="00A53C01" w:rsidRDefault="00255610" w:rsidP="00D81025">
      <w:pPr>
        <w:pStyle w:val="Prrafodelista"/>
        <w:numPr>
          <w:ilvl w:val="0"/>
          <w:numId w:val="25"/>
        </w:numPr>
        <w:rPr>
          <w:lang w:val="es-CR"/>
        </w:rPr>
      </w:pPr>
      <w:r w:rsidRPr="00A53C01">
        <w:rPr>
          <w:b/>
          <w:bCs/>
          <w:lang w:val="es-CR"/>
        </w:rPr>
        <w:t>Análisis causa-raíz</w:t>
      </w:r>
      <w:r w:rsidRPr="00A53C01">
        <w:rPr>
          <w:lang w:val="es-CR"/>
        </w:rPr>
        <w:t>: ayudó a identificar los orígenes de los principales problemas en los proyectos observados.</w:t>
      </w:r>
    </w:p>
    <w:p w14:paraId="25A9CC92" w14:textId="77777777" w:rsidR="00255610" w:rsidRPr="00A53C01" w:rsidRDefault="00255610" w:rsidP="00D81025">
      <w:pPr>
        <w:pStyle w:val="Prrafodelista"/>
        <w:numPr>
          <w:ilvl w:val="0"/>
          <w:numId w:val="25"/>
        </w:numPr>
        <w:rPr>
          <w:lang w:val="es-CR"/>
        </w:rPr>
      </w:pPr>
      <w:r w:rsidRPr="00A53C01">
        <w:rPr>
          <w:b/>
          <w:bCs/>
          <w:lang w:val="es-CR"/>
        </w:rPr>
        <w:t>Matriz de priorización y hoja de ruta</w:t>
      </w:r>
      <w:r w:rsidRPr="00A53C01">
        <w:rPr>
          <w:lang w:val="es-CR"/>
        </w:rPr>
        <w:t>: estructuraron el plan de implementación según impacto y factibilidad.</w:t>
      </w:r>
    </w:p>
    <w:p w14:paraId="7E19CC16" w14:textId="77777777" w:rsidR="00255610" w:rsidRPr="00A53C01" w:rsidRDefault="00255610" w:rsidP="00D81025">
      <w:pPr>
        <w:pStyle w:val="Prrafodelista"/>
        <w:numPr>
          <w:ilvl w:val="0"/>
          <w:numId w:val="25"/>
        </w:numPr>
        <w:rPr>
          <w:lang w:val="es-CR"/>
        </w:rPr>
      </w:pPr>
      <w:r w:rsidRPr="00A53C01">
        <w:rPr>
          <w:b/>
          <w:bCs/>
          <w:lang w:val="es-CR"/>
        </w:rPr>
        <w:t>KPIs (Indicadores clave de desempeño)</w:t>
      </w:r>
      <w:r w:rsidRPr="00A53C01">
        <w:rPr>
          <w:lang w:val="es-CR"/>
        </w:rPr>
        <w:t>: se definieron para comparar procesos actuales con los propuestos y medir beneficios.</w:t>
      </w:r>
    </w:p>
    <w:p w14:paraId="3EB75A09" w14:textId="77777777" w:rsidR="00255610" w:rsidRPr="00A53C01" w:rsidRDefault="00255610" w:rsidP="00D81025">
      <w:pPr>
        <w:pStyle w:val="Prrafodelista"/>
        <w:numPr>
          <w:ilvl w:val="0"/>
          <w:numId w:val="25"/>
        </w:numPr>
        <w:rPr>
          <w:lang w:val="es-CR"/>
        </w:rPr>
      </w:pPr>
      <w:r w:rsidRPr="00A53C01">
        <w:rPr>
          <w:b/>
          <w:bCs/>
          <w:lang w:val="es-CR"/>
        </w:rPr>
        <w:t>Cronogramas Gantt y Project</w:t>
      </w:r>
      <w:r w:rsidRPr="00A53C01">
        <w:rPr>
          <w:lang w:val="es-CR"/>
        </w:rPr>
        <w:t>: apoyaron la planificación visual y la gestión temporal del plan de mejora.</w:t>
      </w:r>
    </w:p>
    <w:p w14:paraId="1B05D06E" w14:textId="77777777" w:rsidR="00255610" w:rsidRPr="00255610" w:rsidRDefault="00255610" w:rsidP="00D81025">
      <w:pPr>
        <w:rPr>
          <w:lang w:val="es-CR"/>
        </w:rPr>
      </w:pPr>
      <w:r w:rsidRPr="00A53C01">
        <w:rPr>
          <w:lang w:val="es-CR"/>
        </w:rPr>
        <w:t>Estas herramientas, aplicadas de forma articulada, permitieron abordar las fases del proyecto desde el diagnóstico hasta la validación de las propuestas, fortaleciendo la coherencia entre la teoría, el análisis práctico y la propuesta final.</w:t>
      </w:r>
    </w:p>
    <w:p w14:paraId="0000017B" w14:textId="77777777" w:rsidR="00A2355F" w:rsidRDefault="00A2355F" w:rsidP="00D81025">
      <w:pPr>
        <w:rPr>
          <w:color w:val="FF0000"/>
        </w:rPr>
      </w:pPr>
    </w:p>
    <w:p w14:paraId="79BEA5D5" w14:textId="3AFFFEB7" w:rsidR="00CA7A66" w:rsidRDefault="00CA7A66" w:rsidP="00D81025">
      <w:pPr>
        <w:pBdr>
          <w:top w:val="nil"/>
          <w:left w:val="nil"/>
          <w:bottom w:val="nil"/>
          <w:right w:val="nil"/>
          <w:between w:val="nil"/>
        </w:pBdr>
        <w:spacing w:after="200"/>
        <w:ind w:firstLine="0"/>
        <w:rPr>
          <w:b/>
          <w:color w:val="000000"/>
        </w:rPr>
      </w:pPr>
      <w:bookmarkStart w:id="69" w:name="_Toc210425790"/>
      <w:r w:rsidRPr="00CA7A66">
        <w:rPr>
          <w:b/>
          <w:color w:val="000000"/>
        </w:rPr>
        <w:t xml:space="preserve">Tabla </w:t>
      </w:r>
      <w:r w:rsidRPr="00CA7A66">
        <w:rPr>
          <w:b/>
          <w:color w:val="000000"/>
        </w:rPr>
        <w:fldChar w:fldCharType="begin"/>
      </w:r>
      <w:r w:rsidRPr="00CA7A66">
        <w:rPr>
          <w:b/>
          <w:color w:val="000000"/>
        </w:rPr>
        <w:instrText xml:space="preserve"> SEQ Tabla \* ARABIC </w:instrText>
      </w:r>
      <w:r w:rsidRPr="00CA7A66">
        <w:rPr>
          <w:b/>
          <w:color w:val="000000"/>
        </w:rPr>
        <w:fldChar w:fldCharType="separate"/>
      </w:r>
      <w:r w:rsidR="00795FC2">
        <w:rPr>
          <w:b/>
          <w:noProof/>
          <w:color w:val="000000"/>
        </w:rPr>
        <w:t>3</w:t>
      </w:r>
      <w:bookmarkEnd w:id="69"/>
      <w:r w:rsidRPr="00CA7A66">
        <w:rPr>
          <w:b/>
          <w:color w:val="000000"/>
        </w:rPr>
        <w:fldChar w:fldCharType="end"/>
      </w:r>
    </w:p>
    <w:p w14:paraId="07D54635" w14:textId="6C949872" w:rsidR="00CA7A66" w:rsidRPr="00CA7A66" w:rsidRDefault="00CA7A66" w:rsidP="00D81025">
      <w:pPr>
        <w:pStyle w:val="Ttulo5"/>
        <w:numPr>
          <w:ilvl w:val="0"/>
          <w:numId w:val="0"/>
        </w:numPr>
        <w:rPr>
          <w:b w:val="0"/>
          <w:i/>
        </w:rPr>
      </w:pPr>
      <w:r>
        <w:rPr>
          <w:b w:val="0"/>
          <w:i/>
        </w:rPr>
        <w:t xml:space="preserve">Herramientas Utilizadas </w:t>
      </w:r>
    </w:p>
    <w:tbl>
      <w:tblPr>
        <w:tblStyle w:val="22"/>
        <w:tblpPr w:leftFromText="141" w:rightFromText="141" w:vertAnchor="text" w:tblpY="137"/>
        <w:tblW w:w="922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55"/>
        <w:gridCol w:w="4574"/>
      </w:tblGrid>
      <w:tr w:rsidR="00A2355F" w14:paraId="35B53D48" w14:textId="77777777" w:rsidTr="00DC65B6">
        <w:trPr>
          <w:trHeight w:val="552"/>
        </w:trPr>
        <w:tc>
          <w:tcPr>
            <w:tcW w:w="4655" w:type="dxa"/>
            <w:vAlign w:val="center"/>
          </w:tcPr>
          <w:p w14:paraId="0000017E" w14:textId="77777777" w:rsidR="00A2355F" w:rsidRDefault="00990D5A" w:rsidP="00D81025">
            <w:pPr>
              <w:jc w:val="center"/>
            </w:pPr>
            <w:r>
              <w:t>Objetivos</w:t>
            </w:r>
          </w:p>
        </w:tc>
        <w:tc>
          <w:tcPr>
            <w:tcW w:w="4574" w:type="dxa"/>
            <w:vAlign w:val="center"/>
          </w:tcPr>
          <w:p w14:paraId="0000017F" w14:textId="77777777" w:rsidR="00A2355F" w:rsidRDefault="00990D5A" w:rsidP="00D81025">
            <w:pPr>
              <w:jc w:val="center"/>
            </w:pPr>
            <w:r>
              <w:t>Herramientas</w:t>
            </w:r>
          </w:p>
        </w:tc>
      </w:tr>
      <w:tr w:rsidR="00FB3293" w14:paraId="04FCD3D1" w14:textId="77777777" w:rsidTr="00DC65B6">
        <w:trPr>
          <w:trHeight w:val="956"/>
        </w:trPr>
        <w:tc>
          <w:tcPr>
            <w:tcW w:w="4655" w:type="dxa"/>
          </w:tcPr>
          <w:p w14:paraId="643A6A45" w14:textId="3C3F2909" w:rsidR="00FB3293" w:rsidRDefault="00FB3293" w:rsidP="00D81025">
            <w:pPr>
              <w:ind w:firstLine="0"/>
            </w:pPr>
            <w:r>
              <w:t xml:space="preserve">1. </w:t>
            </w:r>
            <w:r>
              <w:rPr>
                <w:highlight w:val="white"/>
              </w:rPr>
              <w:t xml:space="preserve">Analizar el proceso actual de planificación y control de proyectos “Design &amp; Build” en Contract Workplaces, para identificar las fortalezas, debilidades y oportunidades de </w:t>
            </w:r>
            <w:r w:rsidRPr="00B05832">
              <w:t>mejora.</w:t>
            </w:r>
          </w:p>
          <w:p w14:paraId="00000180" w14:textId="7631FDBE" w:rsidR="00FB3293" w:rsidRDefault="00FB3293" w:rsidP="00D81025">
            <w:pPr>
              <w:ind w:firstLine="0"/>
            </w:pPr>
          </w:p>
        </w:tc>
        <w:tc>
          <w:tcPr>
            <w:tcW w:w="4574" w:type="dxa"/>
          </w:tcPr>
          <w:p w14:paraId="23A5941E" w14:textId="77777777" w:rsidR="00FB3293" w:rsidRPr="00990C1A" w:rsidRDefault="00FB3293" w:rsidP="00D81025">
            <w:pPr>
              <w:ind w:firstLine="0"/>
              <w:rPr>
                <w:highlight w:val="white"/>
              </w:rPr>
            </w:pPr>
            <w:r w:rsidRPr="00990C1A">
              <w:rPr>
                <w:highlight w:val="white"/>
              </w:rPr>
              <w:t>Análisis de procesos, revisión documental, Asana, diagrama SIPOC, uso de cronogramas históricos, observación no participativa, aplicación de Lean Construction.</w:t>
            </w:r>
          </w:p>
          <w:p w14:paraId="00000181" w14:textId="25546FA8" w:rsidR="00FB3293" w:rsidRDefault="00FB3293" w:rsidP="00D81025">
            <w:pPr>
              <w:ind w:firstLine="0"/>
              <w:rPr>
                <w:highlight w:val="yellow"/>
              </w:rPr>
            </w:pPr>
          </w:p>
        </w:tc>
      </w:tr>
      <w:tr w:rsidR="005C51D7" w14:paraId="182453E8" w14:textId="77777777" w:rsidTr="00DC65B6">
        <w:trPr>
          <w:trHeight w:val="956"/>
        </w:trPr>
        <w:tc>
          <w:tcPr>
            <w:tcW w:w="4655" w:type="dxa"/>
          </w:tcPr>
          <w:p w14:paraId="54B2A2C2" w14:textId="77777777" w:rsidR="005C51D7" w:rsidRDefault="005C51D7" w:rsidP="00D81025">
            <w:pPr>
              <w:ind w:firstLine="0"/>
            </w:pPr>
            <w:r>
              <w:lastRenderedPageBreak/>
              <w:t xml:space="preserve">2. </w:t>
            </w:r>
            <w:r>
              <w:rPr>
                <w:highlight w:val="white"/>
              </w:rPr>
              <w:t>Determinar las necesidades de integración entre diseño y ejecución, para fortalecer la toma de decisiones durante la ejecución del proyecto.</w:t>
            </w:r>
          </w:p>
          <w:p w14:paraId="1B55B5DE" w14:textId="77777777" w:rsidR="005C51D7" w:rsidRDefault="005C51D7" w:rsidP="00D81025">
            <w:pPr>
              <w:ind w:firstLine="0"/>
            </w:pPr>
          </w:p>
        </w:tc>
        <w:tc>
          <w:tcPr>
            <w:tcW w:w="4574" w:type="dxa"/>
          </w:tcPr>
          <w:p w14:paraId="7727D52F" w14:textId="77777777" w:rsidR="005C51D7" w:rsidRDefault="005C51D7" w:rsidP="00D81025">
            <w:pPr>
              <w:ind w:firstLine="0"/>
              <w:rPr>
                <w:highlight w:val="white"/>
              </w:rPr>
            </w:pPr>
            <w:r w:rsidRPr="00990C1A">
              <w:rPr>
                <w:highlight w:val="white"/>
              </w:rPr>
              <w:t>Mapas de interacción, matriz RACI, revisión de roles y flujos de trabajo, análisis de flujo con BIM, análisis organizacional, diagnóstico con apoyo de Last Planner.</w:t>
            </w:r>
          </w:p>
          <w:p w14:paraId="422ECABC" w14:textId="77777777" w:rsidR="005C51D7" w:rsidRPr="00990C1A" w:rsidRDefault="005C51D7" w:rsidP="00D81025">
            <w:pPr>
              <w:ind w:firstLine="0"/>
              <w:rPr>
                <w:highlight w:val="white"/>
              </w:rPr>
            </w:pPr>
          </w:p>
        </w:tc>
      </w:tr>
      <w:tr w:rsidR="005C51D7" w14:paraId="4F1399D9" w14:textId="77777777" w:rsidTr="00DC65B6">
        <w:trPr>
          <w:trHeight w:val="956"/>
        </w:trPr>
        <w:tc>
          <w:tcPr>
            <w:tcW w:w="4655" w:type="dxa"/>
          </w:tcPr>
          <w:p w14:paraId="19B67FC3" w14:textId="5DEE9D3D" w:rsidR="005C51D7" w:rsidRDefault="005C51D7" w:rsidP="00D81025">
            <w:pPr>
              <w:ind w:firstLine="0"/>
            </w:pPr>
            <w:r>
              <w:t xml:space="preserve">3. </w:t>
            </w:r>
            <w:r>
              <w:rPr>
                <w:highlight w:val="white"/>
              </w:rPr>
              <w:t>Diseñar propuestas de mejora en los procesos de planificación y control, para optimizar la integración entre diseño y construcción y mejorar los resultados del proyecto.</w:t>
            </w:r>
          </w:p>
          <w:p w14:paraId="7C9C5270" w14:textId="77777777" w:rsidR="005C51D7" w:rsidRDefault="005C51D7" w:rsidP="00D81025">
            <w:pPr>
              <w:ind w:firstLine="0"/>
            </w:pPr>
          </w:p>
        </w:tc>
        <w:tc>
          <w:tcPr>
            <w:tcW w:w="4574" w:type="dxa"/>
          </w:tcPr>
          <w:p w14:paraId="14D5D291" w14:textId="77777777" w:rsidR="005C51D7" w:rsidRPr="00990C1A" w:rsidRDefault="005C51D7" w:rsidP="00D81025">
            <w:pPr>
              <w:ind w:firstLine="0"/>
              <w:rPr>
                <w:highlight w:val="white"/>
              </w:rPr>
            </w:pPr>
            <w:r w:rsidRPr="00990C1A">
              <w:rPr>
                <w:highlight w:val="white"/>
              </w:rPr>
              <w:t>Benchmarking interno, modelado de procesos con BPMN, simulación de escenarios, Asana para planificación, técnicas de mejora continua, cronogramas optimizados, análisis causa-raíz.</w:t>
            </w:r>
          </w:p>
          <w:p w14:paraId="14139A50" w14:textId="77777777" w:rsidR="005C51D7" w:rsidRPr="00990C1A" w:rsidRDefault="005C51D7" w:rsidP="00D81025">
            <w:pPr>
              <w:ind w:firstLine="0"/>
              <w:rPr>
                <w:highlight w:val="white"/>
              </w:rPr>
            </w:pPr>
          </w:p>
        </w:tc>
      </w:tr>
      <w:tr w:rsidR="005C51D7" w14:paraId="1C8FB865" w14:textId="77777777" w:rsidTr="00DC65B6">
        <w:trPr>
          <w:trHeight w:val="956"/>
        </w:trPr>
        <w:tc>
          <w:tcPr>
            <w:tcW w:w="4655" w:type="dxa"/>
          </w:tcPr>
          <w:p w14:paraId="29CAB2D9" w14:textId="77777777" w:rsidR="005C51D7" w:rsidRDefault="005C51D7" w:rsidP="00D81025">
            <w:pPr>
              <w:ind w:firstLine="0"/>
            </w:pPr>
            <w:r>
              <w:rPr>
                <w:highlight w:val="white"/>
              </w:rPr>
              <w:t>4.</w:t>
            </w:r>
            <w:r w:rsidRPr="00E01D79">
              <w:rPr>
                <w:highlight w:val="white"/>
              </w:rPr>
              <w:t>Desarrollar un plan de implementación de las mejoras propuestas, para facilitar su adopción en los proyectos futuros.</w:t>
            </w:r>
          </w:p>
          <w:p w14:paraId="03A74C62" w14:textId="77777777" w:rsidR="005C51D7" w:rsidRDefault="005C51D7" w:rsidP="00D81025">
            <w:pPr>
              <w:ind w:firstLine="0"/>
            </w:pPr>
          </w:p>
        </w:tc>
        <w:tc>
          <w:tcPr>
            <w:tcW w:w="4574" w:type="dxa"/>
          </w:tcPr>
          <w:p w14:paraId="442A0F09" w14:textId="74A3F78B" w:rsidR="005C51D7" w:rsidRPr="00990C1A" w:rsidRDefault="005C51D7" w:rsidP="00D81025">
            <w:pPr>
              <w:ind w:firstLine="0"/>
              <w:rPr>
                <w:highlight w:val="white"/>
              </w:rPr>
            </w:pPr>
            <w:r w:rsidRPr="00990C1A">
              <w:rPr>
                <w:highlight w:val="white"/>
              </w:rPr>
              <w:t xml:space="preserve">Plan de acción en fases, hoja de ruta, análisis de stakeholders, matriz de </w:t>
            </w:r>
            <w:r w:rsidR="00605C38">
              <w:rPr>
                <w:highlight w:val="white"/>
              </w:rPr>
              <w:t>s</w:t>
            </w:r>
            <w:r w:rsidRPr="00990C1A">
              <w:rPr>
                <w:highlight w:val="white"/>
              </w:rPr>
              <w:t>priorización, revisión de recursos, cronogramas Gantt con Project y BIM, herramientas colaborativas digitales.</w:t>
            </w:r>
          </w:p>
        </w:tc>
      </w:tr>
      <w:tr w:rsidR="005C51D7" w14:paraId="7E8257FD" w14:textId="77777777" w:rsidTr="00DC65B6">
        <w:trPr>
          <w:trHeight w:val="956"/>
        </w:trPr>
        <w:tc>
          <w:tcPr>
            <w:tcW w:w="4655" w:type="dxa"/>
          </w:tcPr>
          <w:p w14:paraId="6568DD00" w14:textId="77777777" w:rsidR="005C51D7" w:rsidRPr="00B05832" w:rsidRDefault="005C51D7" w:rsidP="00D81025">
            <w:pPr>
              <w:ind w:firstLine="0"/>
              <w:rPr>
                <w:highlight w:val="white"/>
              </w:rPr>
            </w:pPr>
            <w:r w:rsidRPr="00B05832">
              <w:rPr>
                <w:highlight w:val="white"/>
              </w:rPr>
              <w:t>5.</w:t>
            </w:r>
            <w:r>
              <w:rPr>
                <w:highlight w:val="white"/>
              </w:rPr>
              <w:t xml:space="preserve"> </w:t>
            </w:r>
            <w:r w:rsidRPr="00B05832">
              <w:rPr>
                <w:highlight w:val="white"/>
              </w:rPr>
              <w:t>Comparar los procesos actuales con las propuestas de mejora desarrolladas, para identificar sus principales diferencias y beneficios en la gestión de proyectos “Design &amp; Build” en Contract Workplaces.</w:t>
            </w:r>
          </w:p>
          <w:p w14:paraId="409B0D22" w14:textId="77777777" w:rsidR="005C51D7" w:rsidRDefault="005C51D7" w:rsidP="00D81025">
            <w:pPr>
              <w:ind w:firstLine="0"/>
              <w:rPr>
                <w:highlight w:val="white"/>
              </w:rPr>
            </w:pPr>
          </w:p>
        </w:tc>
        <w:tc>
          <w:tcPr>
            <w:tcW w:w="4574" w:type="dxa"/>
          </w:tcPr>
          <w:p w14:paraId="4F589C93" w14:textId="77777777" w:rsidR="005C51D7" w:rsidRPr="00990C1A" w:rsidRDefault="005C51D7" w:rsidP="00D81025">
            <w:pPr>
              <w:ind w:firstLine="0"/>
              <w:rPr>
                <w:highlight w:val="white"/>
              </w:rPr>
            </w:pPr>
            <w:r w:rsidRPr="00990C1A">
              <w:rPr>
                <w:highlight w:val="white"/>
              </w:rPr>
              <w:t>Cuadro comparativo, análisis de brechas, indicadores clave de desempeño (KPIs), validación de escenarios, revisión estructural con apoyo de Lean Construction y feedback interno.</w:t>
            </w:r>
          </w:p>
          <w:p w14:paraId="1753A234" w14:textId="77777777" w:rsidR="005C51D7" w:rsidRPr="00990C1A" w:rsidRDefault="005C51D7" w:rsidP="00D81025">
            <w:pPr>
              <w:ind w:firstLine="0"/>
              <w:rPr>
                <w:highlight w:val="white"/>
              </w:rPr>
            </w:pPr>
          </w:p>
        </w:tc>
      </w:tr>
    </w:tbl>
    <w:p w14:paraId="33B979AB" w14:textId="0AB0D7DA" w:rsidR="00FB3293" w:rsidRDefault="00E10D9A" w:rsidP="00D81025">
      <w:pPr>
        <w:ind w:firstLine="0"/>
      </w:pPr>
      <w:r w:rsidRPr="00E10D9A">
        <w:rPr>
          <w:i/>
        </w:rPr>
        <w:t>Nota</w:t>
      </w:r>
      <w:r>
        <w:rPr>
          <w:i/>
        </w:rPr>
        <w:t xml:space="preserve">: </w:t>
      </w:r>
      <w:r w:rsidRPr="00E10D9A">
        <w:rPr>
          <w:i/>
          <w:iCs/>
        </w:rPr>
        <w:t>Fuente: Elaboración propia.</w:t>
      </w:r>
      <w:r w:rsidRPr="00E10D9A">
        <w:rPr>
          <w:i/>
        </w:rPr>
        <w:br/>
        <w:t>La Tabla 3 muestra las herramientas utilizadas en correspondencia con cada objetivo.</w:t>
      </w:r>
    </w:p>
    <w:p w14:paraId="00000186" w14:textId="273CC9E5" w:rsidR="00A2355F" w:rsidRDefault="007D3402" w:rsidP="00237B6D">
      <w:pPr>
        <w:pStyle w:val="Ttulo2"/>
      </w:pPr>
      <w:bookmarkStart w:id="70" w:name="_Toc200286368"/>
      <w:bookmarkStart w:id="71" w:name="_Toc212406369"/>
      <w:r>
        <w:lastRenderedPageBreak/>
        <w:t xml:space="preserve">3.4 </w:t>
      </w:r>
      <w:r w:rsidR="00990D5A">
        <w:t>Supuestos y restricciones</w:t>
      </w:r>
      <w:bookmarkEnd w:id="70"/>
      <w:bookmarkEnd w:id="71"/>
    </w:p>
    <w:p w14:paraId="301E72CB" w14:textId="77777777" w:rsidR="00FB3293" w:rsidRPr="00FB3293" w:rsidRDefault="00FB3293" w:rsidP="00D81025">
      <w:pPr>
        <w:pStyle w:val="Figura1"/>
        <w:rPr>
          <w:lang w:val="es-CR" w:eastAsia="es-CR"/>
        </w:rPr>
      </w:pPr>
      <w:r w:rsidRPr="00FB3293">
        <w:rPr>
          <w:lang w:val="es-CR" w:eastAsia="es-CR"/>
        </w:rPr>
        <w:t>En la gestión de proyectos, los supuestos y las restricciones son elementos clave que condicionan la planificación y ejecución. Según Schwalbe (2018), un supuesto es cualquier factor que se considera verdadero, real o cierto sin pruebas o demostración, que afecta la planificación del proyecto. Por otro lado, una restricción es una limitación o restricción que afecta el desempeño del proyecto, ya sea en alcance, tiempo, costo o calidad (PMI, 2021).</w:t>
      </w:r>
    </w:p>
    <w:p w14:paraId="1B26912B" w14:textId="77777777" w:rsidR="00FB3293" w:rsidRPr="00FB3293" w:rsidRDefault="00FB3293" w:rsidP="00D81025">
      <w:pPr>
        <w:pStyle w:val="Figura1"/>
        <w:rPr>
          <w:lang w:val="es-CR" w:eastAsia="es-CR"/>
        </w:rPr>
      </w:pPr>
      <w:r w:rsidRPr="00FB3293">
        <w:rPr>
          <w:lang w:val="es-CR" w:eastAsia="es-CR"/>
        </w:rPr>
        <w:t>En este proyecto, se identificaron supuestos relacionados con el acceso a información interna, la colaboración de los equipos de trabajo, y la disponibilidad de herramientas tecnológicas. Asimismo, se definieron restricciones asociadas a la confidencialidad de datos, las licencias de software, y la imposibilidad de implementar en la práctica las mejoras propuestas durante la investigación.</w:t>
      </w:r>
    </w:p>
    <w:p w14:paraId="00000189" w14:textId="77777777" w:rsidR="00A2355F" w:rsidRDefault="00A2355F" w:rsidP="00D81025">
      <w:pPr>
        <w:pBdr>
          <w:top w:val="nil"/>
          <w:left w:val="nil"/>
          <w:bottom w:val="nil"/>
          <w:right w:val="nil"/>
          <w:between w:val="nil"/>
        </w:pBdr>
        <w:spacing w:after="200"/>
        <w:ind w:firstLine="0"/>
        <w:rPr>
          <w:b/>
          <w:color w:val="000000"/>
        </w:rPr>
      </w:pPr>
    </w:p>
    <w:p w14:paraId="5FEF2327" w14:textId="77777777" w:rsidR="00476C00" w:rsidRDefault="00476C00" w:rsidP="00D81025">
      <w:pPr>
        <w:pBdr>
          <w:top w:val="nil"/>
          <w:left w:val="nil"/>
          <w:bottom w:val="nil"/>
          <w:right w:val="nil"/>
          <w:between w:val="nil"/>
        </w:pBdr>
        <w:spacing w:after="200"/>
        <w:ind w:firstLine="0"/>
        <w:rPr>
          <w:b/>
          <w:color w:val="000000"/>
        </w:rPr>
      </w:pPr>
    </w:p>
    <w:p w14:paraId="346A1D10" w14:textId="77777777" w:rsidR="00476C00" w:rsidRDefault="00476C00" w:rsidP="00D81025">
      <w:pPr>
        <w:pBdr>
          <w:top w:val="nil"/>
          <w:left w:val="nil"/>
          <w:bottom w:val="nil"/>
          <w:right w:val="nil"/>
          <w:between w:val="nil"/>
        </w:pBdr>
        <w:spacing w:after="200"/>
        <w:ind w:firstLine="0"/>
        <w:rPr>
          <w:b/>
          <w:color w:val="000000"/>
        </w:rPr>
      </w:pPr>
    </w:p>
    <w:p w14:paraId="53311272" w14:textId="77777777" w:rsidR="00476C00" w:rsidRDefault="00476C00" w:rsidP="00D81025">
      <w:pPr>
        <w:pBdr>
          <w:top w:val="nil"/>
          <w:left w:val="nil"/>
          <w:bottom w:val="nil"/>
          <w:right w:val="nil"/>
          <w:between w:val="nil"/>
        </w:pBdr>
        <w:spacing w:after="200"/>
        <w:ind w:firstLine="0"/>
        <w:rPr>
          <w:b/>
          <w:color w:val="000000"/>
        </w:rPr>
      </w:pPr>
    </w:p>
    <w:p w14:paraId="6069C279" w14:textId="77777777" w:rsidR="00476C00" w:rsidRDefault="00476C00" w:rsidP="00D81025">
      <w:pPr>
        <w:pBdr>
          <w:top w:val="nil"/>
          <w:left w:val="nil"/>
          <w:bottom w:val="nil"/>
          <w:right w:val="nil"/>
          <w:between w:val="nil"/>
        </w:pBdr>
        <w:spacing w:after="200"/>
        <w:ind w:firstLine="0"/>
        <w:rPr>
          <w:b/>
          <w:color w:val="000000"/>
        </w:rPr>
      </w:pPr>
    </w:p>
    <w:p w14:paraId="16BAC4B6" w14:textId="77777777" w:rsidR="00476C00" w:rsidRDefault="00476C00" w:rsidP="00D81025">
      <w:pPr>
        <w:pBdr>
          <w:top w:val="nil"/>
          <w:left w:val="nil"/>
          <w:bottom w:val="nil"/>
          <w:right w:val="nil"/>
          <w:between w:val="nil"/>
        </w:pBdr>
        <w:spacing w:after="200"/>
        <w:ind w:firstLine="0"/>
        <w:rPr>
          <w:b/>
          <w:color w:val="000000"/>
        </w:rPr>
      </w:pPr>
    </w:p>
    <w:p w14:paraId="60F69ADE" w14:textId="77777777" w:rsidR="00476C00" w:rsidRDefault="00476C00" w:rsidP="00D81025">
      <w:pPr>
        <w:pBdr>
          <w:top w:val="nil"/>
          <w:left w:val="nil"/>
          <w:bottom w:val="nil"/>
          <w:right w:val="nil"/>
          <w:between w:val="nil"/>
        </w:pBdr>
        <w:spacing w:after="200"/>
        <w:ind w:firstLine="0"/>
        <w:rPr>
          <w:b/>
          <w:color w:val="000000"/>
        </w:rPr>
      </w:pPr>
    </w:p>
    <w:p w14:paraId="49486A4A" w14:textId="77777777" w:rsidR="007D3402" w:rsidRDefault="007D3402" w:rsidP="00D81025">
      <w:pPr>
        <w:pBdr>
          <w:top w:val="nil"/>
          <w:left w:val="nil"/>
          <w:bottom w:val="nil"/>
          <w:right w:val="nil"/>
          <w:between w:val="nil"/>
        </w:pBdr>
        <w:spacing w:after="200"/>
        <w:ind w:firstLine="0"/>
        <w:rPr>
          <w:b/>
          <w:color w:val="000000"/>
        </w:rPr>
      </w:pPr>
    </w:p>
    <w:p w14:paraId="38D8197C" w14:textId="77777777" w:rsidR="00476C00" w:rsidRDefault="00476C00" w:rsidP="00D81025">
      <w:pPr>
        <w:pBdr>
          <w:top w:val="nil"/>
          <w:left w:val="nil"/>
          <w:bottom w:val="nil"/>
          <w:right w:val="nil"/>
          <w:between w:val="nil"/>
        </w:pBdr>
        <w:spacing w:after="200"/>
        <w:ind w:firstLine="0"/>
        <w:rPr>
          <w:b/>
          <w:color w:val="000000"/>
        </w:rPr>
      </w:pPr>
    </w:p>
    <w:p w14:paraId="09F4781A" w14:textId="3FCD6C8C" w:rsidR="00CA7A66" w:rsidRDefault="00CA7A66" w:rsidP="00D81025">
      <w:pPr>
        <w:pBdr>
          <w:top w:val="nil"/>
          <w:left w:val="nil"/>
          <w:bottom w:val="nil"/>
          <w:right w:val="nil"/>
          <w:between w:val="nil"/>
        </w:pBdr>
        <w:spacing w:after="200"/>
        <w:ind w:firstLine="0"/>
        <w:rPr>
          <w:b/>
          <w:color w:val="000000"/>
        </w:rPr>
      </w:pPr>
      <w:bookmarkStart w:id="72" w:name="_Toc210425791"/>
      <w:r w:rsidRPr="00CA7A66">
        <w:rPr>
          <w:b/>
          <w:color w:val="000000"/>
        </w:rPr>
        <w:lastRenderedPageBreak/>
        <w:t xml:space="preserve">Tabla </w:t>
      </w:r>
      <w:r w:rsidRPr="00CA7A66">
        <w:rPr>
          <w:b/>
          <w:color w:val="000000"/>
        </w:rPr>
        <w:fldChar w:fldCharType="begin"/>
      </w:r>
      <w:r w:rsidRPr="00CA7A66">
        <w:rPr>
          <w:b/>
          <w:color w:val="000000"/>
        </w:rPr>
        <w:instrText xml:space="preserve"> SEQ Tabla \* ARABIC </w:instrText>
      </w:r>
      <w:r w:rsidRPr="00CA7A66">
        <w:rPr>
          <w:b/>
          <w:color w:val="000000"/>
        </w:rPr>
        <w:fldChar w:fldCharType="separate"/>
      </w:r>
      <w:r w:rsidR="00795FC2">
        <w:rPr>
          <w:b/>
          <w:noProof/>
          <w:color w:val="000000"/>
        </w:rPr>
        <w:t>4</w:t>
      </w:r>
      <w:bookmarkEnd w:id="72"/>
      <w:r w:rsidRPr="00CA7A66">
        <w:rPr>
          <w:b/>
          <w:color w:val="000000"/>
        </w:rPr>
        <w:fldChar w:fldCharType="end"/>
      </w:r>
    </w:p>
    <w:p w14:paraId="6144E4AC" w14:textId="2CA535C7" w:rsidR="00CA7A66" w:rsidRPr="00476C00" w:rsidRDefault="00CA7A66" w:rsidP="00D81025">
      <w:pPr>
        <w:pStyle w:val="Ttulo5"/>
        <w:numPr>
          <w:ilvl w:val="0"/>
          <w:numId w:val="0"/>
        </w:numPr>
        <w:rPr>
          <w:b w:val="0"/>
          <w:i/>
        </w:rPr>
      </w:pPr>
      <w:r>
        <w:rPr>
          <w:b w:val="0"/>
          <w:i/>
        </w:rPr>
        <w:t>Supuestos y restricciones</w:t>
      </w:r>
    </w:p>
    <w:tbl>
      <w:tblPr>
        <w:tblStyle w:val="21"/>
        <w:tblW w:w="995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90"/>
        <w:gridCol w:w="2551"/>
        <w:gridCol w:w="2710"/>
      </w:tblGrid>
      <w:tr w:rsidR="00A2355F" w14:paraId="03F26825" w14:textId="77777777" w:rsidTr="00FB47EB">
        <w:trPr>
          <w:trHeight w:val="550"/>
          <w:jc w:val="center"/>
        </w:trPr>
        <w:tc>
          <w:tcPr>
            <w:tcW w:w="4690" w:type="dxa"/>
          </w:tcPr>
          <w:p w14:paraId="0000018C" w14:textId="77777777" w:rsidR="00A2355F" w:rsidRDefault="00990D5A" w:rsidP="00D81025">
            <w:pPr>
              <w:ind w:right="1014" w:firstLine="0"/>
              <w:jc w:val="center"/>
            </w:pPr>
            <w:r>
              <w:t>Objetivos</w:t>
            </w:r>
          </w:p>
        </w:tc>
        <w:tc>
          <w:tcPr>
            <w:tcW w:w="2551" w:type="dxa"/>
          </w:tcPr>
          <w:p w14:paraId="0000018D" w14:textId="77777777" w:rsidR="00A2355F" w:rsidRDefault="00990D5A" w:rsidP="00D81025">
            <w:pPr>
              <w:ind w:left="-231" w:firstLine="0"/>
              <w:jc w:val="center"/>
            </w:pPr>
            <w:r>
              <w:t>Supuestos</w:t>
            </w:r>
          </w:p>
        </w:tc>
        <w:tc>
          <w:tcPr>
            <w:tcW w:w="2710" w:type="dxa"/>
          </w:tcPr>
          <w:p w14:paraId="0000018E" w14:textId="77777777" w:rsidR="00A2355F" w:rsidRDefault="00990D5A" w:rsidP="00D81025">
            <w:pPr>
              <w:ind w:firstLine="0"/>
              <w:jc w:val="center"/>
            </w:pPr>
            <w:r>
              <w:t>Restricciones</w:t>
            </w:r>
          </w:p>
        </w:tc>
      </w:tr>
      <w:tr w:rsidR="00FB3293" w14:paraId="4BBED276" w14:textId="77777777" w:rsidTr="00FB47EB">
        <w:trPr>
          <w:trHeight w:val="828"/>
          <w:jc w:val="center"/>
        </w:trPr>
        <w:tc>
          <w:tcPr>
            <w:tcW w:w="4690" w:type="dxa"/>
          </w:tcPr>
          <w:p w14:paraId="79040046" w14:textId="435C5889" w:rsidR="00FB3293" w:rsidRDefault="00FB3293" w:rsidP="00D81025">
            <w:pPr>
              <w:ind w:firstLine="0"/>
            </w:pPr>
            <w:r>
              <w:t xml:space="preserve">1. </w:t>
            </w:r>
            <w:r>
              <w:rPr>
                <w:highlight w:val="white"/>
              </w:rPr>
              <w:t xml:space="preserve">Analizar el proceso actual de planificación y control de proyectos “Design &amp; Build” en Contract Workplaces, para identificar las fortalezas, debilidades y oportunidades de </w:t>
            </w:r>
            <w:r w:rsidRPr="00B05832">
              <w:t>mejora.</w:t>
            </w:r>
          </w:p>
          <w:p w14:paraId="00000192" w14:textId="4AE0A65F" w:rsidR="00FB3293" w:rsidRDefault="00FB3293" w:rsidP="00D81025">
            <w:pPr>
              <w:ind w:left="180" w:firstLine="0"/>
              <w:rPr>
                <w:highlight w:val="yellow"/>
              </w:rPr>
            </w:pPr>
          </w:p>
        </w:tc>
        <w:tc>
          <w:tcPr>
            <w:tcW w:w="2551" w:type="dxa"/>
            <w:vAlign w:val="center"/>
          </w:tcPr>
          <w:p w14:paraId="0A649FA4" w14:textId="77777777" w:rsidR="00FB3293" w:rsidRPr="00990C1A" w:rsidRDefault="00FB3293" w:rsidP="00D81025">
            <w:pPr>
              <w:ind w:firstLine="0"/>
              <w:rPr>
                <w:highlight w:val="white"/>
              </w:rPr>
            </w:pPr>
            <w:r w:rsidRPr="00990C1A">
              <w:rPr>
                <w:highlight w:val="white"/>
              </w:rPr>
              <w:t>Se asumió que se tendría acceso a documentos internos de procesos y cronogramas anteriores.</w:t>
            </w:r>
          </w:p>
          <w:p w14:paraId="00000193" w14:textId="77777777" w:rsidR="00FB3293" w:rsidRPr="00990C1A" w:rsidRDefault="00FB3293" w:rsidP="00D81025">
            <w:pPr>
              <w:ind w:firstLine="0"/>
              <w:rPr>
                <w:highlight w:val="white"/>
              </w:rPr>
            </w:pPr>
          </w:p>
        </w:tc>
        <w:tc>
          <w:tcPr>
            <w:tcW w:w="2710" w:type="dxa"/>
            <w:vAlign w:val="center"/>
          </w:tcPr>
          <w:p w14:paraId="3549789F" w14:textId="77777777" w:rsidR="00DF2595" w:rsidRPr="00990C1A" w:rsidRDefault="00DF2595" w:rsidP="00D81025">
            <w:pPr>
              <w:ind w:firstLine="0"/>
              <w:rPr>
                <w:highlight w:val="white"/>
              </w:rPr>
            </w:pPr>
            <w:r w:rsidRPr="00990C1A">
              <w:rPr>
                <w:highlight w:val="white"/>
              </w:rPr>
              <w:t>Limitación en el acceso a ciertos datos sensibles como presupuestos detallados o métricas financieras específicas.</w:t>
            </w:r>
          </w:p>
          <w:p w14:paraId="43E37E96" w14:textId="77777777" w:rsidR="00DF2595" w:rsidRDefault="00DF2595" w:rsidP="00D81025">
            <w:pPr>
              <w:ind w:firstLine="0"/>
              <w:rPr>
                <w:highlight w:val="yellow"/>
              </w:rPr>
            </w:pPr>
          </w:p>
          <w:p w14:paraId="00000194" w14:textId="77777777" w:rsidR="00DF2595" w:rsidRDefault="00DF2595" w:rsidP="00D81025">
            <w:pPr>
              <w:ind w:firstLine="0"/>
              <w:rPr>
                <w:highlight w:val="yellow"/>
              </w:rPr>
            </w:pPr>
          </w:p>
        </w:tc>
      </w:tr>
      <w:tr w:rsidR="005C51D7" w14:paraId="51BF1139" w14:textId="77777777" w:rsidTr="00FB47EB">
        <w:trPr>
          <w:trHeight w:val="828"/>
          <w:jc w:val="center"/>
        </w:trPr>
        <w:tc>
          <w:tcPr>
            <w:tcW w:w="4690" w:type="dxa"/>
          </w:tcPr>
          <w:p w14:paraId="2E55FBE5" w14:textId="2B9D65C2" w:rsidR="005C51D7" w:rsidRDefault="005C51D7" w:rsidP="00D81025">
            <w:pPr>
              <w:ind w:firstLine="0"/>
            </w:pPr>
            <w:r>
              <w:t xml:space="preserve">2. </w:t>
            </w:r>
            <w:r>
              <w:rPr>
                <w:highlight w:val="white"/>
              </w:rPr>
              <w:t>Determinar las necesidades de integración entre diseño y ejecución, para fortalecer la toma de decisiones durante la ejecución del proyecto.</w:t>
            </w:r>
          </w:p>
          <w:p w14:paraId="1B18CCB9" w14:textId="77777777" w:rsidR="005C51D7" w:rsidRDefault="005C51D7" w:rsidP="00D81025">
            <w:pPr>
              <w:ind w:firstLine="0"/>
            </w:pPr>
          </w:p>
        </w:tc>
        <w:tc>
          <w:tcPr>
            <w:tcW w:w="2551" w:type="dxa"/>
            <w:vAlign w:val="center"/>
          </w:tcPr>
          <w:p w14:paraId="2D8EAAC3" w14:textId="77777777" w:rsidR="005C51D7" w:rsidRDefault="005C51D7" w:rsidP="00D81025">
            <w:pPr>
              <w:ind w:firstLine="0"/>
              <w:rPr>
                <w:highlight w:val="white"/>
              </w:rPr>
            </w:pPr>
            <w:r w:rsidRPr="00B05832">
              <w:rPr>
                <w:highlight w:val="white"/>
              </w:rPr>
              <w:t>Se asumió la disponibilidad de los responsables de áreas para brindar retroalimentación y validaciones.</w:t>
            </w:r>
          </w:p>
          <w:p w14:paraId="2172992B" w14:textId="77777777" w:rsidR="005C51D7" w:rsidRPr="00990C1A" w:rsidRDefault="005C51D7" w:rsidP="00D81025">
            <w:pPr>
              <w:ind w:firstLine="0"/>
              <w:rPr>
                <w:highlight w:val="white"/>
              </w:rPr>
            </w:pPr>
          </w:p>
        </w:tc>
        <w:tc>
          <w:tcPr>
            <w:tcW w:w="2710" w:type="dxa"/>
            <w:vAlign w:val="center"/>
          </w:tcPr>
          <w:p w14:paraId="4CEE4D59" w14:textId="77777777" w:rsidR="005C51D7" w:rsidRDefault="005C51D7" w:rsidP="00D81025">
            <w:pPr>
              <w:ind w:firstLine="0"/>
              <w:rPr>
                <w:highlight w:val="white"/>
              </w:rPr>
            </w:pPr>
            <w:r w:rsidRPr="00990C1A">
              <w:rPr>
                <w:highlight w:val="white"/>
              </w:rPr>
              <w:t>Disponibilidad limitada del personal clave para participar en la revisión de procesos debido a la carga operativa actual.</w:t>
            </w:r>
          </w:p>
          <w:p w14:paraId="06935566" w14:textId="77777777" w:rsidR="005C51D7" w:rsidRPr="00990C1A" w:rsidRDefault="005C51D7" w:rsidP="00D81025">
            <w:pPr>
              <w:ind w:firstLine="0"/>
              <w:rPr>
                <w:highlight w:val="white"/>
              </w:rPr>
            </w:pPr>
          </w:p>
          <w:p w14:paraId="446AD6CB" w14:textId="77777777" w:rsidR="005C51D7" w:rsidRPr="00990C1A" w:rsidRDefault="005C51D7" w:rsidP="00D81025">
            <w:pPr>
              <w:ind w:firstLine="0"/>
              <w:rPr>
                <w:highlight w:val="white"/>
              </w:rPr>
            </w:pPr>
          </w:p>
        </w:tc>
      </w:tr>
      <w:tr w:rsidR="005C51D7" w:rsidRPr="00EB0681" w14:paraId="077E6672" w14:textId="77777777" w:rsidTr="00FB47EB">
        <w:trPr>
          <w:trHeight w:val="828"/>
          <w:jc w:val="center"/>
        </w:trPr>
        <w:tc>
          <w:tcPr>
            <w:tcW w:w="4690" w:type="dxa"/>
          </w:tcPr>
          <w:p w14:paraId="1F58CC7B" w14:textId="208E6517" w:rsidR="005C51D7" w:rsidRPr="00EB0681" w:rsidRDefault="005C51D7" w:rsidP="00D81025">
            <w:pPr>
              <w:ind w:firstLine="0"/>
            </w:pPr>
            <w:r w:rsidRPr="00EB0681">
              <w:t xml:space="preserve">3. </w:t>
            </w:r>
            <w:r w:rsidRPr="00EB0681">
              <w:rPr>
                <w:highlight w:val="white"/>
              </w:rPr>
              <w:t>Diseñar propuestas de mejora en los procesos de planificación y control, para optimizar la integración entre diseño y construcción y mejorar los resultados del proyecto.</w:t>
            </w:r>
          </w:p>
          <w:p w14:paraId="61C20B17" w14:textId="77777777" w:rsidR="005C51D7" w:rsidRPr="00EB0681" w:rsidRDefault="005C51D7" w:rsidP="00D81025"/>
        </w:tc>
        <w:tc>
          <w:tcPr>
            <w:tcW w:w="2551" w:type="dxa"/>
            <w:vAlign w:val="center"/>
          </w:tcPr>
          <w:p w14:paraId="744DE1DA" w14:textId="77777777" w:rsidR="005C51D7" w:rsidRPr="00EB0681" w:rsidRDefault="005C51D7" w:rsidP="00D81025">
            <w:pPr>
              <w:ind w:firstLine="0"/>
              <w:rPr>
                <w:highlight w:val="white"/>
              </w:rPr>
            </w:pPr>
            <w:r w:rsidRPr="00EB0681">
              <w:rPr>
                <w:highlight w:val="white"/>
              </w:rPr>
              <w:t>Se asumió que los procesos actuales podían ser modificados y que existía apertura al cambio.</w:t>
            </w:r>
          </w:p>
          <w:p w14:paraId="52F27FCA" w14:textId="77777777" w:rsidR="005C51D7" w:rsidRPr="00EB0681" w:rsidRDefault="005C51D7" w:rsidP="00D81025">
            <w:pPr>
              <w:ind w:firstLine="0"/>
              <w:rPr>
                <w:highlight w:val="white"/>
              </w:rPr>
            </w:pPr>
          </w:p>
          <w:p w14:paraId="715BB92C" w14:textId="77777777" w:rsidR="005C51D7" w:rsidRPr="00EB0681" w:rsidRDefault="005C51D7" w:rsidP="00D81025">
            <w:pPr>
              <w:ind w:firstLine="0"/>
              <w:rPr>
                <w:highlight w:val="white"/>
              </w:rPr>
            </w:pPr>
          </w:p>
          <w:p w14:paraId="6C304BB7" w14:textId="77777777" w:rsidR="005C51D7" w:rsidRPr="00EB0681" w:rsidRDefault="005C51D7" w:rsidP="00D81025">
            <w:pPr>
              <w:ind w:firstLine="0"/>
              <w:rPr>
                <w:highlight w:val="white"/>
              </w:rPr>
            </w:pPr>
          </w:p>
        </w:tc>
        <w:tc>
          <w:tcPr>
            <w:tcW w:w="2710" w:type="dxa"/>
            <w:vAlign w:val="center"/>
          </w:tcPr>
          <w:p w14:paraId="54BAA18A" w14:textId="16FD4DBE" w:rsidR="005C51D7" w:rsidRPr="00EB0681" w:rsidRDefault="005C51D7" w:rsidP="00D81025">
            <w:pPr>
              <w:ind w:firstLine="0"/>
              <w:rPr>
                <w:highlight w:val="white"/>
              </w:rPr>
            </w:pPr>
            <w:r w:rsidRPr="00EB0681">
              <w:rPr>
                <w:highlight w:val="white"/>
              </w:rPr>
              <w:lastRenderedPageBreak/>
              <w:t>La propuesta no se implementará durante el desarrollo del PFG, lo que limita la validación en campo.</w:t>
            </w:r>
          </w:p>
          <w:p w14:paraId="3E48EB67" w14:textId="77777777" w:rsidR="005C51D7" w:rsidRPr="00EB0681" w:rsidRDefault="005C51D7" w:rsidP="00D81025">
            <w:pPr>
              <w:ind w:firstLine="0"/>
              <w:rPr>
                <w:highlight w:val="white"/>
              </w:rPr>
            </w:pPr>
          </w:p>
          <w:p w14:paraId="2A3E040D" w14:textId="77777777" w:rsidR="005C51D7" w:rsidRPr="00EB0681" w:rsidRDefault="005C51D7" w:rsidP="00D81025">
            <w:pPr>
              <w:ind w:firstLine="0"/>
              <w:rPr>
                <w:highlight w:val="white"/>
              </w:rPr>
            </w:pPr>
          </w:p>
          <w:p w14:paraId="13D5ADEF" w14:textId="77777777" w:rsidR="005C51D7" w:rsidRPr="00EB0681" w:rsidRDefault="005C51D7" w:rsidP="00D81025">
            <w:pPr>
              <w:ind w:firstLine="0"/>
              <w:rPr>
                <w:highlight w:val="white"/>
              </w:rPr>
            </w:pPr>
          </w:p>
        </w:tc>
      </w:tr>
      <w:tr w:rsidR="005C51D7" w14:paraId="3A89D2CA" w14:textId="77777777" w:rsidTr="00FB47EB">
        <w:trPr>
          <w:trHeight w:val="828"/>
          <w:jc w:val="center"/>
        </w:trPr>
        <w:tc>
          <w:tcPr>
            <w:tcW w:w="4690" w:type="dxa"/>
          </w:tcPr>
          <w:p w14:paraId="23D9EA9E" w14:textId="400BE169" w:rsidR="005C51D7" w:rsidRDefault="005C51D7" w:rsidP="00D81025">
            <w:pPr>
              <w:ind w:firstLine="0"/>
            </w:pPr>
            <w:r>
              <w:rPr>
                <w:highlight w:val="white"/>
              </w:rPr>
              <w:lastRenderedPageBreak/>
              <w:t>4.</w:t>
            </w:r>
            <w:r w:rsidRPr="00E01D79">
              <w:rPr>
                <w:highlight w:val="white"/>
              </w:rPr>
              <w:t>Desarrollar un plan de implementación de las mejoras propuestas, para facilitar su adopción en los proyectos futuros.</w:t>
            </w:r>
          </w:p>
          <w:p w14:paraId="399E8402" w14:textId="77777777" w:rsidR="005C51D7" w:rsidRDefault="005C51D7" w:rsidP="00D81025">
            <w:pPr>
              <w:ind w:firstLine="0"/>
              <w:rPr>
                <w:noProof/>
              </w:rPr>
            </w:pPr>
          </w:p>
        </w:tc>
        <w:tc>
          <w:tcPr>
            <w:tcW w:w="2551" w:type="dxa"/>
            <w:vAlign w:val="center"/>
          </w:tcPr>
          <w:p w14:paraId="2CED3271" w14:textId="77777777" w:rsidR="005C51D7" w:rsidRDefault="005C51D7" w:rsidP="00D81025">
            <w:pPr>
              <w:ind w:firstLine="0"/>
              <w:rPr>
                <w:highlight w:val="white"/>
              </w:rPr>
            </w:pPr>
            <w:r w:rsidRPr="00990C1A">
              <w:rPr>
                <w:highlight w:val="white"/>
              </w:rPr>
              <w:t>Se asumió la disponibilidad futura de herramientas tecnológicas como BIM, Asana y Project en sus versiones completas o académicas.</w:t>
            </w:r>
          </w:p>
          <w:p w14:paraId="113B2210" w14:textId="77777777" w:rsidR="005C51D7" w:rsidRPr="00B05832" w:rsidRDefault="005C51D7" w:rsidP="00D81025">
            <w:pPr>
              <w:ind w:firstLine="0"/>
              <w:rPr>
                <w:highlight w:val="white"/>
              </w:rPr>
            </w:pPr>
          </w:p>
        </w:tc>
        <w:tc>
          <w:tcPr>
            <w:tcW w:w="2710" w:type="dxa"/>
            <w:vAlign w:val="center"/>
          </w:tcPr>
          <w:p w14:paraId="2223BCD2" w14:textId="77777777" w:rsidR="005C51D7" w:rsidRDefault="005C51D7" w:rsidP="00D81025">
            <w:pPr>
              <w:ind w:firstLine="0"/>
              <w:rPr>
                <w:highlight w:val="white"/>
              </w:rPr>
            </w:pPr>
            <w:r w:rsidRPr="00990C1A">
              <w:rPr>
                <w:highlight w:val="white"/>
              </w:rPr>
              <w:t>La adquisición de algunas licencias está sujeta al presupuesto autorizado por la empresa.</w:t>
            </w:r>
          </w:p>
          <w:p w14:paraId="7A0F2262" w14:textId="77777777" w:rsidR="005C51D7" w:rsidRDefault="005C51D7" w:rsidP="00D81025">
            <w:pPr>
              <w:ind w:firstLine="0"/>
              <w:rPr>
                <w:highlight w:val="white"/>
              </w:rPr>
            </w:pPr>
          </w:p>
          <w:p w14:paraId="757597B0" w14:textId="77777777" w:rsidR="005C51D7" w:rsidRDefault="005C51D7" w:rsidP="00D81025">
            <w:pPr>
              <w:ind w:firstLine="0"/>
              <w:rPr>
                <w:highlight w:val="white"/>
              </w:rPr>
            </w:pPr>
          </w:p>
          <w:p w14:paraId="005D8520" w14:textId="77777777" w:rsidR="005C51D7" w:rsidRDefault="005C51D7" w:rsidP="00D81025">
            <w:pPr>
              <w:ind w:firstLine="0"/>
              <w:rPr>
                <w:highlight w:val="white"/>
              </w:rPr>
            </w:pPr>
          </w:p>
          <w:p w14:paraId="2496716B" w14:textId="77777777" w:rsidR="005C51D7" w:rsidRPr="00990C1A" w:rsidRDefault="005C51D7" w:rsidP="00D81025">
            <w:pPr>
              <w:ind w:firstLine="0"/>
              <w:rPr>
                <w:highlight w:val="white"/>
              </w:rPr>
            </w:pPr>
          </w:p>
        </w:tc>
      </w:tr>
      <w:tr w:rsidR="005C51D7" w14:paraId="17103FF1" w14:textId="77777777" w:rsidTr="00FB47EB">
        <w:trPr>
          <w:trHeight w:val="828"/>
          <w:jc w:val="center"/>
        </w:trPr>
        <w:tc>
          <w:tcPr>
            <w:tcW w:w="4690" w:type="dxa"/>
          </w:tcPr>
          <w:p w14:paraId="22175B8B" w14:textId="77777777" w:rsidR="005C51D7" w:rsidRPr="00B05832" w:rsidRDefault="005C51D7" w:rsidP="00D81025">
            <w:pPr>
              <w:ind w:firstLine="0"/>
              <w:rPr>
                <w:highlight w:val="white"/>
              </w:rPr>
            </w:pPr>
            <w:r w:rsidRPr="00B05832">
              <w:rPr>
                <w:highlight w:val="white"/>
              </w:rPr>
              <w:t>5.</w:t>
            </w:r>
            <w:r>
              <w:rPr>
                <w:highlight w:val="white"/>
              </w:rPr>
              <w:t xml:space="preserve"> </w:t>
            </w:r>
            <w:r w:rsidRPr="00B05832">
              <w:rPr>
                <w:highlight w:val="white"/>
              </w:rPr>
              <w:t>Comparar los procesos actuales con las propuestas de mejora desarrolladas, para identificar sus principales diferencias y beneficios en la gestión de proyectos “Design &amp; Build” en Contract Workplaces.</w:t>
            </w:r>
          </w:p>
          <w:p w14:paraId="39DF03D6" w14:textId="77777777" w:rsidR="005C51D7" w:rsidRDefault="005C51D7" w:rsidP="00D81025">
            <w:pPr>
              <w:ind w:firstLine="0"/>
              <w:rPr>
                <w:noProof/>
              </w:rPr>
            </w:pPr>
          </w:p>
        </w:tc>
        <w:tc>
          <w:tcPr>
            <w:tcW w:w="2551" w:type="dxa"/>
            <w:vAlign w:val="center"/>
          </w:tcPr>
          <w:p w14:paraId="5CE78383" w14:textId="77777777" w:rsidR="005C51D7" w:rsidRPr="00990C1A" w:rsidRDefault="005C51D7" w:rsidP="00D81025">
            <w:pPr>
              <w:ind w:firstLine="0"/>
              <w:rPr>
                <w:highlight w:val="white"/>
              </w:rPr>
            </w:pPr>
            <w:r w:rsidRPr="00990C1A">
              <w:rPr>
                <w:highlight w:val="white"/>
              </w:rPr>
              <w:t>Se asumió que se contarían con suficientes datos del proceso actual para realizar una comparación significativa con las mejoras propuestas.</w:t>
            </w:r>
          </w:p>
          <w:p w14:paraId="3BA2FC5D" w14:textId="77777777" w:rsidR="005C51D7" w:rsidRPr="00B05832" w:rsidRDefault="005C51D7" w:rsidP="00D81025">
            <w:pPr>
              <w:ind w:firstLine="0"/>
              <w:rPr>
                <w:highlight w:val="white"/>
              </w:rPr>
            </w:pPr>
          </w:p>
        </w:tc>
        <w:tc>
          <w:tcPr>
            <w:tcW w:w="2710" w:type="dxa"/>
            <w:vAlign w:val="center"/>
          </w:tcPr>
          <w:p w14:paraId="12BDD7FF" w14:textId="77777777" w:rsidR="005C51D7" w:rsidRDefault="005C51D7" w:rsidP="00D81025">
            <w:pPr>
              <w:ind w:firstLine="0"/>
              <w:rPr>
                <w:highlight w:val="white"/>
              </w:rPr>
            </w:pPr>
            <w:r w:rsidRPr="00990C1A">
              <w:rPr>
                <w:highlight w:val="white"/>
              </w:rPr>
              <w:t>Restricción en el acceso a documentación completa de proyectos anteriores, lo cual puede afectar la profundidad del análisis comparativo</w:t>
            </w:r>
            <w:r>
              <w:rPr>
                <w:highlight w:val="white"/>
              </w:rPr>
              <w:t>.</w:t>
            </w:r>
          </w:p>
          <w:p w14:paraId="3969974D" w14:textId="77777777" w:rsidR="005C51D7" w:rsidRDefault="005C51D7" w:rsidP="00D81025">
            <w:pPr>
              <w:ind w:firstLine="0"/>
              <w:rPr>
                <w:highlight w:val="white"/>
              </w:rPr>
            </w:pPr>
          </w:p>
          <w:p w14:paraId="5B1E2C38" w14:textId="77777777" w:rsidR="005C51D7" w:rsidRDefault="005C51D7" w:rsidP="00D81025">
            <w:pPr>
              <w:ind w:firstLine="0"/>
              <w:rPr>
                <w:highlight w:val="white"/>
              </w:rPr>
            </w:pPr>
          </w:p>
          <w:p w14:paraId="76B84A88" w14:textId="0F43BA32" w:rsidR="005C51D7" w:rsidRPr="00990C1A" w:rsidRDefault="005C51D7" w:rsidP="00D81025">
            <w:pPr>
              <w:ind w:firstLine="0"/>
              <w:rPr>
                <w:highlight w:val="white"/>
              </w:rPr>
            </w:pPr>
          </w:p>
        </w:tc>
      </w:tr>
    </w:tbl>
    <w:p w14:paraId="0000019A" w14:textId="0E479051" w:rsidR="00A2355F" w:rsidRDefault="00954C6E" w:rsidP="00D81025">
      <w:pPr>
        <w:ind w:firstLine="0"/>
      </w:pPr>
      <w:r w:rsidRPr="00954C6E">
        <w:rPr>
          <w:i/>
        </w:rPr>
        <w:t xml:space="preserve">Nota: </w:t>
      </w:r>
      <w:r w:rsidRPr="00954C6E">
        <w:rPr>
          <w:i/>
          <w:iCs/>
        </w:rPr>
        <w:t>Fuente: Elaboración propia.</w:t>
      </w:r>
      <w:r w:rsidRPr="00954C6E">
        <w:rPr>
          <w:i/>
        </w:rPr>
        <w:br/>
        <w:t>La Tabla 4 muestra los supuestos y restricciones utilizadas en correspondencia con cada objetivo</w:t>
      </w:r>
      <w:r>
        <w:rPr>
          <w:i/>
        </w:rPr>
        <w:t>.</w:t>
      </w:r>
    </w:p>
    <w:p w14:paraId="4BEEEDA7" w14:textId="77777777" w:rsidR="002230C8" w:rsidRPr="002230C8" w:rsidRDefault="002230C8" w:rsidP="002230C8">
      <w:pPr>
        <w:jc w:val="right"/>
      </w:pPr>
    </w:p>
    <w:p w14:paraId="0000019B" w14:textId="25A60A59" w:rsidR="00A2355F" w:rsidRDefault="007D3402" w:rsidP="00237B6D">
      <w:pPr>
        <w:pStyle w:val="Ttulo2"/>
      </w:pPr>
      <w:bookmarkStart w:id="73" w:name="_Toc200286369"/>
      <w:bookmarkStart w:id="74" w:name="_Toc212406370"/>
      <w:r>
        <w:lastRenderedPageBreak/>
        <w:t xml:space="preserve">3.5 </w:t>
      </w:r>
      <w:r w:rsidR="00990D5A">
        <w:t>Entregables</w:t>
      </w:r>
      <w:bookmarkEnd w:id="73"/>
      <w:bookmarkEnd w:id="74"/>
    </w:p>
    <w:p w14:paraId="35B144A5" w14:textId="77777777" w:rsidR="00F9798D" w:rsidRPr="00F9798D" w:rsidRDefault="00F9798D" w:rsidP="00E364CE">
      <w:pPr>
        <w:pStyle w:val="APA"/>
        <w:rPr>
          <w:lang w:val="es-CR" w:eastAsia="es-CR"/>
        </w:rPr>
      </w:pPr>
      <w:r w:rsidRPr="00F9798D">
        <w:rPr>
          <w:lang w:val="es-CR" w:eastAsia="es-CR"/>
        </w:rPr>
        <w:t>Los entregables son productos tangibles o intangibles que se obtienen como resultado del desarrollo del proyecto. Según Kerzner (2017), un entregable es un resultado verificable, como un informe, documento, diseño o producto, que debe ser aprobado por el cliente o usuario. Por su parte, el Project Management Institute (PMI, 2021) señala que los entregables constituyen la base para medir el progreso del proyecto, ya que representan las salidas clave de cada fase del ciclo de vida del proyecto.</w:t>
      </w:r>
    </w:p>
    <w:p w14:paraId="6CA34EAC" w14:textId="2B9FFC04" w:rsidR="00F9798D" w:rsidRPr="00F9798D" w:rsidRDefault="00F9798D" w:rsidP="00E364CE">
      <w:pPr>
        <w:pStyle w:val="APA"/>
        <w:rPr>
          <w:lang w:val="es-CR" w:eastAsia="es-CR"/>
        </w:rPr>
      </w:pPr>
      <w:r w:rsidRPr="00F9798D">
        <w:rPr>
          <w:lang w:val="es-CR" w:eastAsia="es-CR"/>
        </w:rPr>
        <w:t xml:space="preserve">En este </w:t>
      </w:r>
      <w:r>
        <w:rPr>
          <w:lang w:val="es-CR" w:eastAsia="es-CR"/>
        </w:rPr>
        <w:t>p</w:t>
      </w:r>
      <w:r w:rsidRPr="00F9798D">
        <w:rPr>
          <w:lang w:val="es-CR" w:eastAsia="es-CR"/>
        </w:rPr>
        <w:t>royecto se definieron entregables específicos alineados con cada objetivo del trabajo, los cuales permitieron estructurar de forma lógica el desarrollo de la propuesta de mejora. Estos entregables se enfocaron en el análisis, diseño, planificación y evaluación de los procesos actuales y propuestos bajo la modalidad “Design &amp; Build” en la empresa Contract Workplaces.</w:t>
      </w:r>
    </w:p>
    <w:p w14:paraId="0000019E" w14:textId="77777777" w:rsidR="00A2355F" w:rsidRDefault="00A2355F" w:rsidP="00D81025">
      <w:pPr>
        <w:ind w:left="576" w:firstLine="131"/>
      </w:pPr>
    </w:p>
    <w:p w14:paraId="4A60AA23" w14:textId="700DC1DC" w:rsidR="00476C00" w:rsidRDefault="00476C00" w:rsidP="00D81025">
      <w:pPr>
        <w:pBdr>
          <w:top w:val="nil"/>
          <w:left w:val="nil"/>
          <w:bottom w:val="nil"/>
          <w:right w:val="nil"/>
          <w:between w:val="nil"/>
        </w:pBdr>
        <w:spacing w:after="200"/>
        <w:ind w:firstLine="0"/>
        <w:rPr>
          <w:b/>
          <w:color w:val="000000"/>
        </w:rPr>
      </w:pPr>
      <w:bookmarkStart w:id="75" w:name="_Toc210425792"/>
      <w:r w:rsidRPr="00476C00">
        <w:rPr>
          <w:b/>
          <w:color w:val="000000"/>
        </w:rPr>
        <w:t xml:space="preserve">Tabla </w:t>
      </w:r>
      <w:r w:rsidRPr="00476C00">
        <w:rPr>
          <w:b/>
          <w:color w:val="000000"/>
        </w:rPr>
        <w:fldChar w:fldCharType="begin"/>
      </w:r>
      <w:r w:rsidRPr="00476C00">
        <w:rPr>
          <w:b/>
          <w:color w:val="000000"/>
        </w:rPr>
        <w:instrText xml:space="preserve"> SEQ Tabla \* ARABIC </w:instrText>
      </w:r>
      <w:r w:rsidRPr="00476C00">
        <w:rPr>
          <w:b/>
          <w:color w:val="000000"/>
        </w:rPr>
        <w:fldChar w:fldCharType="separate"/>
      </w:r>
      <w:r w:rsidR="00795FC2">
        <w:rPr>
          <w:b/>
          <w:noProof/>
          <w:color w:val="000000"/>
        </w:rPr>
        <w:t>5</w:t>
      </w:r>
      <w:bookmarkEnd w:id="75"/>
      <w:r w:rsidRPr="00476C00">
        <w:rPr>
          <w:b/>
          <w:color w:val="000000"/>
        </w:rPr>
        <w:fldChar w:fldCharType="end"/>
      </w:r>
    </w:p>
    <w:p w14:paraId="2BCD0389" w14:textId="0CC0470A" w:rsidR="00476C00" w:rsidRPr="00476C00" w:rsidRDefault="00476C00" w:rsidP="00D81025">
      <w:pPr>
        <w:pStyle w:val="Ttulo5"/>
        <w:numPr>
          <w:ilvl w:val="0"/>
          <w:numId w:val="0"/>
        </w:numPr>
        <w:rPr>
          <w:b w:val="0"/>
          <w:i/>
        </w:rPr>
      </w:pPr>
      <w:r>
        <w:rPr>
          <w:b w:val="0"/>
          <w:i/>
        </w:rPr>
        <w:t xml:space="preserve">Entregables </w:t>
      </w:r>
    </w:p>
    <w:tbl>
      <w:tblPr>
        <w:tblStyle w:val="20"/>
        <w:tblpPr w:leftFromText="141" w:rightFromText="141" w:vertAnchor="text" w:tblpY="128"/>
        <w:tblW w:w="922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55"/>
        <w:gridCol w:w="4574"/>
      </w:tblGrid>
      <w:tr w:rsidR="00A2355F" w14:paraId="03ED8B35" w14:textId="77777777" w:rsidTr="00FB47EB">
        <w:trPr>
          <w:trHeight w:val="552"/>
        </w:trPr>
        <w:tc>
          <w:tcPr>
            <w:tcW w:w="4655" w:type="dxa"/>
            <w:vAlign w:val="center"/>
          </w:tcPr>
          <w:p w14:paraId="000001A1" w14:textId="77777777" w:rsidR="00A2355F" w:rsidRDefault="00990D5A" w:rsidP="00D81025">
            <w:pPr>
              <w:jc w:val="center"/>
            </w:pPr>
            <w:r>
              <w:t>Objetivos</w:t>
            </w:r>
          </w:p>
        </w:tc>
        <w:tc>
          <w:tcPr>
            <w:tcW w:w="4574" w:type="dxa"/>
            <w:vAlign w:val="center"/>
          </w:tcPr>
          <w:p w14:paraId="000001A2" w14:textId="77777777" w:rsidR="00A2355F" w:rsidRDefault="00990D5A" w:rsidP="00D81025">
            <w:pPr>
              <w:jc w:val="center"/>
            </w:pPr>
            <w:r>
              <w:t>Entregables</w:t>
            </w:r>
          </w:p>
        </w:tc>
      </w:tr>
      <w:tr w:rsidR="00A2355F" w14:paraId="4B022753" w14:textId="77777777" w:rsidTr="00FB47EB">
        <w:trPr>
          <w:trHeight w:val="956"/>
        </w:trPr>
        <w:tc>
          <w:tcPr>
            <w:tcW w:w="4655" w:type="dxa"/>
          </w:tcPr>
          <w:p w14:paraId="000001A3" w14:textId="11C8F182" w:rsidR="00A2355F" w:rsidRDefault="00990D5A" w:rsidP="00D81025">
            <w:pPr>
              <w:ind w:firstLine="0"/>
            </w:pPr>
            <w:r>
              <w:t xml:space="preserve">1. </w:t>
            </w:r>
            <w:r w:rsidR="00F9798D">
              <w:rPr>
                <w:highlight w:val="white"/>
              </w:rPr>
              <w:t xml:space="preserve"> Analizar el proceso actual de planificación y control de proyectos “Design &amp; Build” en Contract Workplaces, para identificar las fortalezas, debilidades y oportunidades de </w:t>
            </w:r>
            <w:r w:rsidR="00F9798D" w:rsidRPr="00B05832">
              <w:t>mejora.</w:t>
            </w:r>
          </w:p>
        </w:tc>
        <w:tc>
          <w:tcPr>
            <w:tcW w:w="4574" w:type="dxa"/>
          </w:tcPr>
          <w:p w14:paraId="4153A090" w14:textId="1AA76FEB" w:rsidR="004A48AE" w:rsidRPr="00990C1A" w:rsidRDefault="004A48AE" w:rsidP="00D81025">
            <w:pPr>
              <w:ind w:firstLine="0"/>
              <w:rPr>
                <w:highlight w:val="white"/>
              </w:rPr>
            </w:pPr>
            <w:r w:rsidRPr="00990C1A">
              <w:rPr>
                <w:highlight w:val="white"/>
              </w:rPr>
              <w:t>Informe de diagnóstico del proceso actual, mapa de flujo de trabajo, análisis de fortalezas y debilidades, revisión documental del proceso y cronogramas históricos.</w:t>
            </w:r>
          </w:p>
          <w:p w14:paraId="000001A5" w14:textId="5CD2DE3B" w:rsidR="00A2355F" w:rsidRPr="00990C1A" w:rsidRDefault="00A2355F" w:rsidP="00D81025">
            <w:pPr>
              <w:ind w:firstLine="0"/>
              <w:rPr>
                <w:highlight w:val="white"/>
              </w:rPr>
            </w:pPr>
          </w:p>
        </w:tc>
      </w:tr>
      <w:tr w:rsidR="00A2355F" w14:paraId="2CAB8866" w14:textId="77777777" w:rsidTr="00FB47EB">
        <w:trPr>
          <w:trHeight w:val="664"/>
        </w:trPr>
        <w:tc>
          <w:tcPr>
            <w:tcW w:w="4655" w:type="dxa"/>
          </w:tcPr>
          <w:p w14:paraId="000001A6" w14:textId="20A476BF" w:rsidR="00A2355F" w:rsidRDefault="00990D5A" w:rsidP="00D81025">
            <w:pPr>
              <w:ind w:firstLine="0"/>
            </w:pPr>
            <w:r>
              <w:lastRenderedPageBreak/>
              <w:t xml:space="preserve">2. </w:t>
            </w:r>
            <w:r w:rsidR="004A48AE">
              <w:rPr>
                <w:highlight w:val="white"/>
              </w:rPr>
              <w:t xml:space="preserve"> Determinar las necesidades de integración entre diseño y ejecución, para fortalecer la toma de decisiones durante la ejecución del proyecto.</w:t>
            </w:r>
          </w:p>
        </w:tc>
        <w:tc>
          <w:tcPr>
            <w:tcW w:w="4574" w:type="dxa"/>
          </w:tcPr>
          <w:p w14:paraId="000001A8" w14:textId="7D773520" w:rsidR="00A2355F" w:rsidRPr="00990C1A" w:rsidRDefault="004A48AE" w:rsidP="00D81025">
            <w:pPr>
              <w:ind w:firstLine="0"/>
              <w:rPr>
                <w:highlight w:val="white"/>
              </w:rPr>
            </w:pPr>
            <w:r w:rsidRPr="00990C1A">
              <w:rPr>
                <w:highlight w:val="white"/>
              </w:rPr>
              <w:t>Informe de necesidades de integración, matriz de interacción, diagnóstico de roles y responsabilidades, y análisis de comunicación entre equipos.</w:t>
            </w:r>
          </w:p>
        </w:tc>
      </w:tr>
      <w:tr w:rsidR="004A48AE" w14:paraId="44582448" w14:textId="77777777" w:rsidTr="00FB47EB">
        <w:trPr>
          <w:trHeight w:val="664"/>
        </w:trPr>
        <w:tc>
          <w:tcPr>
            <w:tcW w:w="4655" w:type="dxa"/>
          </w:tcPr>
          <w:p w14:paraId="78213AB2" w14:textId="424D0BED" w:rsidR="004A48AE" w:rsidRDefault="004A48AE" w:rsidP="00D81025">
            <w:pPr>
              <w:ind w:firstLine="0"/>
            </w:pPr>
            <w:r>
              <w:t xml:space="preserve">3. </w:t>
            </w:r>
            <w:r>
              <w:rPr>
                <w:highlight w:val="white"/>
              </w:rPr>
              <w:t>Diseñar propuestas de mejora en los procesos de planificación y control, para optimizar la integración entre diseño y construcción y mejorar los resultados del proyecto.</w:t>
            </w:r>
          </w:p>
          <w:p w14:paraId="6D02131B" w14:textId="77777777" w:rsidR="004A48AE" w:rsidRDefault="004A48AE" w:rsidP="00D81025">
            <w:pPr>
              <w:ind w:firstLine="0"/>
            </w:pPr>
          </w:p>
        </w:tc>
        <w:tc>
          <w:tcPr>
            <w:tcW w:w="4574" w:type="dxa"/>
          </w:tcPr>
          <w:p w14:paraId="289858CA" w14:textId="77777777" w:rsidR="004A48AE" w:rsidRPr="00990C1A" w:rsidRDefault="004A48AE" w:rsidP="00D81025">
            <w:pPr>
              <w:ind w:firstLine="0"/>
              <w:rPr>
                <w:highlight w:val="white"/>
              </w:rPr>
            </w:pPr>
            <w:r w:rsidRPr="00990C1A">
              <w:rPr>
                <w:highlight w:val="white"/>
              </w:rPr>
              <w:t>Documento de propuesta de mejora, nuevos flujos de trabajo, recomendaciones de herramientas, funciones y cambios organizacionales, cronogramas optimizados.</w:t>
            </w:r>
          </w:p>
          <w:p w14:paraId="03A3F770" w14:textId="77777777" w:rsidR="004A48AE" w:rsidRPr="00990C1A" w:rsidRDefault="004A48AE" w:rsidP="00D81025">
            <w:pPr>
              <w:ind w:firstLine="0"/>
              <w:rPr>
                <w:highlight w:val="white"/>
              </w:rPr>
            </w:pPr>
          </w:p>
        </w:tc>
      </w:tr>
      <w:tr w:rsidR="004A48AE" w14:paraId="7287FFD5" w14:textId="77777777" w:rsidTr="00FB47EB">
        <w:trPr>
          <w:trHeight w:val="664"/>
        </w:trPr>
        <w:tc>
          <w:tcPr>
            <w:tcW w:w="4655" w:type="dxa"/>
          </w:tcPr>
          <w:p w14:paraId="1F443606" w14:textId="77777777" w:rsidR="004A48AE" w:rsidRDefault="004A48AE" w:rsidP="00D81025">
            <w:pPr>
              <w:ind w:firstLine="0"/>
            </w:pPr>
            <w:r>
              <w:rPr>
                <w:highlight w:val="white"/>
              </w:rPr>
              <w:t>4.</w:t>
            </w:r>
            <w:r w:rsidRPr="00E01D79">
              <w:rPr>
                <w:highlight w:val="white"/>
              </w:rPr>
              <w:t>Desarrollar un plan de implementación de las mejoras propuestas, para facilitar su adopción en los proyectos futuros.</w:t>
            </w:r>
          </w:p>
          <w:p w14:paraId="647348AE" w14:textId="77777777" w:rsidR="004A48AE" w:rsidRDefault="004A48AE" w:rsidP="00D81025">
            <w:pPr>
              <w:ind w:firstLine="0"/>
            </w:pPr>
          </w:p>
        </w:tc>
        <w:tc>
          <w:tcPr>
            <w:tcW w:w="4574" w:type="dxa"/>
          </w:tcPr>
          <w:p w14:paraId="278D9FDE" w14:textId="77777777" w:rsidR="004A48AE" w:rsidRPr="00990C1A" w:rsidRDefault="004A48AE" w:rsidP="00D81025">
            <w:pPr>
              <w:ind w:firstLine="0"/>
              <w:rPr>
                <w:highlight w:val="white"/>
              </w:rPr>
            </w:pPr>
            <w:r w:rsidRPr="00990C1A">
              <w:rPr>
                <w:highlight w:val="white"/>
              </w:rPr>
              <w:t>Plan de implementación teórico con fases, hoja de ruta para ejecución, cronograma estimado, recursos requeridos, matriz de stakeholders, plan de seguimiento.</w:t>
            </w:r>
          </w:p>
          <w:p w14:paraId="35B81846" w14:textId="77777777" w:rsidR="004A48AE" w:rsidRPr="00990C1A" w:rsidRDefault="004A48AE" w:rsidP="00D81025">
            <w:pPr>
              <w:ind w:firstLine="0"/>
              <w:rPr>
                <w:highlight w:val="white"/>
              </w:rPr>
            </w:pPr>
          </w:p>
        </w:tc>
      </w:tr>
      <w:tr w:rsidR="004A48AE" w14:paraId="7451B1F5" w14:textId="77777777" w:rsidTr="00FB47EB">
        <w:trPr>
          <w:trHeight w:val="664"/>
        </w:trPr>
        <w:tc>
          <w:tcPr>
            <w:tcW w:w="4655" w:type="dxa"/>
          </w:tcPr>
          <w:p w14:paraId="1FF8E009" w14:textId="77777777" w:rsidR="004A48AE" w:rsidRPr="00B05832" w:rsidRDefault="004A48AE" w:rsidP="00D81025">
            <w:pPr>
              <w:ind w:firstLine="0"/>
              <w:rPr>
                <w:highlight w:val="white"/>
              </w:rPr>
            </w:pPr>
            <w:r w:rsidRPr="00B05832">
              <w:rPr>
                <w:highlight w:val="white"/>
              </w:rPr>
              <w:t>5.</w:t>
            </w:r>
            <w:r>
              <w:rPr>
                <w:highlight w:val="white"/>
              </w:rPr>
              <w:t xml:space="preserve"> </w:t>
            </w:r>
            <w:r w:rsidRPr="00B05832">
              <w:rPr>
                <w:highlight w:val="white"/>
              </w:rPr>
              <w:t>Comparar los procesos actuales con las propuestas de mejora desarrolladas, para identificar sus principales diferencias y beneficios en la gestión de proyectos “Design &amp; Build” en Contract Workplaces.</w:t>
            </w:r>
          </w:p>
          <w:p w14:paraId="25E804CC" w14:textId="77777777" w:rsidR="004A48AE" w:rsidRDefault="004A48AE" w:rsidP="00D81025">
            <w:pPr>
              <w:ind w:firstLine="0"/>
              <w:rPr>
                <w:highlight w:val="white"/>
              </w:rPr>
            </w:pPr>
          </w:p>
        </w:tc>
        <w:tc>
          <w:tcPr>
            <w:tcW w:w="4574" w:type="dxa"/>
          </w:tcPr>
          <w:p w14:paraId="6C281DE5" w14:textId="77777777" w:rsidR="004A48AE" w:rsidRPr="00990C1A" w:rsidRDefault="004A48AE" w:rsidP="00D81025">
            <w:pPr>
              <w:ind w:firstLine="0"/>
              <w:rPr>
                <w:highlight w:val="white"/>
              </w:rPr>
            </w:pPr>
            <w:r w:rsidRPr="00990C1A">
              <w:rPr>
                <w:highlight w:val="white"/>
              </w:rPr>
              <w:t>Análisis comparativo entre el proceso actual y el propuesto, indicadores de desempeño, evaluación de beneficios esperados en tiempo, costo y calidad.</w:t>
            </w:r>
          </w:p>
          <w:p w14:paraId="510CD4EF" w14:textId="77777777" w:rsidR="004A48AE" w:rsidRPr="00990C1A" w:rsidRDefault="004A48AE" w:rsidP="00D81025">
            <w:pPr>
              <w:ind w:firstLine="0"/>
              <w:rPr>
                <w:highlight w:val="white"/>
              </w:rPr>
            </w:pPr>
          </w:p>
        </w:tc>
      </w:tr>
    </w:tbl>
    <w:p w14:paraId="28CA1500" w14:textId="3FD0D9B9" w:rsidR="005A073C" w:rsidRDefault="005A073C" w:rsidP="00D81025">
      <w:pPr>
        <w:ind w:firstLine="0"/>
      </w:pPr>
      <w:r w:rsidRPr="005A073C">
        <w:rPr>
          <w:i/>
          <w:iCs/>
        </w:rPr>
        <w:t>Nota</w:t>
      </w:r>
      <w:r>
        <w:rPr>
          <w:i/>
          <w:iCs/>
        </w:rPr>
        <w:t>:</w:t>
      </w:r>
      <w:r w:rsidRPr="005A073C">
        <w:rPr>
          <w:i/>
          <w:iCs/>
        </w:rPr>
        <w:t xml:space="preserve"> Fuente: Elaboración propia.</w:t>
      </w:r>
      <w:r w:rsidRPr="005A073C">
        <w:br/>
        <w:t>La Tabla 5 muestra los entregables del proyecto en correspondencia con cada objetivo.</w:t>
      </w:r>
    </w:p>
    <w:p w14:paraId="1E77374E" w14:textId="0941CCCC" w:rsidR="000A233C" w:rsidRPr="007D3402" w:rsidRDefault="00990D5A" w:rsidP="005A073C">
      <w:pPr>
        <w:pStyle w:val="Ttulo1"/>
        <w:jc w:val="center"/>
      </w:pPr>
      <w:r>
        <w:br w:type="page"/>
      </w:r>
      <w:bookmarkStart w:id="76" w:name="_Toc200286370"/>
      <w:bookmarkStart w:id="77" w:name="_Toc212406371"/>
      <w:r w:rsidRPr="007D3402">
        <w:lastRenderedPageBreak/>
        <w:t>Desarrollo</w:t>
      </w:r>
      <w:bookmarkEnd w:id="76"/>
      <w:bookmarkEnd w:id="77"/>
    </w:p>
    <w:p w14:paraId="305D8E17" w14:textId="73DA6F11" w:rsidR="000C0F67" w:rsidRPr="008837A0" w:rsidRDefault="007D3402" w:rsidP="00237B6D">
      <w:pPr>
        <w:pStyle w:val="Ttulo2"/>
      </w:pPr>
      <w:bookmarkStart w:id="78" w:name="_Toc212406372"/>
      <w:r>
        <w:t xml:space="preserve">4.1 </w:t>
      </w:r>
      <w:r w:rsidR="000C0F67" w:rsidRPr="008837A0">
        <w:t>Analizar el grupo de procesos actual de planificación y control de proyectos “Design &amp; Build” en Contract Workplaces, para identificar las fortalezas, debilidades y oportunidades de mejora.</w:t>
      </w:r>
      <w:bookmarkEnd w:id="78"/>
    </w:p>
    <w:p w14:paraId="1E035992" w14:textId="7E3C79C5" w:rsidR="00B421FD" w:rsidRPr="000C0F67" w:rsidRDefault="00B421FD" w:rsidP="0030163B">
      <w:pPr>
        <w:pStyle w:val="APA"/>
        <w:rPr>
          <w:lang w:val="es-CR"/>
        </w:rPr>
      </w:pPr>
      <w:r w:rsidRPr="000C0F67">
        <w:rPr>
          <w:lang w:val="es-CR"/>
        </w:rPr>
        <w:t>Este apartado presenta el diagnóstico del proceso actual de planificación, diseño y ejecución de los proyectos Design &amp; Build (D&amp;B) desarrollados por Contract Workplaces en Costa Rica. Para ello, se aplicaron tres métodos de investigación complementarios: analítico-sintético, deductivo y comparativo, que permitieron abordar el objeto de estudio desde diferentes perspectivas y niveles de profundidad.</w:t>
      </w:r>
    </w:p>
    <w:p w14:paraId="018FF26F" w14:textId="21E16CB8" w:rsidR="00B421FD" w:rsidRPr="00B421FD" w:rsidRDefault="00B421FD" w:rsidP="00E364CE">
      <w:pPr>
        <w:pStyle w:val="APA"/>
        <w:rPr>
          <w:lang w:val="es-CR"/>
        </w:rPr>
      </w:pPr>
      <w:r w:rsidRPr="00B421FD">
        <w:rPr>
          <w:lang w:val="es-CR"/>
        </w:rPr>
        <w:t xml:space="preserve">El método analítico-sintético permitió descomponer los procesos en sus componentes clave (planificación, control e integración) para comprender su funcionamiento interno y detectar cuellos de botella y desvíos operativos. A través del método deductivo, se contrastaron los procesos vigentes con estándares internacionales de gestión de proyectos como el </w:t>
      </w:r>
      <w:r w:rsidRPr="005916DD">
        <w:t xml:space="preserve">Guía de los Fundamentos para la Dirección de Proyectos (PMBOK® Guide, PMI, 2021), </w:t>
      </w:r>
      <w:r w:rsidRPr="00B421FD">
        <w:rPr>
          <w:lang w:val="es-CR"/>
        </w:rPr>
        <w:t>que establece buenas prácticas en la integración de áreas de conocimiento como alcance, tiempo, costo, calidad, riesgos y comunicaciones. Además, se consideraron enfoques complementarios como Lean Construction</w:t>
      </w:r>
      <w:r w:rsidRPr="005916DD">
        <w:rPr>
          <w:lang w:val="es-CR"/>
        </w:rPr>
        <w:t xml:space="preserve"> y</w:t>
      </w:r>
      <w:r w:rsidRPr="00B421FD">
        <w:rPr>
          <w:lang w:val="es-CR"/>
        </w:rPr>
        <w:t xml:space="preserve"> Integrated Project Delivery (IPD) </w:t>
      </w:r>
      <w:r w:rsidRPr="005916DD">
        <w:rPr>
          <w:lang w:val="es-CR"/>
        </w:rPr>
        <w:t xml:space="preserve"> </w:t>
      </w:r>
      <w:r w:rsidRPr="00B421FD">
        <w:rPr>
          <w:lang w:val="es-CR"/>
        </w:rPr>
        <w:t>que promueven la colaboración temprana</w:t>
      </w:r>
      <w:r w:rsidRPr="005916DD">
        <w:rPr>
          <w:lang w:val="es-CR"/>
        </w:rPr>
        <w:t xml:space="preserve"> y</w:t>
      </w:r>
      <w:r w:rsidRPr="00B421FD">
        <w:rPr>
          <w:lang w:val="es-CR"/>
        </w:rPr>
        <w:t xml:space="preserve"> la eliminación de desperdicios.</w:t>
      </w:r>
    </w:p>
    <w:p w14:paraId="0A544F3D" w14:textId="77777777" w:rsidR="00B421FD" w:rsidRPr="00B421FD" w:rsidRDefault="00B421FD" w:rsidP="00E364CE">
      <w:pPr>
        <w:pStyle w:val="APA"/>
        <w:rPr>
          <w:lang w:val="es-CR"/>
        </w:rPr>
      </w:pPr>
      <w:r w:rsidRPr="00B421FD">
        <w:rPr>
          <w:lang w:val="es-CR"/>
        </w:rPr>
        <w:t>Por su parte, el método comparativo permitió analizar las mejores prácticas aplicadas por otras empresas del sector, identificando oportunidades de mejora en la integración de equipos y procesos. Como herramientas complementarias, se utilizó el diagrama SIPOC para mapear el flujo actual de actividades y el análisis FODA, que sintetizó las fortalezas, oportunidades, debilidades y amenazas del modelo vigente.</w:t>
      </w:r>
    </w:p>
    <w:p w14:paraId="71C07046" w14:textId="71188076" w:rsidR="000A233C" w:rsidRPr="005916DD" w:rsidRDefault="00B421FD" w:rsidP="00E364CE">
      <w:pPr>
        <w:pStyle w:val="APA"/>
        <w:rPr>
          <w:lang w:val="es-CR"/>
        </w:rPr>
      </w:pPr>
      <w:r w:rsidRPr="00B421FD">
        <w:rPr>
          <w:lang w:val="es-CR"/>
        </w:rPr>
        <w:lastRenderedPageBreak/>
        <w:t>A partir de este enfoque integral, se identificaron factores críticos y oportunidades de mejora en la integración entre las áreas de diseño, gestión y construcción, los cuales se detallan en los siguientes apartados.</w:t>
      </w:r>
    </w:p>
    <w:p w14:paraId="38DC5AF3" w14:textId="53176576" w:rsidR="00D87210" w:rsidRDefault="0046720B" w:rsidP="00E364CE">
      <w:pPr>
        <w:pStyle w:val="APA"/>
      </w:pPr>
      <w:r>
        <w:t xml:space="preserve">4.1.1 </w:t>
      </w:r>
      <w:r w:rsidR="00224FC3" w:rsidRPr="00224FC3">
        <w:t>Informe del proceso actual en proyectos Design &amp; Build en Contract Workplaces</w:t>
      </w:r>
    </w:p>
    <w:p w14:paraId="2E3FA6E2" w14:textId="00193544" w:rsidR="00B421FD" w:rsidRDefault="00B421FD" w:rsidP="00E364CE">
      <w:pPr>
        <w:pStyle w:val="APA"/>
        <w:rPr>
          <w:lang w:val="es-CR"/>
        </w:rPr>
      </w:pPr>
      <w:r w:rsidRPr="00B421FD">
        <w:rPr>
          <w:lang w:val="es-CR"/>
        </w:rPr>
        <w:t xml:space="preserve">El modelo D&amp;B implementado por Contract Workplaces integra bajo un único contrato los servicios de </w:t>
      </w:r>
      <w:r w:rsidR="000C3758">
        <w:rPr>
          <w:lang w:val="es-CR"/>
        </w:rPr>
        <w:t>p</w:t>
      </w:r>
      <w:r w:rsidRPr="00B421FD">
        <w:rPr>
          <w:lang w:val="es-CR"/>
        </w:rPr>
        <w:t xml:space="preserve">roject </w:t>
      </w:r>
      <w:r w:rsidR="000C3758">
        <w:rPr>
          <w:lang w:val="es-CR"/>
        </w:rPr>
        <w:t>m</w:t>
      </w:r>
      <w:r w:rsidRPr="00B421FD">
        <w:rPr>
          <w:lang w:val="es-CR"/>
        </w:rPr>
        <w:t>anagement (</w:t>
      </w:r>
      <w:r w:rsidR="000C3758">
        <w:rPr>
          <w:lang w:val="es-CR"/>
        </w:rPr>
        <w:t>pm</w:t>
      </w:r>
      <w:r w:rsidRPr="00B421FD">
        <w:rPr>
          <w:lang w:val="es-CR"/>
        </w:rPr>
        <w:t xml:space="preserve">), arquitectura, ingeniería y construcción, bajo el principio de la coordinación temprana para optimizar tiempos, costos y calidad. En este modelo, las áreas de </w:t>
      </w:r>
      <w:r w:rsidR="000C3758">
        <w:rPr>
          <w:lang w:val="es-CR"/>
        </w:rPr>
        <w:t>a</w:t>
      </w:r>
      <w:r w:rsidRPr="00B421FD">
        <w:rPr>
          <w:lang w:val="es-CR"/>
        </w:rPr>
        <w:t xml:space="preserve">rquitectura &amp; </w:t>
      </w:r>
      <w:r w:rsidR="000C3758">
        <w:rPr>
          <w:lang w:val="es-CR"/>
        </w:rPr>
        <w:t>d</w:t>
      </w:r>
      <w:r w:rsidRPr="00B421FD">
        <w:rPr>
          <w:lang w:val="es-CR"/>
        </w:rPr>
        <w:t>iseño (</w:t>
      </w:r>
      <w:r w:rsidR="000C3758">
        <w:rPr>
          <w:lang w:val="es-CR"/>
        </w:rPr>
        <w:t>a</w:t>
      </w:r>
      <w:r w:rsidRPr="00B421FD">
        <w:rPr>
          <w:lang w:val="es-CR"/>
        </w:rPr>
        <w:t>&amp;</w:t>
      </w:r>
      <w:r w:rsidR="000C3758">
        <w:rPr>
          <w:lang w:val="es-CR"/>
        </w:rPr>
        <w:t>d</w:t>
      </w:r>
      <w:r w:rsidRPr="00B421FD">
        <w:rPr>
          <w:lang w:val="es-CR"/>
        </w:rPr>
        <w:t xml:space="preserve">), </w:t>
      </w:r>
      <w:r w:rsidR="000C3758">
        <w:rPr>
          <w:lang w:val="es-CR"/>
        </w:rPr>
        <w:t>p</w:t>
      </w:r>
      <w:r w:rsidRPr="00B421FD">
        <w:rPr>
          <w:lang w:val="es-CR"/>
        </w:rPr>
        <w:t xml:space="preserve">roject </w:t>
      </w:r>
      <w:r w:rsidR="000C3758">
        <w:rPr>
          <w:lang w:val="es-CR"/>
        </w:rPr>
        <w:t>m</w:t>
      </w:r>
      <w:r w:rsidRPr="00B421FD">
        <w:rPr>
          <w:lang w:val="es-CR"/>
        </w:rPr>
        <w:t>anagement (</w:t>
      </w:r>
      <w:r w:rsidR="000C3758">
        <w:rPr>
          <w:lang w:val="es-CR"/>
        </w:rPr>
        <w:t>pm</w:t>
      </w:r>
      <w:r w:rsidRPr="00B421FD">
        <w:rPr>
          <w:lang w:val="es-CR"/>
        </w:rPr>
        <w:t xml:space="preserve">) y </w:t>
      </w:r>
      <w:r w:rsidR="000C3758">
        <w:rPr>
          <w:lang w:val="es-CR"/>
        </w:rPr>
        <w:t>o</w:t>
      </w:r>
      <w:r w:rsidRPr="00B421FD">
        <w:rPr>
          <w:lang w:val="es-CR"/>
        </w:rPr>
        <w:t>bras deben colaborar estrechamente desde las fases iniciales hasta el cierre del proyecto.</w:t>
      </w:r>
    </w:p>
    <w:p w14:paraId="068FC564" w14:textId="52A8BBF6" w:rsidR="00B421FD" w:rsidRPr="00B421FD" w:rsidRDefault="00B421FD" w:rsidP="00B421FD">
      <w:pPr>
        <w:rPr>
          <w:lang w:val="es-CR"/>
        </w:rPr>
      </w:pPr>
      <w:r w:rsidRPr="00B421FD">
        <w:rPr>
          <w:lang w:val="es-CR"/>
        </w:rPr>
        <w:t>El proceso de diseño y ejecución contempla siete fases principales:</w:t>
      </w:r>
    </w:p>
    <w:p w14:paraId="42541A16" w14:textId="29C75E05" w:rsidR="00511D0D" w:rsidRPr="00511D0D" w:rsidRDefault="00530DC2" w:rsidP="00511D0D">
      <w:pPr>
        <w:numPr>
          <w:ilvl w:val="0"/>
          <w:numId w:val="63"/>
        </w:numPr>
        <w:rPr>
          <w:lang w:val="es-CR"/>
        </w:rPr>
      </w:pPr>
      <w:r w:rsidRPr="00530DC2">
        <w:rPr>
          <w:lang w:val="es-CR"/>
        </w:rPr>
        <w:t>Test Fit</w:t>
      </w:r>
      <w:r w:rsidR="00511D0D">
        <w:rPr>
          <w:lang w:val="es-CR"/>
        </w:rPr>
        <w:t xml:space="preserve">: </w:t>
      </w:r>
      <w:r w:rsidR="00511D0D" w:rsidRPr="00511D0D">
        <w:rPr>
          <w:lang w:val="es-CR"/>
        </w:rPr>
        <w:t>Primera etapa exploratoria que consiste en la elaboración de plantas de layout preliminares para verificar la viabilidad del programa de requerimientos del cliente en los espacios analizados. En esta fase:</w:t>
      </w:r>
    </w:p>
    <w:p w14:paraId="2F798CBE" w14:textId="77777777" w:rsidR="00511D0D" w:rsidRPr="00511D0D" w:rsidRDefault="00511D0D" w:rsidP="00511D0D">
      <w:pPr>
        <w:pStyle w:val="Prrafodelista"/>
        <w:numPr>
          <w:ilvl w:val="0"/>
          <w:numId w:val="70"/>
        </w:numPr>
        <w:rPr>
          <w:lang w:val="es-CR"/>
        </w:rPr>
      </w:pPr>
      <w:r w:rsidRPr="00511D0D">
        <w:rPr>
          <w:lang w:val="es-CR"/>
        </w:rPr>
        <w:t>Se analiza el ajuste del programa a las ubicaciones seleccionadas.</w:t>
      </w:r>
    </w:p>
    <w:p w14:paraId="65192B30" w14:textId="77777777" w:rsidR="00511D0D" w:rsidRPr="00511D0D" w:rsidRDefault="00511D0D" w:rsidP="00511D0D">
      <w:pPr>
        <w:pStyle w:val="Prrafodelista"/>
        <w:numPr>
          <w:ilvl w:val="0"/>
          <w:numId w:val="70"/>
        </w:numPr>
        <w:rPr>
          <w:lang w:val="es-CR"/>
        </w:rPr>
      </w:pPr>
      <w:r w:rsidRPr="00511D0D">
        <w:rPr>
          <w:lang w:val="es-CR"/>
        </w:rPr>
        <w:t>Se verifican normativas básicas (sanitarias, accesibilidad y ocupación).</w:t>
      </w:r>
    </w:p>
    <w:p w14:paraId="119ACC4C" w14:textId="77777777" w:rsidR="00511D0D" w:rsidRPr="00511D0D" w:rsidRDefault="00511D0D" w:rsidP="00511D0D">
      <w:pPr>
        <w:pStyle w:val="Prrafodelista"/>
        <w:numPr>
          <w:ilvl w:val="0"/>
          <w:numId w:val="70"/>
        </w:numPr>
        <w:rPr>
          <w:lang w:val="es-CR"/>
        </w:rPr>
      </w:pPr>
      <w:r w:rsidRPr="00511D0D">
        <w:rPr>
          <w:lang w:val="es-CR"/>
        </w:rPr>
        <w:t>Se entrega una presentación visual básica (plantas y axonometrías).</w:t>
      </w:r>
    </w:p>
    <w:p w14:paraId="0DD10BB7" w14:textId="5404DD2A" w:rsidR="00511D0D" w:rsidRPr="00511D0D" w:rsidRDefault="00511D0D" w:rsidP="00511D0D">
      <w:pPr>
        <w:pStyle w:val="Prrafodelista"/>
        <w:numPr>
          <w:ilvl w:val="0"/>
          <w:numId w:val="70"/>
        </w:numPr>
        <w:rPr>
          <w:lang w:val="es-CR"/>
        </w:rPr>
      </w:pPr>
      <w:r w:rsidRPr="00511D0D">
        <w:rPr>
          <w:lang w:val="es-CR"/>
        </w:rPr>
        <w:t xml:space="preserve">Áreas involucradas: </w:t>
      </w:r>
      <w:r w:rsidR="000C3758">
        <w:rPr>
          <w:lang w:val="es-CR"/>
        </w:rPr>
        <w:t>a</w:t>
      </w:r>
      <w:r w:rsidRPr="00511D0D">
        <w:rPr>
          <w:lang w:val="es-CR"/>
        </w:rPr>
        <w:t xml:space="preserve">rquitectura &amp; </w:t>
      </w:r>
      <w:r w:rsidR="000C3758">
        <w:rPr>
          <w:lang w:val="es-CR"/>
        </w:rPr>
        <w:t>d</w:t>
      </w:r>
      <w:r w:rsidRPr="00511D0D">
        <w:rPr>
          <w:lang w:val="es-CR"/>
        </w:rPr>
        <w:t>iseño (</w:t>
      </w:r>
      <w:r w:rsidR="000C3758">
        <w:rPr>
          <w:lang w:val="es-CR"/>
        </w:rPr>
        <w:t>a</w:t>
      </w:r>
      <w:r w:rsidRPr="00511D0D">
        <w:rPr>
          <w:lang w:val="es-CR"/>
        </w:rPr>
        <w:t>&amp;</w:t>
      </w:r>
      <w:r w:rsidR="000C3758">
        <w:rPr>
          <w:lang w:val="es-CR"/>
        </w:rPr>
        <w:t>d</w:t>
      </w:r>
      <w:r w:rsidRPr="00511D0D">
        <w:rPr>
          <w:lang w:val="es-CR"/>
        </w:rPr>
        <w:t xml:space="preserve">), </w:t>
      </w:r>
      <w:r w:rsidR="000C3758">
        <w:rPr>
          <w:lang w:val="es-CR"/>
        </w:rPr>
        <w:t>p</w:t>
      </w:r>
      <w:r w:rsidRPr="00511D0D">
        <w:rPr>
          <w:lang w:val="es-CR"/>
        </w:rPr>
        <w:t xml:space="preserve">roject </w:t>
      </w:r>
      <w:r w:rsidR="000C3758">
        <w:rPr>
          <w:lang w:val="es-CR"/>
        </w:rPr>
        <w:t>m</w:t>
      </w:r>
      <w:r w:rsidRPr="00511D0D">
        <w:rPr>
          <w:lang w:val="es-CR"/>
        </w:rPr>
        <w:t>anagement (</w:t>
      </w:r>
      <w:r w:rsidR="000C3758">
        <w:rPr>
          <w:lang w:val="es-CR"/>
        </w:rPr>
        <w:t>pm</w:t>
      </w:r>
      <w:r w:rsidRPr="00511D0D">
        <w:rPr>
          <w:lang w:val="es-CR"/>
        </w:rPr>
        <w:t>).</w:t>
      </w:r>
    </w:p>
    <w:p w14:paraId="55F78162" w14:textId="41BF3ED6" w:rsidR="00CD26F5" w:rsidRPr="00CD26F5" w:rsidRDefault="00530DC2" w:rsidP="00CD26F5">
      <w:pPr>
        <w:numPr>
          <w:ilvl w:val="0"/>
          <w:numId w:val="63"/>
        </w:numPr>
        <w:rPr>
          <w:lang w:val="es-CR"/>
        </w:rPr>
      </w:pPr>
      <w:r w:rsidRPr="00530DC2">
        <w:rPr>
          <w:lang w:val="es-CR"/>
        </w:rPr>
        <w:t>Layout</w:t>
      </w:r>
      <w:r w:rsidR="00CD26F5">
        <w:rPr>
          <w:lang w:val="es-CR"/>
        </w:rPr>
        <w:t xml:space="preserve">: </w:t>
      </w:r>
      <w:r w:rsidR="00CD26F5" w:rsidRPr="00CD26F5">
        <w:rPr>
          <w:lang w:val="es-CR"/>
        </w:rPr>
        <w:t>Primera aproximación formal al diseño arquitectónico, donde:</w:t>
      </w:r>
    </w:p>
    <w:p w14:paraId="132B5E0D" w14:textId="77777777" w:rsidR="00CD26F5" w:rsidRPr="00CD26F5" w:rsidRDefault="00CD26F5" w:rsidP="00CD26F5">
      <w:pPr>
        <w:numPr>
          <w:ilvl w:val="1"/>
          <w:numId w:val="63"/>
        </w:numPr>
        <w:tabs>
          <w:tab w:val="num" w:pos="720"/>
        </w:tabs>
        <w:rPr>
          <w:lang w:val="es-CR"/>
        </w:rPr>
      </w:pPr>
      <w:r w:rsidRPr="00CD26F5">
        <w:rPr>
          <w:lang w:val="es-CR"/>
        </w:rPr>
        <w:t>Se organiza el programa y relaciones funcionales.</w:t>
      </w:r>
    </w:p>
    <w:p w14:paraId="01C3DD36" w14:textId="77777777" w:rsidR="00CD26F5" w:rsidRPr="00CD26F5" w:rsidRDefault="00CD26F5" w:rsidP="00CD26F5">
      <w:pPr>
        <w:numPr>
          <w:ilvl w:val="1"/>
          <w:numId w:val="63"/>
        </w:numPr>
        <w:tabs>
          <w:tab w:val="num" w:pos="720"/>
        </w:tabs>
        <w:rPr>
          <w:lang w:val="es-CR"/>
        </w:rPr>
      </w:pPr>
      <w:r w:rsidRPr="00CD26F5">
        <w:rPr>
          <w:lang w:val="es-CR"/>
        </w:rPr>
        <w:t>Se generan primeras intenciones de diseño.</w:t>
      </w:r>
    </w:p>
    <w:p w14:paraId="520A14D7" w14:textId="77777777" w:rsidR="00CD26F5" w:rsidRPr="00CD26F5" w:rsidRDefault="00CD26F5" w:rsidP="00CD26F5">
      <w:pPr>
        <w:numPr>
          <w:ilvl w:val="1"/>
          <w:numId w:val="63"/>
        </w:numPr>
        <w:tabs>
          <w:tab w:val="num" w:pos="720"/>
        </w:tabs>
        <w:rPr>
          <w:lang w:val="es-CR"/>
        </w:rPr>
      </w:pPr>
      <w:r w:rsidRPr="00CD26F5">
        <w:rPr>
          <w:lang w:val="es-CR"/>
        </w:rPr>
        <w:t>Se consideran tipologías y normativas detalladas.</w:t>
      </w:r>
    </w:p>
    <w:p w14:paraId="67CE6D19" w14:textId="59A56EFF" w:rsidR="00CD26F5" w:rsidRPr="00CD26F5" w:rsidRDefault="00CD26F5" w:rsidP="00CD26F5">
      <w:pPr>
        <w:numPr>
          <w:ilvl w:val="1"/>
          <w:numId w:val="63"/>
        </w:numPr>
        <w:tabs>
          <w:tab w:val="num" w:pos="720"/>
        </w:tabs>
        <w:rPr>
          <w:lang w:val="es-CR"/>
        </w:rPr>
      </w:pPr>
      <w:r w:rsidRPr="00CD26F5">
        <w:rPr>
          <w:lang w:val="es-CR"/>
        </w:rPr>
        <w:t xml:space="preserve">Se requiere contar con el modelo </w:t>
      </w:r>
      <w:r w:rsidR="000C3758">
        <w:rPr>
          <w:lang w:val="es-CR"/>
        </w:rPr>
        <w:t>r</w:t>
      </w:r>
      <w:r w:rsidRPr="00CD26F5">
        <w:rPr>
          <w:lang w:val="es-CR"/>
        </w:rPr>
        <w:t>evit del edificio base.</w:t>
      </w:r>
    </w:p>
    <w:p w14:paraId="180F4801" w14:textId="1BCE6145" w:rsidR="00CD26F5" w:rsidRDefault="00CD26F5" w:rsidP="00CD26F5">
      <w:pPr>
        <w:numPr>
          <w:ilvl w:val="1"/>
          <w:numId w:val="63"/>
        </w:numPr>
        <w:rPr>
          <w:lang w:val="es-CR"/>
        </w:rPr>
      </w:pPr>
      <w:r w:rsidRPr="00CD26F5">
        <w:rPr>
          <w:lang w:val="es-CR"/>
        </w:rPr>
        <w:lastRenderedPageBreak/>
        <w:t>El entregable es una planta desarrollada con zonificación, tipologías, y descripción programática.</w:t>
      </w:r>
    </w:p>
    <w:p w14:paraId="717C4BE4" w14:textId="669AAC85" w:rsidR="00CD26F5" w:rsidRPr="00CD26F5" w:rsidRDefault="00CD26F5" w:rsidP="00CD26F5">
      <w:pPr>
        <w:numPr>
          <w:ilvl w:val="1"/>
          <w:numId w:val="63"/>
        </w:numPr>
        <w:rPr>
          <w:lang w:val="es-CR"/>
        </w:rPr>
      </w:pPr>
      <w:r w:rsidRPr="00CD26F5">
        <w:t xml:space="preserve">Áreas involucradas: </w:t>
      </w:r>
      <w:r w:rsidR="000C3758">
        <w:t>a</w:t>
      </w:r>
      <w:r w:rsidRPr="00CD26F5">
        <w:t>&amp;</w:t>
      </w:r>
      <w:r w:rsidR="000C3758">
        <w:t>d</w:t>
      </w:r>
      <w:r w:rsidRPr="00CD26F5">
        <w:t xml:space="preserve">, </w:t>
      </w:r>
      <w:r w:rsidR="000C3758">
        <w:t>pm</w:t>
      </w:r>
      <w:r w:rsidRPr="00CD26F5">
        <w:t>.</w:t>
      </w:r>
    </w:p>
    <w:p w14:paraId="418C4161" w14:textId="6B0A685E" w:rsidR="00CD26F5" w:rsidRPr="00CD26F5" w:rsidRDefault="00530DC2" w:rsidP="00CD26F5">
      <w:pPr>
        <w:numPr>
          <w:ilvl w:val="0"/>
          <w:numId w:val="63"/>
        </w:numPr>
        <w:rPr>
          <w:lang w:val="es-CR"/>
        </w:rPr>
      </w:pPr>
      <w:r w:rsidRPr="00530DC2">
        <w:rPr>
          <w:lang w:val="es-CR"/>
        </w:rPr>
        <w:t>Proyecto Conceptual</w:t>
      </w:r>
      <w:r w:rsidR="00CD26F5">
        <w:rPr>
          <w:lang w:val="es-CR"/>
        </w:rPr>
        <w:t xml:space="preserve">: </w:t>
      </w:r>
      <w:r w:rsidR="00CD26F5" w:rsidRPr="00CD26F5">
        <w:rPr>
          <w:lang w:val="es-CR"/>
        </w:rPr>
        <w:t>Fase enfocada en el desarrollo de la imagen y concepto corporativo:</w:t>
      </w:r>
    </w:p>
    <w:p w14:paraId="3CB501C4" w14:textId="77777777" w:rsidR="00CD26F5" w:rsidRPr="00CD26F5" w:rsidRDefault="00CD26F5" w:rsidP="00CD26F5">
      <w:pPr>
        <w:numPr>
          <w:ilvl w:val="1"/>
          <w:numId w:val="63"/>
        </w:numPr>
        <w:tabs>
          <w:tab w:val="num" w:pos="720"/>
        </w:tabs>
        <w:rPr>
          <w:lang w:val="es-CR"/>
        </w:rPr>
      </w:pPr>
      <w:r w:rsidRPr="00CD26F5">
        <w:rPr>
          <w:lang w:val="es-CR"/>
        </w:rPr>
        <w:t>Se definen materiales, paleta de colores, mobiliario, iluminación decorativa y look&amp;feel.</w:t>
      </w:r>
    </w:p>
    <w:p w14:paraId="07117DFE" w14:textId="77777777" w:rsidR="00CD26F5" w:rsidRPr="00CD26F5" w:rsidRDefault="00CD26F5" w:rsidP="00CD26F5">
      <w:pPr>
        <w:numPr>
          <w:ilvl w:val="1"/>
          <w:numId w:val="63"/>
        </w:numPr>
        <w:tabs>
          <w:tab w:val="num" w:pos="720"/>
        </w:tabs>
        <w:rPr>
          <w:lang w:val="es-CR"/>
        </w:rPr>
      </w:pPr>
      <w:r w:rsidRPr="00CD26F5">
        <w:rPr>
          <w:lang w:val="es-CR"/>
        </w:rPr>
        <w:t>Se elaboran renders preliminares.</w:t>
      </w:r>
    </w:p>
    <w:p w14:paraId="451B3F2E" w14:textId="77777777" w:rsidR="00CD26F5" w:rsidRPr="00CD26F5" w:rsidRDefault="00CD26F5" w:rsidP="00CD26F5">
      <w:pPr>
        <w:numPr>
          <w:ilvl w:val="1"/>
          <w:numId w:val="63"/>
        </w:numPr>
        <w:tabs>
          <w:tab w:val="num" w:pos="720"/>
        </w:tabs>
        <w:rPr>
          <w:lang w:val="es-CR"/>
        </w:rPr>
      </w:pPr>
      <w:r w:rsidRPr="00CD26F5">
        <w:rPr>
          <w:lang w:val="es-CR"/>
        </w:rPr>
        <w:t>Se presentan opciones al cliente para obtener aprobación de imagen.</w:t>
      </w:r>
    </w:p>
    <w:p w14:paraId="4153B39C" w14:textId="77777777" w:rsidR="00CD26F5" w:rsidRPr="00CD26F5" w:rsidRDefault="00CD26F5" w:rsidP="00CD26F5">
      <w:pPr>
        <w:numPr>
          <w:ilvl w:val="1"/>
          <w:numId w:val="63"/>
        </w:numPr>
        <w:tabs>
          <w:tab w:val="num" w:pos="720"/>
        </w:tabs>
        <w:rPr>
          <w:lang w:val="es-CR"/>
        </w:rPr>
      </w:pPr>
      <w:r w:rsidRPr="00CD26F5">
        <w:rPr>
          <w:lang w:val="es-CR"/>
        </w:rPr>
        <w:t>Incluye estimación preliminar de presupuesto.</w:t>
      </w:r>
    </w:p>
    <w:p w14:paraId="35D28113" w14:textId="3A651A8B" w:rsidR="00CD26F5" w:rsidRPr="00CD26F5" w:rsidRDefault="00CD26F5" w:rsidP="00CD26F5">
      <w:pPr>
        <w:numPr>
          <w:ilvl w:val="1"/>
          <w:numId w:val="63"/>
        </w:numPr>
        <w:rPr>
          <w:lang w:val="es-CR"/>
        </w:rPr>
      </w:pPr>
      <w:r w:rsidRPr="00CD26F5">
        <w:rPr>
          <w:lang w:val="es-CR"/>
        </w:rPr>
        <w:t xml:space="preserve">Áreas involucradas: </w:t>
      </w:r>
      <w:r w:rsidR="000C3758">
        <w:rPr>
          <w:lang w:val="es-CR"/>
        </w:rPr>
        <w:t>a</w:t>
      </w:r>
      <w:r w:rsidRPr="00CD26F5">
        <w:rPr>
          <w:lang w:val="es-CR"/>
        </w:rPr>
        <w:t>&amp;</w:t>
      </w:r>
      <w:r w:rsidR="000C3758">
        <w:rPr>
          <w:lang w:val="es-CR"/>
        </w:rPr>
        <w:t>d</w:t>
      </w:r>
      <w:r w:rsidRPr="00CD26F5">
        <w:rPr>
          <w:lang w:val="es-CR"/>
        </w:rPr>
        <w:t xml:space="preserve">, </w:t>
      </w:r>
      <w:r w:rsidR="000C3758">
        <w:t>p</w:t>
      </w:r>
      <w:r w:rsidR="000C3758" w:rsidRPr="008B17A9">
        <w:t xml:space="preserve">roject </w:t>
      </w:r>
      <w:r w:rsidR="000C3758">
        <w:t>m</w:t>
      </w:r>
      <w:r w:rsidR="000C3758" w:rsidRPr="008B17A9">
        <w:t xml:space="preserve">anager </w:t>
      </w:r>
      <w:r>
        <w:rPr>
          <w:lang w:val="es-CR"/>
        </w:rPr>
        <w:t xml:space="preserve"> y</w:t>
      </w:r>
      <w:r w:rsidRPr="00CD26F5">
        <w:rPr>
          <w:lang w:val="es-CR"/>
        </w:rPr>
        <w:t xml:space="preserve"> Presupuestos</w:t>
      </w:r>
    </w:p>
    <w:p w14:paraId="15E8FC4D" w14:textId="0448194D" w:rsidR="00CD26F5" w:rsidRPr="00CD26F5" w:rsidRDefault="00530DC2" w:rsidP="00CD26F5">
      <w:pPr>
        <w:numPr>
          <w:ilvl w:val="0"/>
          <w:numId w:val="63"/>
        </w:numPr>
        <w:rPr>
          <w:lang w:val="es-CR"/>
        </w:rPr>
      </w:pPr>
      <w:r w:rsidRPr="00530DC2">
        <w:rPr>
          <w:lang w:val="es-CR"/>
        </w:rPr>
        <w:t>Proyecto de Arquitectura</w:t>
      </w:r>
      <w:r w:rsidR="00CD26F5">
        <w:rPr>
          <w:lang w:val="es-CR"/>
        </w:rPr>
        <w:t xml:space="preserve">: </w:t>
      </w:r>
      <w:r w:rsidR="00CD26F5" w:rsidRPr="00CD26F5">
        <w:rPr>
          <w:lang w:val="es-CR"/>
        </w:rPr>
        <w:t>Desarrollo técnico del diseño aprobado:</w:t>
      </w:r>
    </w:p>
    <w:p w14:paraId="2623D19E" w14:textId="77777777" w:rsidR="00CD26F5" w:rsidRPr="00CD26F5" w:rsidRDefault="00CD26F5" w:rsidP="00CD26F5">
      <w:pPr>
        <w:numPr>
          <w:ilvl w:val="1"/>
          <w:numId w:val="63"/>
        </w:numPr>
        <w:tabs>
          <w:tab w:val="num" w:pos="720"/>
        </w:tabs>
        <w:rPr>
          <w:lang w:val="es-CR"/>
        </w:rPr>
      </w:pPr>
      <w:r w:rsidRPr="00CD26F5">
        <w:rPr>
          <w:lang w:val="es-CR"/>
        </w:rPr>
        <w:t>Elaboración de documentación constructiva básica.</w:t>
      </w:r>
    </w:p>
    <w:p w14:paraId="472D645A" w14:textId="77777777" w:rsidR="00CD26F5" w:rsidRPr="00CD26F5" w:rsidRDefault="00CD26F5" w:rsidP="00CD26F5">
      <w:pPr>
        <w:numPr>
          <w:ilvl w:val="1"/>
          <w:numId w:val="63"/>
        </w:numPr>
        <w:tabs>
          <w:tab w:val="num" w:pos="720"/>
        </w:tabs>
        <w:rPr>
          <w:lang w:val="es-CR"/>
        </w:rPr>
      </w:pPr>
      <w:r w:rsidRPr="00CD26F5">
        <w:rPr>
          <w:lang w:val="es-CR"/>
        </w:rPr>
        <w:t>No incluye ingenierías ni especialidades.</w:t>
      </w:r>
    </w:p>
    <w:p w14:paraId="336FB540" w14:textId="77777777" w:rsidR="00CD26F5" w:rsidRPr="00CD26F5" w:rsidRDefault="00CD26F5" w:rsidP="00CD26F5">
      <w:pPr>
        <w:numPr>
          <w:ilvl w:val="1"/>
          <w:numId w:val="63"/>
        </w:numPr>
        <w:tabs>
          <w:tab w:val="num" w:pos="720"/>
        </w:tabs>
        <w:rPr>
          <w:lang w:val="es-CR"/>
        </w:rPr>
      </w:pPr>
      <w:r w:rsidRPr="00CD26F5">
        <w:rPr>
          <w:lang w:val="es-CR"/>
        </w:rPr>
        <w:t>Generación de planillas de Revit para cómputo de materiales.</w:t>
      </w:r>
    </w:p>
    <w:p w14:paraId="5F8928F2" w14:textId="77777777" w:rsidR="00CD26F5" w:rsidRPr="00CD26F5" w:rsidRDefault="00CD26F5" w:rsidP="00CD26F5">
      <w:pPr>
        <w:numPr>
          <w:ilvl w:val="1"/>
          <w:numId w:val="63"/>
        </w:numPr>
        <w:tabs>
          <w:tab w:val="num" w:pos="720"/>
        </w:tabs>
        <w:rPr>
          <w:lang w:val="es-CR"/>
        </w:rPr>
      </w:pPr>
      <w:r w:rsidRPr="00CD26F5">
        <w:rPr>
          <w:lang w:val="es-CR"/>
        </w:rPr>
        <w:t>Revisión interna antes de entrega formal.</w:t>
      </w:r>
    </w:p>
    <w:p w14:paraId="2BF4BDCE" w14:textId="77777777" w:rsidR="00CD26F5" w:rsidRPr="00CD26F5" w:rsidRDefault="00CD26F5" w:rsidP="00CD26F5">
      <w:pPr>
        <w:numPr>
          <w:ilvl w:val="1"/>
          <w:numId w:val="63"/>
        </w:numPr>
        <w:rPr>
          <w:lang w:val="es-CR"/>
        </w:rPr>
      </w:pPr>
      <w:r w:rsidRPr="00CD26F5">
        <w:rPr>
          <w:lang w:val="es-CR"/>
        </w:rPr>
        <w:t>Entregables: planos arquitectónicos, esquemas de cielorraso e iluminación, planos de demolición, y detalles técnicos básicos.</w:t>
      </w:r>
    </w:p>
    <w:p w14:paraId="6D64125C" w14:textId="28AAEE7B" w:rsidR="00CD26F5" w:rsidRPr="00CD26F5" w:rsidRDefault="00CD26F5" w:rsidP="00CD26F5">
      <w:pPr>
        <w:numPr>
          <w:ilvl w:val="1"/>
          <w:numId w:val="63"/>
        </w:numPr>
        <w:rPr>
          <w:lang w:val="es-CR"/>
        </w:rPr>
      </w:pPr>
      <w:r w:rsidRPr="00CD26F5">
        <w:rPr>
          <w:lang w:val="es-CR"/>
        </w:rPr>
        <w:t xml:space="preserve">Áreas involucradas: </w:t>
      </w:r>
      <w:r w:rsidR="000C3758">
        <w:rPr>
          <w:lang w:val="es-CR"/>
        </w:rPr>
        <w:t>a</w:t>
      </w:r>
      <w:r w:rsidRPr="00CD26F5">
        <w:rPr>
          <w:lang w:val="es-CR"/>
        </w:rPr>
        <w:t>&amp;</w:t>
      </w:r>
      <w:r w:rsidR="000C3758">
        <w:rPr>
          <w:lang w:val="es-CR"/>
        </w:rPr>
        <w:t>d</w:t>
      </w:r>
      <w:r>
        <w:rPr>
          <w:lang w:val="es-CR"/>
        </w:rPr>
        <w:t xml:space="preserve"> y</w:t>
      </w:r>
      <w:r w:rsidRPr="00CD26F5">
        <w:rPr>
          <w:lang w:val="es-CR"/>
        </w:rPr>
        <w:t xml:space="preserve"> </w:t>
      </w:r>
      <w:r w:rsidR="000C3758">
        <w:t>p</w:t>
      </w:r>
      <w:r w:rsidR="000C3758" w:rsidRPr="008B17A9">
        <w:t xml:space="preserve">roject </w:t>
      </w:r>
      <w:r w:rsidR="000C3758">
        <w:t>m</w:t>
      </w:r>
      <w:r w:rsidR="000C3758" w:rsidRPr="008B17A9">
        <w:t xml:space="preserve">anager </w:t>
      </w:r>
    </w:p>
    <w:p w14:paraId="0D4DFEC2" w14:textId="7FFD8310" w:rsidR="00CD26F5" w:rsidRPr="00CD26F5" w:rsidRDefault="00530DC2" w:rsidP="00CD26F5">
      <w:pPr>
        <w:numPr>
          <w:ilvl w:val="0"/>
          <w:numId w:val="63"/>
        </w:numPr>
        <w:rPr>
          <w:lang w:val="es-CR"/>
        </w:rPr>
      </w:pPr>
      <w:r w:rsidRPr="00530DC2">
        <w:rPr>
          <w:lang w:val="es-CR"/>
        </w:rPr>
        <w:t>Proyecto Ejecutivo</w:t>
      </w:r>
      <w:r w:rsidR="00CD26F5">
        <w:rPr>
          <w:lang w:val="es-CR"/>
        </w:rPr>
        <w:t xml:space="preserve">:  </w:t>
      </w:r>
      <w:r w:rsidR="00CD26F5" w:rsidRPr="00CD26F5">
        <w:rPr>
          <w:lang w:val="es-CR"/>
        </w:rPr>
        <w:t>Incluye desarrollo del proyecto ejecutivo completo:</w:t>
      </w:r>
    </w:p>
    <w:p w14:paraId="04332043" w14:textId="77777777" w:rsidR="00CD26F5" w:rsidRPr="00CD26F5" w:rsidRDefault="00CD26F5" w:rsidP="00CD26F5">
      <w:pPr>
        <w:numPr>
          <w:ilvl w:val="1"/>
          <w:numId w:val="63"/>
        </w:numPr>
        <w:tabs>
          <w:tab w:val="num" w:pos="720"/>
        </w:tabs>
        <w:rPr>
          <w:lang w:val="es-CR"/>
        </w:rPr>
      </w:pPr>
      <w:r w:rsidRPr="00CD26F5">
        <w:rPr>
          <w:lang w:val="es-CR"/>
        </w:rPr>
        <w:t>Integración de ingenierías (estructurales, mecánicas, eléctricas, especiales).</w:t>
      </w:r>
    </w:p>
    <w:p w14:paraId="38695E44" w14:textId="77777777" w:rsidR="00CD26F5" w:rsidRPr="00CD26F5" w:rsidRDefault="00CD26F5" w:rsidP="00CD26F5">
      <w:pPr>
        <w:numPr>
          <w:ilvl w:val="1"/>
          <w:numId w:val="63"/>
        </w:numPr>
        <w:tabs>
          <w:tab w:val="num" w:pos="720"/>
        </w:tabs>
        <w:rPr>
          <w:lang w:val="es-CR"/>
        </w:rPr>
      </w:pPr>
      <w:r w:rsidRPr="00CD26F5">
        <w:rPr>
          <w:lang w:val="es-CR"/>
        </w:rPr>
        <w:t>Coordinación de interferencias.</w:t>
      </w:r>
    </w:p>
    <w:p w14:paraId="3D522BD2" w14:textId="77777777" w:rsidR="00CD26F5" w:rsidRPr="00CD26F5" w:rsidRDefault="00CD26F5" w:rsidP="00CD26F5">
      <w:pPr>
        <w:numPr>
          <w:ilvl w:val="1"/>
          <w:numId w:val="63"/>
        </w:numPr>
        <w:tabs>
          <w:tab w:val="num" w:pos="720"/>
        </w:tabs>
        <w:rPr>
          <w:lang w:val="es-CR"/>
        </w:rPr>
      </w:pPr>
      <w:r w:rsidRPr="00CD26F5">
        <w:rPr>
          <w:lang w:val="es-CR"/>
        </w:rPr>
        <w:t>Planos listos para ejecución y licitación.</w:t>
      </w:r>
    </w:p>
    <w:p w14:paraId="7F34E1BB" w14:textId="1F025DAD" w:rsidR="00CD26F5" w:rsidRPr="00CD26F5" w:rsidRDefault="00CD26F5" w:rsidP="00CD26F5">
      <w:pPr>
        <w:numPr>
          <w:ilvl w:val="1"/>
          <w:numId w:val="63"/>
        </w:numPr>
        <w:rPr>
          <w:lang w:val="es-CR"/>
        </w:rPr>
      </w:pPr>
      <w:r w:rsidRPr="00CD26F5">
        <w:rPr>
          <w:lang w:val="es-CR"/>
        </w:rPr>
        <w:lastRenderedPageBreak/>
        <w:t xml:space="preserve">Áreas involucradas: </w:t>
      </w:r>
      <w:r w:rsidR="000C3758">
        <w:rPr>
          <w:lang w:val="es-CR"/>
        </w:rPr>
        <w:t>a</w:t>
      </w:r>
      <w:r w:rsidRPr="00CD26F5">
        <w:rPr>
          <w:lang w:val="es-CR"/>
        </w:rPr>
        <w:t>&amp;</w:t>
      </w:r>
      <w:r w:rsidR="000C3758">
        <w:rPr>
          <w:lang w:val="es-CR"/>
        </w:rPr>
        <w:t>d</w:t>
      </w:r>
      <w:r w:rsidRPr="00CD26F5">
        <w:rPr>
          <w:lang w:val="es-CR"/>
        </w:rPr>
        <w:t xml:space="preserve">, </w:t>
      </w:r>
      <w:r w:rsidR="000C3758">
        <w:rPr>
          <w:lang w:val="es-CR"/>
        </w:rPr>
        <w:t>i</w:t>
      </w:r>
      <w:r w:rsidRPr="00CD26F5">
        <w:rPr>
          <w:lang w:val="es-CR"/>
        </w:rPr>
        <w:t>ngenierías</w:t>
      </w:r>
      <w:r>
        <w:rPr>
          <w:lang w:val="es-CR"/>
        </w:rPr>
        <w:t xml:space="preserve"> y</w:t>
      </w:r>
      <w:r w:rsidRPr="00CD26F5">
        <w:rPr>
          <w:lang w:val="es-CR"/>
        </w:rPr>
        <w:t xml:space="preserve"> </w:t>
      </w:r>
      <w:r w:rsidR="000C3758">
        <w:t>p</w:t>
      </w:r>
      <w:r w:rsidR="000C3758" w:rsidRPr="008B17A9">
        <w:t xml:space="preserve">roject </w:t>
      </w:r>
      <w:r w:rsidR="000C3758">
        <w:t>m</w:t>
      </w:r>
      <w:r w:rsidR="000C3758" w:rsidRPr="008B17A9">
        <w:t xml:space="preserve">anager </w:t>
      </w:r>
    </w:p>
    <w:p w14:paraId="50236103" w14:textId="1590763E" w:rsidR="00CD26F5" w:rsidRPr="00CD26F5" w:rsidRDefault="00530DC2" w:rsidP="00CD26F5">
      <w:pPr>
        <w:numPr>
          <w:ilvl w:val="0"/>
          <w:numId w:val="63"/>
        </w:numPr>
        <w:rPr>
          <w:lang w:val="es-CR"/>
        </w:rPr>
      </w:pPr>
      <w:r w:rsidRPr="00530DC2">
        <w:rPr>
          <w:lang w:val="es-CR"/>
        </w:rPr>
        <w:t>Documentación de Trámites</w:t>
      </w:r>
      <w:r w:rsidR="00CD26F5">
        <w:rPr>
          <w:lang w:val="es-CR"/>
        </w:rPr>
        <w:t xml:space="preserve">: </w:t>
      </w:r>
      <w:r w:rsidR="00CD26F5" w:rsidRPr="00CD26F5">
        <w:rPr>
          <w:lang w:val="es-CR"/>
        </w:rPr>
        <w:t>Preparación de documentación técnica requerida para:</w:t>
      </w:r>
    </w:p>
    <w:p w14:paraId="784DA367" w14:textId="77777777" w:rsidR="00CD26F5" w:rsidRPr="00CD26F5" w:rsidRDefault="00CD26F5" w:rsidP="00CD26F5">
      <w:pPr>
        <w:numPr>
          <w:ilvl w:val="1"/>
          <w:numId w:val="63"/>
        </w:numPr>
        <w:rPr>
          <w:lang w:val="es-CR"/>
        </w:rPr>
      </w:pPr>
      <w:r w:rsidRPr="00CD26F5">
        <w:rPr>
          <w:lang w:val="es-CR"/>
        </w:rPr>
        <w:t>Permisos de construcción.</w:t>
      </w:r>
    </w:p>
    <w:p w14:paraId="55829529" w14:textId="49F944B9" w:rsidR="00CD26F5" w:rsidRPr="00CD26F5" w:rsidRDefault="00CD26F5" w:rsidP="00CD26F5">
      <w:pPr>
        <w:numPr>
          <w:ilvl w:val="1"/>
          <w:numId w:val="63"/>
        </w:numPr>
        <w:rPr>
          <w:lang w:val="es-CR"/>
        </w:rPr>
      </w:pPr>
      <w:r w:rsidRPr="00CD26F5">
        <w:rPr>
          <w:lang w:val="es-CR"/>
        </w:rPr>
        <w:t>Visados ante entes reguladores</w:t>
      </w:r>
      <w:r>
        <w:rPr>
          <w:lang w:val="es-CR"/>
        </w:rPr>
        <w:t xml:space="preserve"> como el CFIA, Municipalidades y Bomberos.</w:t>
      </w:r>
    </w:p>
    <w:p w14:paraId="0DA131B8" w14:textId="77777777" w:rsidR="00CD26F5" w:rsidRPr="00CD26F5" w:rsidRDefault="00CD26F5" w:rsidP="00CD26F5">
      <w:pPr>
        <w:numPr>
          <w:ilvl w:val="1"/>
          <w:numId w:val="63"/>
        </w:numPr>
        <w:rPr>
          <w:lang w:val="es-CR"/>
        </w:rPr>
      </w:pPr>
      <w:r w:rsidRPr="00CD26F5">
        <w:rPr>
          <w:lang w:val="es-CR"/>
        </w:rPr>
        <w:t>Presentación ante municipalidades y entidades estatales.</w:t>
      </w:r>
    </w:p>
    <w:p w14:paraId="5BFD7B52" w14:textId="731599C8" w:rsidR="00CD26F5" w:rsidRPr="00CD26F5" w:rsidRDefault="00CD26F5" w:rsidP="00CD26F5">
      <w:pPr>
        <w:numPr>
          <w:ilvl w:val="1"/>
          <w:numId w:val="63"/>
        </w:numPr>
        <w:rPr>
          <w:lang w:val="es-CR"/>
        </w:rPr>
      </w:pPr>
      <w:r w:rsidRPr="00CD26F5">
        <w:rPr>
          <w:lang w:val="es-CR"/>
        </w:rPr>
        <w:t xml:space="preserve">Áreas involucradas: </w:t>
      </w:r>
      <w:r w:rsidR="000C3758">
        <w:rPr>
          <w:lang w:val="es-CR"/>
        </w:rPr>
        <w:t>a</w:t>
      </w:r>
      <w:r w:rsidRPr="00CD26F5">
        <w:rPr>
          <w:lang w:val="es-CR"/>
        </w:rPr>
        <w:t>&amp;</w:t>
      </w:r>
      <w:r w:rsidR="000C3758">
        <w:rPr>
          <w:lang w:val="es-CR"/>
        </w:rPr>
        <w:t>d</w:t>
      </w:r>
      <w:r w:rsidRPr="00CD26F5">
        <w:rPr>
          <w:lang w:val="es-CR"/>
        </w:rPr>
        <w:t xml:space="preserve">, </w:t>
      </w:r>
      <w:r w:rsidR="000C3758">
        <w:t>p</w:t>
      </w:r>
      <w:r w:rsidR="000C3758" w:rsidRPr="008B17A9">
        <w:t xml:space="preserve">roject </w:t>
      </w:r>
      <w:r w:rsidR="000C3758">
        <w:t>m</w:t>
      </w:r>
      <w:r w:rsidR="000C3758" w:rsidRPr="008B17A9">
        <w:t xml:space="preserve">anager </w:t>
      </w:r>
      <w:r w:rsidRPr="00CD26F5">
        <w:rPr>
          <w:lang w:val="es-CR"/>
        </w:rPr>
        <w:t>.</w:t>
      </w:r>
    </w:p>
    <w:p w14:paraId="14AAD496" w14:textId="5CF9F615" w:rsidR="00CD26F5" w:rsidRPr="00CD26F5" w:rsidRDefault="00530DC2" w:rsidP="00CD26F5">
      <w:pPr>
        <w:numPr>
          <w:ilvl w:val="0"/>
          <w:numId w:val="63"/>
        </w:numPr>
        <w:rPr>
          <w:lang w:val="es-CR"/>
        </w:rPr>
      </w:pPr>
      <w:r w:rsidRPr="00530DC2">
        <w:rPr>
          <w:lang w:val="es-CR"/>
        </w:rPr>
        <w:t>Conforme a Obra</w:t>
      </w:r>
      <w:r w:rsidR="00CD26F5">
        <w:rPr>
          <w:lang w:val="es-CR"/>
        </w:rPr>
        <w:t xml:space="preserve">: </w:t>
      </w:r>
      <w:r w:rsidR="00CD26F5" w:rsidRPr="00CD26F5">
        <w:rPr>
          <w:lang w:val="es-CR"/>
        </w:rPr>
        <w:t>Etapa final post-ejecución:</w:t>
      </w:r>
    </w:p>
    <w:p w14:paraId="78AA2933" w14:textId="77777777" w:rsidR="00CD26F5" w:rsidRPr="00CD26F5" w:rsidRDefault="00CD26F5" w:rsidP="00CD26F5">
      <w:pPr>
        <w:numPr>
          <w:ilvl w:val="1"/>
          <w:numId w:val="63"/>
        </w:numPr>
        <w:tabs>
          <w:tab w:val="num" w:pos="720"/>
        </w:tabs>
        <w:rPr>
          <w:lang w:val="es-CR"/>
        </w:rPr>
      </w:pPr>
      <w:r w:rsidRPr="00CD26F5">
        <w:rPr>
          <w:lang w:val="es-CR"/>
        </w:rPr>
        <w:t>Elaboración de planos as-built (conforme a obra).</w:t>
      </w:r>
    </w:p>
    <w:p w14:paraId="32FB77E6" w14:textId="77777777" w:rsidR="00CD26F5" w:rsidRPr="00CD26F5" w:rsidRDefault="00CD26F5" w:rsidP="00CD26F5">
      <w:pPr>
        <w:numPr>
          <w:ilvl w:val="1"/>
          <w:numId w:val="63"/>
        </w:numPr>
        <w:tabs>
          <w:tab w:val="num" w:pos="720"/>
        </w:tabs>
        <w:rPr>
          <w:lang w:val="es-CR"/>
        </w:rPr>
      </w:pPr>
      <w:r w:rsidRPr="00CD26F5">
        <w:rPr>
          <w:lang w:val="es-CR"/>
        </w:rPr>
        <w:t>Corrección de toda documentación conforme a ejecución real.</w:t>
      </w:r>
    </w:p>
    <w:p w14:paraId="74337B75" w14:textId="77777777" w:rsidR="00CD26F5" w:rsidRPr="00CD26F5" w:rsidRDefault="00CD26F5" w:rsidP="00CD26F5">
      <w:pPr>
        <w:numPr>
          <w:ilvl w:val="1"/>
          <w:numId w:val="63"/>
        </w:numPr>
        <w:tabs>
          <w:tab w:val="num" w:pos="720"/>
        </w:tabs>
        <w:rPr>
          <w:lang w:val="es-CR"/>
        </w:rPr>
      </w:pPr>
      <w:r w:rsidRPr="00CD26F5">
        <w:rPr>
          <w:lang w:val="es-CR"/>
        </w:rPr>
        <w:t>Entrega formal al cliente.</w:t>
      </w:r>
    </w:p>
    <w:p w14:paraId="342F979F" w14:textId="67C8F017" w:rsidR="00CD26F5" w:rsidRPr="00CD26F5" w:rsidRDefault="00CD26F5" w:rsidP="00CD26F5">
      <w:pPr>
        <w:numPr>
          <w:ilvl w:val="1"/>
          <w:numId w:val="63"/>
        </w:numPr>
        <w:rPr>
          <w:lang w:val="es-CR"/>
        </w:rPr>
      </w:pPr>
      <w:r w:rsidRPr="00CD26F5">
        <w:rPr>
          <w:lang w:val="es-CR"/>
        </w:rPr>
        <w:t xml:space="preserve">Áreas involucradas: Construcción, </w:t>
      </w:r>
      <w:r w:rsidR="000C3758">
        <w:rPr>
          <w:lang w:val="es-CR"/>
        </w:rPr>
        <w:t>a</w:t>
      </w:r>
      <w:r w:rsidRPr="00CD26F5">
        <w:rPr>
          <w:lang w:val="es-CR"/>
        </w:rPr>
        <w:t>&amp;</w:t>
      </w:r>
      <w:r w:rsidR="000C3758">
        <w:rPr>
          <w:lang w:val="es-CR"/>
        </w:rPr>
        <w:t>d</w:t>
      </w:r>
      <w:r>
        <w:rPr>
          <w:lang w:val="es-CR"/>
        </w:rPr>
        <w:t xml:space="preserve"> y</w:t>
      </w:r>
      <w:r w:rsidRPr="00CD26F5">
        <w:rPr>
          <w:lang w:val="es-CR"/>
        </w:rPr>
        <w:t xml:space="preserve"> </w:t>
      </w:r>
      <w:r w:rsidR="000C3758">
        <w:t>p</w:t>
      </w:r>
      <w:r w:rsidR="000C3758" w:rsidRPr="008B17A9">
        <w:t xml:space="preserve">roject </w:t>
      </w:r>
      <w:r w:rsidR="000C3758">
        <w:t>m</w:t>
      </w:r>
      <w:r w:rsidR="000C3758" w:rsidRPr="008B17A9">
        <w:t xml:space="preserve">anager </w:t>
      </w:r>
      <w:r w:rsidRPr="00CD26F5">
        <w:rPr>
          <w:lang w:val="es-CR"/>
        </w:rPr>
        <w:t>.</w:t>
      </w:r>
    </w:p>
    <w:p w14:paraId="712ED308" w14:textId="4565FC03" w:rsidR="00530DC2" w:rsidRPr="00530DC2" w:rsidRDefault="00530DC2" w:rsidP="00D81025">
      <w:pPr>
        <w:rPr>
          <w:lang w:val="es-CR"/>
        </w:rPr>
      </w:pPr>
      <w:r w:rsidRPr="00530DC2">
        <w:rPr>
          <w:lang w:val="es-CR"/>
        </w:rPr>
        <w:t xml:space="preserve">Las herramientas utilizadas por el equipo de </w:t>
      </w:r>
      <w:r w:rsidR="000C3758">
        <w:rPr>
          <w:lang w:val="es-CR"/>
        </w:rPr>
        <w:t>a</w:t>
      </w:r>
      <w:r w:rsidRPr="00530DC2">
        <w:rPr>
          <w:lang w:val="es-CR"/>
        </w:rPr>
        <w:t>&amp;</w:t>
      </w:r>
      <w:r w:rsidR="000C3758">
        <w:rPr>
          <w:lang w:val="es-CR"/>
        </w:rPr>
        <w:t>d</w:t>
      </w:r>
      <w:r w:rsidRPr="00530DC2">
        <w:rPr>
          <w:lang w:val="es-CR"/>
        </w:rPr>
        <w:t xml:space="preserve"> incluyen </w:t>
      </w:r>
      <w:r w:rsidR="000C3758">
        <w:rPr>
          <w:lang w:val="es-CR"/>
        </w:rPr>
        <w:t>r</w:t>
      </w:r>
      <w:r w:rsidRPr="00530DC2">
        <w:rPr>
          <w:lang w:val="es-CR"/>
        </w:rPr>
        <w:t xml:space="preserve">evit, </w:t>
      </w:r>
      <w:r w:rsidR="000C3758">
        <w:rPr>
          <w:lang w:val="es-CR"/>
        </w:rPr>
        <w:t>a</w:t>
      </w:r>
      <w:r w:rsidRPr="00530DC2">
        <w:rPr>
          <w:lang w:val="es-CR"/>
        </w:rPr>
        <w:t xml:space="preserve">utocad, </w:t>
      </w:r>
      <w:r w:rsidR="000C3758">
        <w:rPr>
          <w:lang w:val="es-CR"/>
        </w:rPr>
        <w:t>g</w:t>
      </w:r>
      <w:r w:rsidRPr="00530DC2">
        <w:rPr>
          <w:lang w:val="es-CR"/>
        </w:rPr>
        <w:t xml:space="preserve">oogle </w:t>
      </w:r>
      <w:r w:rsidR="000C3758">
        <w:rPr>
          <w:lang w:val="es-CR"/>
        </w:rPr>
        <w:t>s</w:t>
      </w:r>
      <w:r w:rsidRPr="00530DC2">
        <w:rPr>
          <w:lang w:val="es-CR"/>
        </w:rPr>
        <w:t xml:space="preserve">lides, </w:t>
      </w:r>
      <w:r w:rsidR="000C3758">
        <w:rPr>
          <w:lang w:val="es-CR"/>
        </w:rPr>
        <w:t>l</w:t>
      </w:r>
      <w:r w:rsidRPr="00530DC2">
        <w:rPr>
          <w:lang w:val="es-CR"/>
        </w:rPr>
        <w:t xml:space="preserve">umion, </w:t>
      </w:r>
      <w:r w:rsidR="000C3758">
        <w:rPr>
          <w:lang w:val="es-CR"/>
        </w:rPr>
        <w:t>p</w:t>
      </w:r>
      <w:r w:rsidRPr="00530DC2">
        <w:rPr>
          <w:lang w:val="es-CR"/>
        </w:rPr>
        <w:t xml:space="preserve">hotoshop y </w:t>
      </w:r>
      <w:r w:rsidR="000C3758">
        <w:rPr>
          <w:lang w:val="es-CR"/>
        </w:rPr>
        <w:t>e</w:t>
      </w:r>
      <w:r w:rsidRPr="00530DC2">
        <w:rPr>
          <w:lang w:val="es-CR"/>
        </w:rPr>
        <w:t xml:space="preserve">nscape. Para el seguimiento del cronograma de diseño, se </w:t>
      </w:r>
      <w:r w:rsidR="000A233C">
        <w:rPr>
          <w:lang w:val="es-CR"/>
        </w:rPr>
        <w:t>desarrolla por medio de un</w:t>
      </w:r>
      <w:r w:rsidRPr="00530DC2">
        <w:rPr>
          <w:lang w:val="es-CR"/>
        </w:rPr>
        <w:t xml:space="preserve"> Excel</w:t>
      </w:r>
      <w:r w:rsidR="000A233C">
        <w:rPr>
          <w:lang w:val="es-CR"/>
        </w:rPr>
        <w:t xml:space="preserve"> compartido</w:t>
      </w:r>
      <w:r w:rsidRPr="00530DC2">
        <w:rPr>
          <w:lang w:val="es-CR"/>
        </w:rPr>
        <w:t>.</w:t>
      </w:r>
    </w:p>
    <w:p w14:paraId="2C62D58A" w14:textId="580D0100" w:rsidR="00530DC2" w:rsidRPr="00530DC2" w:rsidRDefault="00CD26F5" w:rsidP="00D81025">
      <w:pPr>
        <w:rPr>
          <w:lang w:val="es-CR"/>
        </w:rPr>
      </w:pPr>
      <w:r>
        <w:rPr>
          <w:lang w:val="es-CR"/>
        </w:rPr>
        <w:t>Los procesos d</w:t>
      </w:r>
      <w:r w:rsidR="00530DC2" w:rsidRPr="00530DC2">
        <w:rPr>
          <w:lang w:val="es-CR"/>
        </w:rPr>
        <w:t xml:space="preserve">urante la etapa de </w:t>
      </w:r>
      <w:r>
        <w:rPr>
          <w:lang w:val="es-CR"/>
        </w:rPr>
        <w:t>construcción</w:t>
      </w:r>
      <w:r w:rsidR="00530DC2" w:rsidRPr="00530DC2">
        <w:rPr>
          <w:lang w:val="es-CR"/>
        </w:rPr>
        <w:t>, el equipo de obra sigue un proceso estructurado que comienza antes del inicio físico del proyecto. Este se organiza en tres fases:</w:t>
      </w:r>
    </w:p>
    <w:p w14:paraId="66A6DDE1" w14:textId="575056DB" w:rsidR="00530DC2" w:rsidRPr="005A073C" w:rsidRDefault="00530DC2" w:rsidP="005A073C">
      <w:pPr>
        <w:pStyle w:val="Prrafodelista"/>
        <w:numPr>
          <w:ilvl w:val="0"/>
          <w:numId w:val="78"/>
        </w:numPr>
        <w:rPr>
          <w:lang w:val="es-CR"/>
        </w:rPr>
      </w:pPr>
      <w:r w:rsidRPr="005916DD">
        <w:rPr>
          <w:b/>
          <w:bCs/>
          <w:lang w:val="es-CR"/>
        </w:rPr>
        <w:t>Fase previa a obra:</w:t>
      </w:r>
    </w:p>
    <w:p w14:paraId="2A9AFD45" w14:textId="36DBB812" w:rsidR="00530DC2" w:rsidRPr="00530DC2" w:rsidRDefault="00530DC2" w:rsidP="005916DD">
      <w:pPr>
        <w:pStyle w:val="Prrafodelista"/>
        <w:numPr>
          <w:ilvl w:val="0"/>
          <w:numId w:val="80"/>
        </w:numPr>
        <w:rPr>
          <w:lang w:val="es-CR"/>
        </w:rPr>
      </w:pPr>
      <w:r w:rsidRPr="00530DC2">
        <w:rPr>
          <w:lang w:val="es-CR"/>
        </w:rPr>
        <w:t xml:space="preserve">Kick-off de obra: reunión entre el </w:t>
      </w:r>
      <w:r w:rsidR="000C3758">
        <w:t>p</w:t>
      </w:r>
      <w:r w:rsidR="000C3758" w:rsidRPr="008B17A9">
        <w:t xml:space="preserve">roject </w:t>
      </w:r>
      <w:r w:rsidR="000C3758">
        <w:t>m</w:t>
      </w:r>
      <w:r w:rsidR="000C3758" w:rsidRPr="008B17A9">
        <w:t xml:space="preserve">anager </w:t>
      </w:r>
      <w:r w:rsidRPr="00530DC2">
        <w:rPr>
          <w:lang w:val="es-CR"/>
        </w:rPr>
        <w:t>, compras, seguridad</w:t>
      </w:r>
      <w:r w:rsidR="000C3758">
        <w:rPr>
          <w:lang w:val="es-CR"/>
        </w:rPr>
        <w:t>, director de obra</w:t>
      </w:r>
      <w:r w:rsidRPr="00530DC2">
        <w:rPr>
          <w:lang w:val="es-CR"/>
        </w:rPr>
        <w:t xml:space="preserve"> para alinear expectativas.</w:t>
      </w:r>
    </w:p>
    <w:p w14:paraId="16F31590" w14:textId="77777777" w:rsidR="00530DC2" w:rsidRPr="00530DC2" w:rsidRDefault="00530DC2" w:rsidP="005916DD">
      <w:pPr>
        <w:pStyle w:val="Prrafodelista"/>
        <w:numPr>
          <w:ilvl w:val="0"/>
          <w:numId w:val="80"/>
        </w:numPr>
        <w:rPr>
          <w:lang w:val="es-CR"/>
        </w:rPr>
      </w:pPr>
      <w:r w:rsidRPr="00530DC2">
        <w:rPr>
          <w:lang w:val="es-CR"/>
        </w:rPr>
        <w:t>Visita al edificio: revisión técnica junto al proyectista para identificar interferencias y condiciones iniciales.</w:t>
      </w:r>
    </w:p>
    <w:p w14:paraId="068EF275" w14:textId="77777777" w:rsidR="00530DC2" w:rsidRPr="00530DC2" w:rsidRDefault="00530DC2" w:rsidP="005916DD">
      <w:pPr>
        <w:pStyle w:val="Prrafodelista"/>
        <w:numPr>
          <w:ilvl w:val="0"/>
          <w:numId w:val="80"/>
        </w:numPr>
        <w:rPr>
          <w:lang w:val="es-CR"/>
        </w:rPr>
      </w:pPr>
      <w:r w:rsidRPr="00530DC2">
        <w:rPr>
          <w:lang w:val="es-CR"/>
        </w:rPr>
        <w:lastRenderedPageBreak/>
        <w:t>Identificación de suministros críticos.</w:t>
      </w:r>
    </w:p>
    <w:p w14:paraId="34F82E5F" w14:textId="77777777" w:rsidR="00530DC2" w:rsidRPr="00530DC2" w:rsidRDefault="00530DC2" w:rsidP="005916DD">
      <w:pPr>
        <w:pStyle w:val="Prrafodelista"/>
        <w:numPr>
          <w:ilvl w:val="0"/>
          <w:numId w:val="80"/>
        </w:numPr>
        <w:rPr>
          <w:lang w:val="es-CR"/>
        </w:rPr>
      </w:pPr>
      <w:r w:rsidRPr="00530DC2">
        <w:rPr>
          <w:lang w:val="es-CR"/>
        </w:rPr>
        <w:t>Adjudicación a proveedores clave.</w:t>
      </w:r>
    </w:p>
    <w:p w14:paraId="3017D15F" w14:textId="77777777" w:rsidR="00530DC2" w:rsidRPr="00530DC2" w:rsidRDefault="00530DC2" w:rsidP="005916DD">
      <w:pPr>
        <w:pStyle w:val="Prrafodelista"/>
        <w:numPr>
          <w:ilvl w:val="0"/>
          <w:numId w:val="80"/>
        </w:numPr>
        <w:rPr>
          <w:lang w:val="es-CR"/>
        </w:rPr>
      </w:pPr>
      <w:r w:rsidRPr="00530DC2">
        <w:rPr>
          <w:lang w:val="es-CR"/>
        </w:rPr>
        <w:t>Elaboración y validación del cronograma interno.</w:t>
      </w:r>
    </w:p>
    <w:p w14:paraId="1CC801B4" w14:textId="77777777" w:rsidR="00530DC2" w:rsidRPr="00530DC2" w:rsidRDefault="00530DC2" w:rsidP="005916DD">
      <w:pPr>
        <w:pStyle w:val="Prrafodelista"/>
        <w:numPr>
          <w:ilvl w:val="0"/>
          <w:numId w:val="80"/>
        </w:numPr>
        <w:rPr>
          <w:lang w:val="es-CR"/>
        </w:rPr>
      </w:pPr>
      <w:r w:rsidRPr="00530DC2">
        <w:rPr>
          <w:lang w:val="es-CR"/>
        </w:rPr>
        <w:t>Planificación logística del sitio de obra (espacios, circulación, permisos).</w:t>
      </w:r>
    </w:p>
    <w:p w14:paraId="78D45129" w14:textId="77777777" w:rsidR="005916DD" w:rsidRPr="005916DD" w:rsidRDefault="00530DC2" w:rsidP="005916DD">
      <w:pPr>
        <w:pStyle w:val="Prrafodelista"/>
        <w:numPr>
          <w:ilvl w:val="0"/>
          <w:numId w:val="78"/>
        </w:numPr>
        <w:rPr>
          <w:lang w:val="es-CR"/>
        </w:rPr>
      </w:pPr>
      <w:r w:rsidRPr="005916DD">
        <w:rPr>
          <w:b/>
          <w:bCs/>
          <w:lang w:val="es-CR"/>
        </w:rPr>
        <w:t>Fase durante la obra:</w:t>
      </w:r>
    </w:p>
    <w:p w14:paraId="617186F1" w14:textId="77777777" w:rsidR="00530DC2" w:rsidRPr="00530DC2" w:rsidRDefault="00530DC2" w:rsidP="005916DD">
      <w:pPr>
        <w:pStyle w:val="Prrafodelista"/>
        <w:numPr>
          <w:ilvl w:val="0"/>
          <w:numId w:val="80"/>
        </w:numPr>
        <w:rPr>
          <w:lang w:val="es-CR"/>
        </w:rPr>
      </w:pPr>
      <w:r w:rsidRPr="00530DC2">
        <w:rPr>
          <w:lang w:val="es-CR"/>
        </w:rPr>
        <w:t>Replanteo arquitectónico y verificación de sistemas.</w:t>
      </w:r>
    </w:p>
    <w:p w14:paraId="5B52B7E5" w14:textId="77777777" w:rsidR="00530DC2" w:rsidRPr="00530DC2" w:rsidRDefault="00530DC2" w:rsidP="005916DD">
      <w:pPr>
        <w:pStyle w:val="Prrafodelista"/>
        <w:numPr>
          <w:ilvl w:val="0"/>
          <w:numId w:val="80"/>
        </w:numPr>
        <w:rPr>
          <w:lang w:val="es-CR"/>
        </w:rPr>
      </w:pPr>
      <w:r w:rsidRPr="00530DC2">
        <w:rPr>
          <w:lang w:val="es-CR"/>
        </w:rPr>
        <w:t>Coordinación de entregas y control de calidad de suministros.</w:t>
      </w:r>
    </w:p>
    <w:p w14:paraId="0F65BF0F" w14:textId="77777777" w:rsidR="00530DC2" w:rsidRPr="00530DC2" w:rsidRDefault="00530DC2" w:rsidP="005916DD">
      <w:pPr>
        <w:pStyle w:val="Prrafodelista"/>
        <w:numPr>
          <w:ilvl w:val="0"/>
          <w:numId w:val="80"/>
        </w:numPr>
        <w:rPr>
          <w:lang w:val="es-CR"/>
        </w:rPr>
      </w:pPr>
      <w:r w:rsidRPr="00530DC2">
        <w:rPr>
          <w:lang w:val="es-CR"/>
        </w:rPr>
        <w:t>Seguimiento de avance por hitos, incluyendo reportes y control de riesgos.</w:t>
      </w:r>
    </w:p>
    <w:p w14:paraId="4D5F6762" w14:textId="77777777" w:rsidR="00530DC2" w:rsidRPr="00530DC2" w:rsidRDefault="00530DC2" w:rsidP="005916DD">
      <w:pPr>
        <w:pStyle w:val="Prrafodelista"/>
        <w:numPr>
          <w:ilvl w:val="0"/>
          <w:numId w:val="80"/>
        </w:numPr>
        <w:rPr>
          <w:lang w:val="es-CR"/>
        </w:rPr>
      </w:pPr>
      <w:r w:rsidRPr="00530DC2">
        <w:rPr>
          <w:lang w:val="es-CR"/>
        </w:rPr>
        <w:t>Supervisión de condiciones de seguridad y salud ocupacional (SEH).</w:t>
      </w:r>
    </w:p>
    <w:p w14:paraId="600DF8A3" w14:textId="77777777" w:rsidR="00530DC2" w:rsidRPr="00530DC2" w:rsidRDefault="00530DC2" w:rsidP="005916DD">
      <w:pPr>
        <w:pStyle w:val="Prrafodelista"/>
        <w:numPr>
          <w:ilvl w:val="0"/>
          <w:numId w:val="80"/>
        </w:numPr>
        <w:rPr>
          <w:lang w:val="es-CR"/>
        </w:rPr>
      </w:pPr>
      <w:r w:rsidRPr="00530DC2">
        <w:rPr>
          <w:lang w:val="es-CR"/>
        </w:rPr>
        <w:t>Validación de instalaciones y pruebas con proveedores.</w:t>
      </w:r>
    </w:p>
    <w:p w14:paraId="13085D7C" w14:textId="77777777" w:rsidR="00530DC2" w:rsidRPr="00530DC2" w:rsidRDefault="00530DC2" w:rsidP="005916DD">
      <w:pPr>
        <w:pStyle w:val="Prrafodelista"/>
        <w:numPr>
          <w:ilvl w:val="0"/>
          <w:numId w:val="80"/>
        </w:numPr>
        <w:rPr>
          <w:lang w:val="es-CR"/>
        </w:rPr>
      </w:pPr>
      <w:r w:rsidRPr="00530DC2">
        <w:rPr>
          <w:lang w:val="es-CR"/>
        </w:rPr>
        <w:t>Estas actividades se documentan en reuniones quincenales entre el DO, PM y contratistas, respaldadas con minutas oficiales.</w:t>
      </w:r>
    </w:p>
    <w:p w14:paraId="42F71079" w14:textId="3CF6F5DA" w:rsidR="00530DC2" w:rsidRPr="005A073C" w:rsidRDefault="00530DC2" w:rsidP="005A073C">
      <w:pPr>
        <w:pStyle w:val="Prrafodelista"/>
        <w:numPr>
          <w:ilvl w:val="0"/>
          <w:numId w:val="78"/>
        </w:numPr>
        <w:rPr>
          <w:lang w:val="es-CR"/>
        </w:rPr>
      </w:pPr>
      <w:r w:rsidRPr="005A073C">
        <w:rPr>
          <w:b/>
          <w:bCs/>
          <w:lang w:val="es-CR"/>
        </w:rPr>
        <w:t>Fase de entrega y cierre:</w:t>
      </w:r>
      <w:r w:rsidRPr="005A073C">
        <w:rPr>
          <w:lang w:val="es-CR"/>
        </w:rPr>
        <w:br/>
        <w:t>Consta de tres etapas:</w:t>
      </w:r>
    </w:p>
    <w:p w14:paraId="1B3FD52A" w14:textId="77777777" w:rsidR="00530DC2" w:rsidRPr="00530DC2" w:rsidRDefault="00530DC2" w:rsidP="005916DD">
      <w:pPr>
        <w:pStyle w:val="Prrafodelista"/>
        <w:numPr>
          <w:ilvl w:val="0"/>
          <w:numId w:val="80"/>
        </w:numPr>
        <w:rPr>
          <w:lang w:val="es-CR"/>
        </w:rPr>
      </w:pPr>
      <w:r w:rsidRPr="00530DC2">
        <w:rPr>
          <w:lang w:val="es-CR"/>
        </w:rPr>
        <w:t>Recepción interna: revisión técnica final y planificación de la entrega.</w:t>
      </w:r>
    </w:p>
    <w:p w14:paraId="7AE1729D" w14:textId="77777777" w:rsidR="00530DC2" w:rsidRPr="00530DC2" w:rsidRDefault="00530DC2" w:rsidP="005916DD">
      <w:pPr>
        <w:pStyle w:val="Prrafodelista"/>
        <w:numPr>
          <w:ilvl w:val="0"/>
          <w:numId w:val="80"/>
        </w:numPr>
        <w:rPr>
          <w:lang w:val="es-CR"/>
        </w:rPr>
      </w:pPr>
      <w:r w:rsidRPr="00530DC2">
        <w:rPr>
          <w:lang w:val="es-CR"/>
        </w:rPr>
        <w:t>Recepción provisoria: recorrido con el cliente, entrega del punch list y firma del acta provisoria.</w:t>
      </w:r>
    </w:p>
    <w:p w14:paraId="35F6E061" w14:textId="77777777" w:rsidR="00530DC2" w:rsidRDefault="00530DC2" w:rsidP="005916DD">
      <w:pPr>
        <w:pStyle w:val="Prrafodelista"/>
        <w:numPr>
          <w:ilvl w:val="0"/>
          <w:numId w:val="80"/>
        </w:numPr>
        <w:rPr>
          <w:lang w:val="es-CR"/>
        </w:rPr>
      </w:pPr>
      <w:r w:rsidRPr="00530DC2">
        <w:rPr>
          <w:lang w:val="es-CR"/>
        </w:rPr>
        <w:t>Recepción definitiva y cierre: resolución de pendientes, entrega del dossier conforme a obra (CO), encuesta de satisfacción y solicitud de carta de recomendación.</w:t>
      </w:r>
    </w:p>
    <w:p w14:paraId="77CA7232" w14:textId="1182AD3F" w:rsidR="00A65C9C" w:rsidRPr="00F87B9A" w:rsidRDefault="00F87B9A" w:rsidP="00E364CE">
      <w:pPr>
        <w:pStyle w:val="APA"/>
      </w:pPr>
      <w:r w:rsidRPr="00F87B9A">
        <w:t>Las herramientas utilizadas por el departamento de Construcción incluyen Monday.com, empleada para el seguimiento de las diferentes áreas, así como Microsoft Excel y MS Project para la elaboración y control de cronogramas.</w:t>
      </w:r>
    </w:p>
    <w:p w14:paraId="4683119E" w14:textId="6DFB23F6" w:rsidR="000A233C" w:rsidRPr="00976190" w:rsidRDefault="00CD26F5" w:rsidP="00E364CE">
      <w:pPr>
        <w:pStyle w:val="APA"/>
        <w:rPr>
          <w:lang w:val="es-CR"/>
        </w:rPr>
      </w:pPr>
      <w:r w:rsidRPr="00976190">
        <w:lastRenderedPageBreak/>
        <w:t xml:space="preserve">Por </w:t>
      </w:r>
      <w:r w:rsidR="00F87B9A" w:rsidRPr="00976190">
        <w:t>último,</w:t>
      </w:r>
      <w:r w:rsidRPr="00976190">
        <w:t xml:space="preserve"> se</w:t>
      </w:r>
      <w:r w:rsidR="000A233C" w:rsidRPr="00976190">
        <w:t xml:space="preserve"> identificó que no existen procesos formalizados ni estandarizados específicos para </w:t>
      </w:r>
      <w:r w:rsidR="000C3758">
        <w:rPr>
          <w:lang w:val="es-CR"/>
        </w:rPr>
        <w:t>p</w:t>
      </w:r>
      <w:r w:rsidRPr="00976190">
        <w:rPr>
          <w:lang w:val="es-CR"/>
        </w:rPr>
        <w:t xml:space="preserve">roject </w:t>
      </w:r>
      <w:r w:rsidR="000C3758">
        <w:rPr>
          <w:lang w:val="es-CR"/>
        </w:rPr>
        <w:t>m</w:t>
      </w:r>
      <w:r w:rsidRPr="00976190">
        <w:rPr>
          <w:lang w:val="es-CR"/>
        </w:rPr>
        <w:t>anagement (</w:t>
      </w:r>
      <w:r w:rsidR="000C3758">
        <w:rPr>
          <w:lang w:val="es-CR"/>
        </w:rPr>
        <w:t>pm</w:t>
      </w:r>
      <w:r w:rsidRPr="00976190">
        <w:rPr>
          <w:lang w:val="es-CR"/>
        </w:rPr>
        <w:t xml:space="preserve">). </w:t>
      </w:r>
      <w:r w:rsidR="000A233C" w:rsidRPr="00976190">
        <w:t xml:space="preserve">Aunque el rol del Project Manager está presente operativamente, sus actividades no se encuentran documentadas ni estructuradas dentro de un procedimiento claro y replicable. </w:t>
      </w:r>
    </w:p>
    <w:p w14:paraId="40D00CA3" w14:textId="33AD81C9" w:rsidR="00D87210" w:rsidRDefault="0046720B" w:rsidP="00237B6D">
      <w:pPr>
        <w:pStyle w:val="Ttulo3"/>
      </w:pPr>
      <w:bookmarkStart w:id="79" w:name="_Toc212406373"/>
      <w:r>
        <w:t xml:space="preserve">4.1.2 </w:t>
      </w:r>
      <w:r w:rsidR="00D87210">
        <w:t>Mapa de flujo actual de planificación, diseño y ejecución</w:t>
      </w:r>
      <w:bookmarkEnd w:id="79"/>
    </w:p>
    <w:p w14:paraId="7ECEBAF9" w14:textId="77777777" w:rsidR="00F87B9A" w:rsidRPr="00F87B9A" w:rsidRDefault="00F87B9A" w:rsidP="00F87B9A">
      <w:pPr>
        <w:pStyle w:val="Figura1"/>
        <w:rPr>
          <w:lang w:val="es-CR" w:eastAsia="es-CR"/>
        </w:rPr>
      </w:pPr>
      <w:r w:rsidRPr="00F87B9A">
        <w:rPr>
          <w:lang w:val="es-CR" w:eastAsia="es-CR"/>
        </w:rPr>
        <w:t>Mediante el diagrama SIPOC se representa de manera estructurada el flujo actual de los proyectos D&amp;B en Contract Workplaces, abarcando desde la recepción de requerimientos hasta la entrega final al cliente.</w:t>
      </w:r>
    </w:p>
    <w:p w14:paraId="2C50118C" w14:textId="77777777" w:rsidR="00D87210" w:rsidRDefault="00D87210" w:rsidP="00D81025">
      <w:pPr>
        <w:ind w:firstLine="0"/>
        <w:rPr>
          <w:highlight w:val="red"/>
        </w:rPr>
        <w:sectPr w:rsidR="00D87210" w:rsidSect="008A34AF">
          <w:pgSz w:w="12242" w:h="15842"/>
          <w:pgMar w:top="1985" w:right="1418" w:bottom="1701" w:left="1985" w:header="709" w:footer="709" w:gutter="0"/>
          <w:pgNumType w:start="1"/>
          <w:cols w:space="720"/>
        </w:sectPr>
      </w:pPr>
    </w:p>
    <w:p w14:paraId="16BE000E" w14:textId="77777777" w:rsidR="00D87210" w:rsidRPr="007470B5" w:rsidRDefault="00D87210" w:rsidP="00D81025">
      <w:pPr>
        <w:ind w:firstLine="0"/>
      </w:pPr>
    </w:p>
    <w:p w14:paraId="1214C48C" w14:textId="2A865CFB" w:rsidR="00D87210" w:rsidRDefault="00D87210" w:rsidP="00D81025">
      <w:pPr>
        <w:pBdr>
          <w:top w:val="nil"/>
          <w:left w:val="nil"/>
          <w:bottom w:val="nil"/>
          <w:right w:val="nil"/>
          <w:between w:val="nil"/>
        </w:pBdr>
        <w:spacing w:after="200"/>
        <w:ind w:firstLine="0"/>
        <w:rPr>
          <w:b/>
          <w:color w:val="000000"/>
        </w:rPr>
      </w:pPr>
      <w:bookmarkStart w:id="80" w:name="_Toc210425793"/>
      <w:r w:rsidRPr="007470B5">
        <w:rPr>
          <w:b/>
          <w:color w:val="000000"/>
        </w:rPr>
        <w:t xml:space="preserve">Tabla </w:t>
      </w:r>
      <w:r w:rsidRPr="007470B5">
        <w:rPr>
          <w:b/>
          <w:color w:val="000000"/>
        </w:rPr>
        <w:fldChar w:fldCharType="begin"/>
      </w:r>
      <w:r w:rsidRPr="007470B5">
        <w:rPr>
          <w:b/>
          <w:color w:val="000000"/>
        </w:rPr>
        <w:instrText xml:space="preserve"> SEQ Tabla \* ARABIC </w:instrText>
      </w:r>
      <w:r w:rsidRPr="007470B5">
        <w:rPr>
          <w:b/>
          <w:color w:val="000000"/>
        </w:rPr>
        <w:fldChar w:fldCharType="separate"/>
      </w:r>
      <w:r w:rsidR="00795FC2">
        <w:rPr>
          <w:b/>
          <w:noProof/>
          <w:color w:val="000000"/>
        </w:rPr>
        <w:t>6</w:t>
      </w:r>
      <w:bookmarkEnd w:id="80"/>
      <w:r w:rsidRPr="007470B5">
        <w:rPr>
          <w:b/>
          <w:color w:val="000000"/>
        </w:rPr>
        <w:fldChar w:fldCharType="end"/>
      </w:r>
    </w:p>
    <w:p w14:paraId="41C4EFD3" w14:textId="77777777" w:rsidR="00D87210" w:rsidRPr="007470B5" w:rsidRDefault="00D87210" w:rsidP="00D81025">
      <w:pPr>
        <w:pStyle w:val="Ttulo5"/>
        <w:numPr>
          <w:ilvl w:val="0"/>
          <w:numId w:val="0"/>
        </w:numPr>
        <w:rPr>
          <w:b w:val="0"/>
          <w:i/>
        </w:rPr>
      </w:pPr>
      <w:r>
        <w:rPr>
          <w:b w:val="0"/>
          <w:i/>
        </w:rPr>
        <w:t>Diagrama SIPOC</w:t>
      </w:r>
    </w:p>
    <w:tbl>
      <w:tblPr>
        <w:tblStyle w:val="Tablaconcuadrcula"/>
        <w:tblW w:w="13887" w:type="dxa"/>
        <w:tblLook w:val="04A0" w:firstRow="1" w:lastRow="0" w:firstColumn="1" w:lastColumn="0" w:noHBand="0" w:noVBand="1"/>
      </w:tblPr>
      <w:tblGrid>
        <w:gridCol w:w="1870"/>
        <w:gridCol w:w="2236"/>
        <w:gridCol w:w="4394"/>
        <w:gridCol w:w="2835"/>
        <w:gridCol w:w="2552"/>
      </w:tblGrid>
      <w:tr w:rsidR="00D87210" w14:paraId="39381E72" w14:textId="77777777" w:rsidTr="002A5A75">
        <w:tc>
          <w:tcPr>
            <w:tcW w:w="1870" w:type="dxa"/>
          </w:tcPr>
          <w:p w14:paraId="3B3137A3" w14:textId="77777777" w:rsidR="00D87210" w:rsidRPr="007470B5" w:rsidRDefault="00D87210" w:rsidP="00D81025">
            <w:pPr>
              <w:ind w:firstLine="0"/>
              <w:rPr>
                <w:b/>
                <w:bCs/>
              </w:rPr>
            </w:pPr>
            <w:r w:rsidRPr="007470B5">
              <w:rPr>
                <w:b/>
                <w:bCs/>
              </w:rPr>
              <w:t>Proveedor (S)</w:t>
            </w:r>
          </w:p>
        </w:tc>
        <w:tc>
          <w:tcPr>
            <w:tcW w:w="2236" w:type="dxa"/>
          </w:tcPr>
          <w:p w14:paraId="6A3034B7" w14:textId="77777777" w:rsidR="00D87210" w:rsidRPr="007470B5" w:rsidRDefault="00D87210" w:rsidP="00D81025">
            <w:pPr>
              <w:ind w:firstLine="0"/>
              <w:rPr>
                <w:b/>
                <w:bCs/>
              </w:rPr>
            </w:pPr>
            <w:r w:rsidRPr="007470B5">
              <w:rPr>
                <w:b/>
                <w:bCs/>
              </w:rPr>
              <w:t>Entradas (I)</w:t>
            </w:r>
          </w:p>
        </w:tc>
        <w:tc>
          <w:tcPr>
            <w:tcW w:w="4394" w:type="dxa"/>
          </w:tcPr>
          <w:p w14:paraId="56633BC7" w14:textId="77777777" w:rsidR="00D87210" w:rsidRPr="007470B5" w:rsidRDefault="00D87210" w:rsidP="00D81025">
            <w:pPr>
              <w:ind w:firstLine="0"/>
              <w:rPr>
                <w:b/>
                <w:bCs/>
              </w:rPr>
            </w:pPr>
            <w:r w:rsidRPr="007470B5">
              <w:rPr>
                <w:b/>
                <w:bCs/>
              </w:rPr>
              <w:t>Proceso (P)</w:t>
            </w:r>
          </w:p>
        </w:tc>
        <w:tc>
          <w:tcPr>
            <w:tcW w:w="2835" w:type="dxa"/>
          </w:tcPr>
          <w:p w14:paraId="37F91F54" w14:textId="77777777" w:rsidR="00D87210" w:rsidRPr="007470B5" w:rsidRDefault="00D87210" w:rsidP="00D81025">
            <w:pPr>
              <w:ind w:firstLine="0"/>
              <w:rPr>
                <w:b/>
                <w:bCs/>
              </w:rPr>
            </w:pPr>
            <w:r w:rsidRPr="007470B5">
              <w:rPr>
                <w:b/>
                <w:bCs/>
              </w:rPr>
              <w:t>Salidas (O)</w:t>
            </w:r>
          </w:p>
        </w:tc>
        <w:tc>
          <w:tcPr>
            <w:tcW w:w="2552" w:type="dxa"/>
          </w:tcPr>
          <w:p w14:paraId="6B33B1C7" w14:textId="77777777" w:rsidR="00D87210" w:rsidRPr="007470B5" w:rsidRDefault="00D87210" w:rsidP="00D81025">
            <w:pPr>
              <w:ind w:firstLine="0"/>
              <w:rPr>
                <w:b/>
                <w:bCs/>
              </w:rPr>
            </w:pPr>
            <w:r w:rsidRPr="007470B5">
              <w:rPr>
                <w:b/>
                <w:bCs/>
              </w:rPr>
              <w:t>Cliente (C)</w:t>
            </w:r>
          </w:p>
        </w:tc>
      </w:tr>
      <w:tr w:rsidR="00D87210" w14:paraId="1BB61CE4" w14:textId="77777777" w:rsidTr="002A5A75">
        <w:tc>
          <w:tcPr>
            <w:tcW w:w="1870" w:type="dxa"/>
          </w:tcPr>
          <w:p w14:paraId="38F4DEB2" w14:textId="77777777" w:rsidR="00D87210" w:rsidRDefault="00D87210" w:rsidP="00D81025">
            <w:pPr>
              <w:ind w:firstLine="0"/>
            </w:pPr>
            <w:r>
              <w:t xml:space="preserve">1. </w:t>
            </w:r>
            <w:r w:rsidRPr="002B164D">
              <w:t>Cliente final</w:t>
            </w:r>
          </w:p>
          <w:p w14:paraId="25101FFE" w14:textId="77777777" w:rsidR="00D87210" w:rsidRDefault="00D87210" w:rsidP="00D81025">
            <w:pPr>
              <w:ind w:firstLine="0"/>
            </w:pPr>
            <w:r>
              <w:t xml:space="preserve">2. Equipo comercial </w:t>
            </w:r>
          </w:p>
          <w:p w14:paraId="76A81821" w14:textId="569F983D" w:rsidR="00D87210" w:rsidRDefault="00D87210" w:rsidP="00D81025">
            <w:pPr>
              <w:ind w:firstLine="0"/>
            </w:pPr>
            <w:r>
              <w:t xml:space="preserve">3. </w:t>
            </w:r>
            <w:r w:rsidR="000C3758">
              <w:t>p</w:t>
            </w:r>
            <w:r w:rsidR="000C3758" w:rsidRPr="008B17A9">
              <w:t xml:space="preserve">roject </w:t>
            </w:r>
            <w:r w:rsidR="000C3758">
              <w:t>m</w:t>
            </w:r>
            <w:r w:rsidR="000C3758" w:rsidRPr="008B17A9">
              <w:t>anager</w:t>
            </w:r>
            <w:r w:rsidR="000C3758">
              <w:t>s</w:t>
            </w:r>
            <w:r w:rsidR="000C3758" w:rsidRPr="008B17A9">
              <w:t xml:space="preserve"> </w:t>
            </w:r>
          </w:p>
          <w:p w14:paraId="29B2A76C" w14:textId="77777777" w:rsidR="00D87210" w:rsidRDefault="00D87210" w:rsidP="00D81025">
            <w:pPr>
              <w:ind w:firstLine="0"/>
            </w:pPr>
            <w:r>
              <w:t>4. Equipo de diseño (A&amp;D)</w:t>
            </w:r>
          </w:p>
          <w:p w14:paraId="45CD9068" w14:textId="77777777" w:rsidR="00D87210" w:rsidRDefault="00D87210" w:rsidP="00D81025">
            <w:pPr>
              <w:ind w:firstLine="0"/>
            </w:pPr>
            <w:r>
              <w:t xml:space="preserve">5. Equipo de obra </w:t>
            </w:r>
          </w:p>
        </w:tc>
        <w:tc>
          <w:tcPr>
            <w:tcW w:w="2236" w:type="dxa"/>
          </w:tcPr>
          <w:p w14:paraId="7A29CC21" w14:textId="77777777" w:rsidR="00D87210" w:rsidRDefault="00D87210" w:rsidP="00D81025">
            <w:pPr>
              <w:ind w:firstLine="0"/>
            </w:pPr>
            <w:r>
              <w:t xml:space="preserve">1. Requerimiento inicial y </w:t>
            </w:r>
            <w:r w:rsidRPr="00940725">
              <w:t>briefing</w:t>
            </w:r>
            <w:r>
              <w:t>.</w:t>
            </w:r>
          </w:p>
          <w:p w14:paraId="308912D6" w14:textId="77777777" w:rsidR="00D87210" w:rsidRDefault="00D87210" w:rsidP="00D81025">
            <w:pPr>
              <w:ind w:firstLine="0"/>
            </w:pPr>
            <w:r>
              <w:t xml:space="preserve">2. Presupuesto estimado </w:t>
            </w:r>
          </w:p>
          <w:p w14:paraId="15A47788" w14:textId="77777777" w:rsidR="00D87210" w:rsidRDefault="00D87210" w:rsidP="00D81025">
            <w:pPr>
              <w:ind w:firstLine="0"/>
            </w:pPr>
            <w:r>
              <w:t>3.  Alcance comercial.</w:t>
            </w:r>
          </w:p>
          <w:p w14:paraId="618A6370" w14:textId="77777777" w:rsidR="00D87210" w:rsidRDefault="00D87210" w:rsidP="00D81025">
            <w:pPr>
              <w:ind w:firstLine="0"/>
            </w:pPr>
            <w:r>
              <w:t xml:space="preserve">4.Cronograma de diseño y obra </w:t>
            </w:r>
          </w:p>
          <w:p w14:paraId="1515A106" w14:textId="77777777" w:rsidR="00D87210" w:rsidRDefault="00D87210" w:rsidP="00D81025">
            <w:pPr>
              <w:ind w:firstLine="0"/>
            </w:pPr>
            <w:r>
              <w:t>5.</w:t>
            </w:r>
            <w:r w:rsidRPr="00940725">
              <w:t xml:space="preserve"> Recursos disponibles</w:t>
            </w:r>
          </w:p>
          <w:p w14:paraId="79CF14C7" w14:textId="77777777" w:rsidR="00D87210" w:rsidRDefault="00D87210" w:rsidP="00D81025">
            <w:pPr>
              <w:ind w:firstLine="0"/>
            </w:pPr>
            <w:r>
              <w:t xml:space="preserve">6. Contrato Firmado </w:t>
            </w:r>
          </w:p>
          <w:p w14:paraId="185D1FF0" w14:textId="77777777" w:rsidR="00D87210" w:rsidRDefault="00D87210" w:rsidP="00D81025">
            <w:pPr>
              <w:ind w:firstLine="0"/>
            </w:pPr>
          </w:p>
        </w:tc>
        <w:tc>
          <w:tcPr>
            <w:tcW w:w="4394" w:type="dxa"/>
          </w:tcPr>
          <w:p w14:paraId="479F0797" w14:textId="77777777" w:rsidR="00D87210" w:rsidRDefault="00D87210" w:rsidP="00D81025">
            <w:pPr>
              <w:ind w:firstLine="0"/>
              <w:rPr>
                <w:szCs w:val="22"/>
              </w:rPr>
            </w:pPr>
            <w:r w:rsidRPr="00EF1C77">
              <w:rPr>
                <w:szCs w:val="22"/>
              </w:rPr>
              <w:t>1. Revisión de necesidades con el cliente</w:t>
            </w:r>
            <w:r>
              <w:rPr>
                <w:szCs w:val="22"/>
              </w:rPr>
              <w:t>.</w:t>
            </w:r>
          </w:p>
          <w:p w14:paraId="3AF2F7AF" w14:textId="43A05060" w:rsidR="00D87210" w:rsidRDefault="00D87210" w:rsidP="00D81025">
            <w:pPr>
              <w:ind w:firstLine="0"/>
              <w:rPr>
                <w:szCs w:val="22"/>
              </w:rPr>
            </w:pPr>
            <w:r>
              <w:rPr>
                <w:szCs w:val="22"/>
              </w:rPr>
              <w:t>2. K</w:t>
            </w:r>
            <w:r w:rsidRPr="00F83D3F">
              <w:rPr>
                <w:szCs w:val="22"/>
              </w:rPr>
              <w:t>ick-off</w:t>
            </w:r>
            <w:r>
              <w:rPr>
                <w:szCs w:val="22"/>
              </w:rPr>
              <w:t xml:space="preserve"> </w:t>
            </w:r>
            <w:r w:rsidRPr="00EF1C77">
              <w:rPr>
                <w:szCs w:val="22"/>
              </w:rPr>
              <w:t>equipos internos</w:t>
            </w:r>
            <w:r>
              <w:rPr>
                <w:szCs w:val="22"/>
              </w:rPr>
              <w:t xml:space="preserve">. </w:t>
            </w:r>
            <w:r w:rsidR="000C3758">
              <w:rPr>
                <w:szCs w:val="22"/>
              </w:rPr>
              <w:t>(</w:t>
            </w:r>
            <w:r w:rsidR="000C3758">
              <w:t>p</w:t>
            </w:r>
            <w:r w:rsidR="000C3758" w:rsidRPr="008B17A9">
              <w:t xml:space="preserve">roject </w:t>
            </w:r>
            <w:r w:rsidR="000C3758">
              <w:t>m</w:t>
            </w:r>
            <w:r w:rsidR="000C3758" w:rsidRPr="008B17A9">
              <w:t xml:space="preserve">anager </w:t>
            </w:r>
            <w:r>
              <w:rPr>
                <w:szCs w:val="22"/>
              </w:rPr>
              <w:t>, jefe de Diseño y Arquitecto)</w:t>
            </w:r>
            <w:r w:rsidRPr="00EF1C77">
              <w:rPr>
                <w:szCs w:val="22"/>
              </w:rPr>
              <w:br/>
            </w:r>
            <w:r>
              <w:rPr>
                <w:szCs w:val="22"/>
              </w:rPr>
              <w:t>3</w:t>
            </w:r>
            <w:r w:rsidRPr="00EF1C77">
              <w:rPr>
                <w:szCs w:val="22"/>
              </w:rPr>
              <w:t xml:space="preserve">. Levantamiento </w:t>
            </w:r>
            <w:r>
              <w:rPr>
                <w:szCs w:val="22"/>
              </w:rPr>
              <w:t xml:space="preserve">arquitectónico en sitio. </w:t>
            </w:r>
            <w:r w:rsidRPr="00EF1C77">
              <w:rPr>
                <w:szCs w:val="22"/>
              </w:rPr>
              <w:br/>
            </w:r>
            <w:r>
              <w:rPr>
                <w:szCs w:val="22"/>
              </w:rPr>
              <w:t>4</w:t>
            </w:r>
            <w:r w:rsidRPr="00EF1C77">
              <w:rPr>
                <w:szCs w:val="22"/>
              </w:rPr>
              <w:t>. Desarrollo de propuesta de planificación inicial</w:t>
            </w:r>
            <w:r>
              <w:rPr>
                <w:szCs w:val="22"/>
              </w:rPr>
              <w:t>.</w:t>
            </w:r>
            <w:r w:rsidRPr="00EF1C77">
              <w:rPr>
                <w:szCs w:val="22"/>
              </w:rPr>
              <w:br/>
            </w:r>
            <w:r>
              <w:rPr>
                <w:szCs w:val="22"/>
              </w:rPr>
              <w:t>5</w:t>
            </w:r>
            <w:r w:rsidRPr="00EF1C77">
              <w:rPr>
                <w:szCs w:val="22"/>
              </w:rPr>
              <w:t>. Elaboración de diseño conceptual</w:t>
            </w:r>
            <w:r>
              <w:rPr>
                <w:szCs w:val="22"/>
              </w:rPr>
              <w:t>.</w:t>
            </w:r>
          </w:p>
          <w:p w14:paraId="1614C786" w14:textId="77777777" w:rsidR="00D87210" w:rsidRDefault="00D87210" w:rsidP="00D81025">
            <w:pPr>
              <w:ind w:firstLine="0"/>
              <w:rPr>
                <w:szCs w:val="22"/>
              </w:rPr>
            </w:pPr>
            <w:r>
              <w:rPr>
                <w:szCs w:val="22"/>
              </w:rPr>
              <w:t>6. Elaboración de un diseño ejecutivo</w:t>
            </w:r>
            <w:r w:rsidRPr="00EF1C77">
              <w:rPr>
                <w:szCs w:val="22"/>
              </w:rPr>
              <w:br/>
            </w:r>
            <w:r>
              <w:rPr>
                <w:szCs w:val="22"/>
              </w:rPr>
              <w:t>7</w:t>
            </w:r>
            <w:r w:rsidRPr="00EF1C77">
              <w:rPr>
                <w:szCs w:val="22"/>
              </w:rPr>
              <w:t>. Revisión técnica y ajustes</w:t>
            </w:r>
            <w:r>
              <w:rPr>
                <w:szCs w:val="22"/>
              </w:rPr>
              <w:t xml:space="preserve"> con los especialistas de cada área. </w:t>
            </w:r>
          </w:p>
          <w:p w14:paraId="36371614" w14:textId="214E8C64" w:rsidR="00D87210" w:rsidRDefault="00D87210" w:rsidP="00D81025">
            <w:pPr>
              <w:ind w:firstLine="0"/>
              <w:rPr>
                <w:szCs w:val="22"/>
              </w:rPr>
            </w:pPr>
            <w:r>
              <w:rPr>
                <w:szCs w:val="22"/>
              </w:rPr>
              <w:t>8. K</w:t>
            </w:r>
            <w:r w:rsidRPr="00F83D3F">
              <w:rPr>
                <w:szCs w:val="22"/>
              </w:rPr>
              <w:t>ick-off</w:t>
            </w:r>
            <w:r>
              <w:rPr>
                <w:szCs w:val="22"/>
              </w:rPr>
              <w:t xml:space="preserve"> </w:t>
            </w:r>
            <w:r w:rsidRPr="00EF1C77">
              <w:rPr>
                <w:szCs w:val="22"/>
              </w:rPr>
              <w:t>equipos internos</w:t>
            </w:r>
            <w:r>
              <w:rPr>
                <w:szCs w:val="22"/>
              </w:rPr>
              <w:t>. (</w:t>
            </w:r>
            <w:r w:rsidR="000C3758">
              <w:t>p</w:t>
            </w:r>
            <w:r w:rsidR="000C3758" w:rsidRPr="008B17A9">
              <w:t xml:space="preserve">roject </w:t>
            </w:r>
            <w:r w:rsidR="000C3758">
              <w:t>m</w:t>
            </w:r>
            <w:r w:rsidR="000C3758" w:rsidRPr="008B17A9">
              <w:t xml:space="preserve">anager </w:t>
            </w:r>
            <w:r>
              <w:rPr>
                <w:szCs w:val="22"/>
              </w:rPr>
              <w:t xml:space="preserve">, Arquitecto y </w:t>
            </w:r>
            <w:r w:rsidRPr="00F83D3F">
              <w:rPr>
                <w:szCs w:val="22"/>
              </w:rPr>
              <w:t>presupuestista</w:t>
            </w:r>
            <w:r>
              <w:rPr>
                <w:szCs w:val="22"/>
              </w:rPr>
              <w:t>)</w:t>
            </w:r>
            <w:r w:rsidRPr="00EF1C77">
              <w:rPr>
                <w:szCs w:val="22"/>
              </w:rPr>
              <w:br/>
            </w:r>
            <w:r>
              <w:rPr>
                <w:szCs w:val="22"/>
              </w:rPr>
              <w:t>9</w:t>
            </w:r>
            <w:r w:rsidRPr="00EF1C77">
              <w:rPr>
                <w:szCs w:val="22"/>
              </w:rPr>
              <w:t xml:space="preserve">. </w:t>
            </w:r>
            <w:r>
              <w:rPr>
                <w:szCs w:val="22"/>
              </w:rPr>
              <w:t>Elaboración de un p</w:t>
            </w:r>
            <w:r w:rsidRPr="00EF1C77">
              <w:rPr>
                <w:szCs w:val="22"/>
              </w:rPr>
              <w:t>resupuesto</w:t>
            </w:r>
            <w:r>
              <w:rPr>
                <w:szCs w:val="22"/>
              </w:rPr>
              <w:t>.</w:t>
            </w:r>
            <w:r w:rsidRPr="00EF1C77">
              <w:rPr>
                <w:szCs w:val="22"/>
              </w:rPr>
              <w:br/>
            </w:r>
            <w:r>
              <w:rPr>
                <w:szCs w:val="22"/>
              </w:rPr>
              <w:t>10</w:t>
            </w:r>
            <w:r w:rsidRPr="00EF1C77">
              <w:rPr>
                <w:szCs w:val="22"/>
              </w:rPr>
              <w:t>. Validación con cliente</w:t>
            </w:r>
            <w:r w:rsidRPr="00EF1C77">
              <w:rPr>
                <w:szCs w:val="22"/>
              </w:rPr>
              <w:br/>
            </w:r>
            <w:r>
              <w:rPr>
                <w:szCs w:val="22"/>
              </w:rPr>
              <w:lastRenderedPageBreak/>
              <w:t>11</w:t>
            </w:r>
            <w:r w:rsidRPr="00EF1C77">
              <w:rPr>
                <w:szCs w:val="22"/>
              </w:rPr>
              <w:t>.</w:t>
            </w:r>
            <w:r>
              <w:rPr>
                <w:szCs w:val="22"/>
              </w:rPr>
              <w:t xml:space="preserve"> K</w:t>
            </w:r>
            <w:r w:rsidRPr="00F83D3F">
              <w:rPr>
                <w:szCs w:val="22"/>
              </w:rPr>
              <w:t>ick-off</w:t>
            </w:r>
            <w:r>
              <w:rPr>
                <w:szCs w:val="22"/>
              </w:rPr>
              <w:t xml:space="preserve"> </w:t>
            </w:r>
            <w:r w:rsidRPr="00EF1C77">
              <w:rPr>
                <w:szCs w:val="22"/>
              </w:rPr>
              <w:t>equipos internos</w:t>
            </w:r>
            <w:r>
              <w:rPr>
                <w:szCs w:val="22"/>
              </w:rPr>
              <w:t>. (</w:t>
            </w:r>
            <w:r w:rsidR="000C3758">
              <w:t>p</w:t>
            </w:r>
            <w:r w:rsidR="000C3758" w:rsidRPr="008B17A9">
              <w:t xml:space="preserve">roject </w:t>
            </w:r>
            <w:r w:rsidR="000C3758">
              <w:t>m</w:t>
            </w:r>
            <w:r w:rsidR="000C3758" w:rsidRPr="008B17A9">
              <w:t xml:space="preserve">anager </w:t>
            </w:r>
            <w:r>
              <w:rPr>
                <w:szCs w:val="22"/>
              </w:rPr>
              <w:t>, Arquitecto, director de obra y jefe de construcción)</w:t>
            </w:r>
          </w:p>
          <w:p w14:paraId="41C51222" w14:textId="77777777" w:rsidR="005A073C" w:rsidRDefault="00D87210" w:rsidP="005A073C">
            <w:pPr>
              <w:ind w:firstLine="0"/>
              <w:rPr>
                <w:lang w:val="es-CR"/>
              </w:rPr>
            </w:pPr>
            <w:r>
              <w:rPr>
                <w:szCs w:val="22"/>
              </w:rPr>
              <w:t>12</w:t>
            </w:r>
            <w:r w:rsidRPr="007470B5">
              <w:rPr>
                <w:szCs w:val="22"/>
              </w:rPr>
              <w:t xml:space="preserve">. </w:t>
            </w:r>
            <w:r w:rsidRPr="007470B5">
              <w:rPr>
                <w:lang w:val="es-CR"/>
              </w:rPr>
              <w:t xml:space="preserve">Fase previa a obra </w:t>
            </w:r>
          </w:p>
          <w:p w14:paraId="6DED9C29" w14:textId="77777777" w:rsidR="005A073C" w:rsidRDefault="005A073C" w:rsidP="005A073C">
            <w:pPr>
              <w:ind w:firstLine="0"/>
              <w:rPr>
                <w:lang w:val="es-CR"/>
              </w:rPr>
            </w:pPr>
            <w:r>
              <w:rPr>
                <w:lang w:val="es-CR"/>
              </w:rPr>
              <w:t xml:space="preserve">13. </w:t>
            </w:r>
            <w:r w:rsidR="00D87210" w:rsidRPr="005A073C">
              <w:rPr>
                <w:lang w:val="es-CR"/>
              </w:rPr>
              <w:t xml:space="preserve">Fase durante a obra </w:t>
            </w:r>
          </w:p>
          <w:p w14:paraId="16D0134B" w14:textId="3C46E1BA" w:rsidR="00D87210" w:rsidRPr="005A073C" w:rsidRDefault="005A073C" w:rsidP="005A073C">
            <w:pPr>
              <w:ind w:firstLine="0"/>
              <w:rPr>
                <w:lang w:val="es-CR"/>
              </w:rPr>
            </w:pPr>
            <w:r>
              <w:rPr>
                <w:lang w:val="es-CR"/>
              </w:rPr>
              <w:t xml:space="preserve">14. </w:t>
            </w:r>
            <w:r w:rsidR="00D87210" w:rsidRPr="005A073C">
              <w:rPr>
                <w:lang w:val="es-CR"/>
              </w:rPr>
              <w:t xml:space="preserve">Fase de entrega y cierre </w:t>
            </w:r>
          </w:p>
          <w:p w14:paraId="4780D9D2" w14:textId="77777777" w:rsidR="00D87210" w:rsidRPr="00EF1C77" w:rsidRDefault="00D87210" w:rsidP="00D81025">
            <w:pPr>
              <w:ind w:firstLine="0"/>
              <w:rPr>
                <w:szCs w:val="22"/>
              </w:rPr>
            </w:pPr>
            <w:r>
              <w:rPr>
                <w:szCs w:val="22"/>
              </w:rPr>
              <w:t>15</w:t>
            </w:r>
            <w:r w:rsidRPr="00EF1C77">
              <w:rPr>
                <w:szCs w:val="22"/>
              </w:rPr>
              <w:t>. Supervisión y control de obra</w:t>
            </w:r>
            <w:r w:rsidRPr="00EF1C77">
              <w:rPr>
                <w:szCs w:val="22"/>
              </w:rPr>
              <w:br/>
              <w:t>1</w:t>
            </w:r>
            <w:r>
              <w:rPr>
                <w:szCs w:val="22"/>
              </w:rPr>
              <w:t>6</w:t>
            </w:r>
            <w:r w:rsidRPr="00EF1C77">
              <w:rPr>
                <w:szCs w:val="22"/>
              </w:rPr>
              <w:t>. Entrega final y cierre del proyecto</w:t>
            </w:r>
          </w:p>
        </w:tc>
        <w:tc>
          <w:tcPr>
            <w:tcW w:w="2835" w:type="dxa"/>
          </w:tcPr>
          <w:p w14:paraId="35312242" w14:textId="77777777" w:rsidR="00D87210" w:rsidRDefault="00D87210" w:rsidP="00D81025">
            <w:pPr>
              <w:ind w:firstLine="0"/>
            </w:pPr>
            <w:r>
              <w:lastRenderedPageBreak/>
              <w:t>1. Propuesta de honorarios de diseño</w:t>
            </w:r>
          </w:p>
          <w:p w14:paraId="38FC1711" w14:textId="77777777" w:rsidR="00D87210" w:rsidRDefault="00D87210" w:rsidP="00D81025">
            <w:pPr>
              <w:ind w:firstLine="0"/>
            </w:pPr>
            <w:r>
              <w:t xml:space="preserve">2. Planos Conceptuales y Ejecutivos. </w:t>
            </w:r>
          </w:p>
          <w:p w14:paraId="3A0DBFE4" w14:textId="77777777" w:rsidR="00D87210" w:rsidRDefault="00D87210" w:rsidP="00D81025">
            <w:pPr>
              <w:ind w:firstLine="0"/>
            </w:pPr>
            <w:r>
              <w:t>3.Cronograma y presupuesto de obra aprobados.</w:t>
            </w:r>
          </w:p>
          <w:p w14:paraId="3C876A11" w14:textId="77777777" w:rsidR="00D87210" w:rsidRDefault="00D87210" w:rsidP="00D81025">
            <w:pPr>
              <w:ind w:firstLine="0"/>
            </w:pPr>
            <w:r>
              <w:t>4. Avances de obra</w:t>
            </w:r>
          </w:p>
          <w:p w14:paraId="31FCD8A8" w14:textId="77777777" w:rsidR="00D87210" w:rsidRDefault="00D87210" w:rsidP="00D81025">
            <w:pPr>
              <w:ind w:firstLine="0"/>
            </w:pPr>
            <w:r>
              <w:t xml:space="preserve">5. Obra construida y entregada </w:t>
            </w:r>
          </w:p>
        </w:tc>
        <w:tc>
          <w:tcPr>
            <w:tcW w:w="2552" w:type="dxa"/>
          </w:tcPr>
          <w:p w14:paraId="4C106DA3" w14:textId="77777777" w:rsidR="00D87210" w:rsidRDefault="00D87210" w:rsidP="00D81025">
            <w:pPr>
              <w:ind w:firstLine="0"/>
            </w:pPr>
            <w:r>
              <w:t>1. Cliente</w:t>
            </w:r>
          </w:p>
          <w:p w14:paraId="2D4AE06E" w14:textId="77777777" w:rsidR="00D87210" w:rsidRDefault="00D87210" w:rsidP="00D81025">
            <w:pPr>
              <w:ind w:firstLine="0"/>
            </w:pPr>
            <w:r>
              <w:t>2. Dirección de Obra y construcción</w:t>
            </w:r>
          </w:p>
          <w:p w14:paraId="2C90AA1D" w14:textId="77777777" w:rsidR="00D87210" w:rsidRDefault="00D87210" w:rsidP="00D81025">
            <w:pPr>
              <w:ind w:firstLine="0"/>
            </w:pPr>
            <w:r>
              <w:t xml:space="preserve">3. Usurarios internos y proveedores </w:t>
            </w:r>
          </w:p>
          <w:p w14:paraId="44DADF52" w14:textId="77777777" w:rsidR="00D87210" w:rsidRDefault="00D87210" w:rsidP="00D81025">
            <w:pPr>
              <w:ind w:firstLine="0"/>
            </w:pPr>
          </w:p>
        </w:tc>
      </w:tr>
    </w:tbl>
    <w:p w14:paraId="347F10F9" w14:textId="3B22219F" w:rsidR="00D87210" w:rsidRDefault="008D68E9" w:rsidP="00D81025">
      <w:pPr>
        <w:ind w:firstLine="0"/>
      </w:pPr>
      <w:r w:rsidRPr="008D68E9">
        <w:rPr>
          <w:i/>
        </w:rPr>
        <w:t xml:space="preserve">Nota: </w:t>
      </w:r>
      <w:r w:rsidRPr="008D68E9">
        <w:rPr>
          <w:i/>
          <w:iCs/>
        </w:rPr>
        <w:t>Fuente: Elaboración propia.</w:t>
      </w:r>
      <w:r w:rsidRPr="008D68E9">
        <w:rPr>
          <w:i/>
        </w:rPr>
        <w:br/>
      </w:r>
      <w:r w:rsidRPr="008D68E9">
        <w:rPr>
          <w:iCs/>
        </w:rPr>
        <w:t>La Tabla 6 muestra el diagrama SIPOC que presenta de forma estructurada los elementos clave del proceso Design &amp; Build en Contract Workplaces, desde la recepción de requerimientos hasta la entrega de la obra terminada.</w:t>
      </w:r>
    </w:p>
    <w:p w14:paraId="568B5AAA" w14:textId="77777777" w:rsidR="008D68E9" w:rsidRDefault="008D68E9" w:rsidP="00D81025">
      <w:pPr>
        <w:ind w:firstLine="0"/>
      </w:pPr>
    </w:p>
    <w:p w14:paraId="02464374" w14:textId="5D6C910C" w:rsidR="00F87B9A" w:rsidRPr="00F87B9A" w:rsidRDefault="00F87B9A" w:rsidP="00F87B9A">
      <w:pPr>
        <w:pStyle w:val="Figura1"/>
        <w:rPr>
          <w:lang w:val="es-CR"/>
        </w:rPr>
      </w:pPr>
      <w:r w:rsidRPr="00F87B9A">
        <w:rPr>
          <w:lang w:val="es-CR"/>
        </w:rPr>
        <w:t xml:space="preserve">Este mapa permite visualizar claramente las interrelaciones entre proveedores, entradas, procesos, salidas y clientes, evidenciando la necesidad de integrar y sincronizar mejor las actividades de diseño, </w:t>
      </w:r>
      <w:r w:rsidR="000C3758">
        <w:t>p</w:t>
      </w:r>
      <w:r w:rsidR="000C3758" w:rsidRPr="008B17A9">
        <w:t xml:space="preserve">roject </w:t>
      </w:r>
      <w:r w:rsidR="000C3758">
        <w:t>m</w:t>
      </w:r>
      <w:r w:rsidR="000C3758" w:rsidRPr="008B17A9">
        <w:t>anager</w:t>
      </w:r>
      <w:r w:rsidRPr="00F87B9A">
        <w:rPr>
          <w:lang w:val="es-CR"/>
        </w:rPr>
        <w:t xml:space="preserve"> y construcción</w:t>
      </w:r>
    </w:p>
    <w:p w14:paraId="188DED99" w14:textId="77777777" w:rsidR="00D87210" w:rsidRDefault="00D87210" w:rsidP="00D81025">
      <w:pPr>
        <w:pStyle w:val="Ttulo1"/>
        <w:numPr>
          <w:ilvl w:val="0"/>
          <w:numId w:val="0"/>
        </w:numPr>
        <w:ind w:left="780"/>
      </w:pPr>
    </w:p>
    <w:p w14:paraId="344ED0E1" w14:textId="77777777" w:rsidR="00035C10" w:rsidRDefault="00035C10" w:rsidP="00D81025">
      <w:pPr>
        <w:pStyle w:val="Ttulo1"/>
        <w:numPr>
          <w:ilvl w:val="2"/>
          <w:numId w:val="24"/>
        </w:numPr>
        <w:sectPr w:rsidR="00035C10" w:rsidSect="00EF1C77">
          <w:headerReference w:type="default" r:id="rId19"/>
          <w:footerReference w:type="even" r:id="rId20"/>
          <w:footerReference w:type="default" r:id="rId21"/>
          <w:pgSz w:w="15842" w:h="12242" w:orient="landscape"/>
          <w:pgMar w:top="1440" w:right="1440" w:bottom="1440" w:left="1440" w:header="709" w:footer="709" w:gutter="0"/>
          <w:cols w:space="720"/>
        </w:sectPr>
      </w:pPr>
    </w:p>
    <w:p w14:paraId="6CB6FA6B" w14:textId="00F1D9E3" w:rsidR="00D87210" w:rsidRDefault="0046720B" w:rsidP="00237B6D">
      <w:pPr>
        <w:pStyle w:val="Ttulo3"/>
      </w:pPr>
      <w:bookmarkStart w:id="81" w:name="_Toc212406374"/>
      <w:r>
        <w:lastRenderedPageBreak/>
        <w:t xml:space="preserve">4.1.3 </w:t>
      </w:r>
      <w:r w:rsidR="00D87210">
        <w:t>Identificación de debilidades o fallas de integración</w:t>
      </w:r>
      <w:bookmarkEnd w:id="81"/>
    </w:p>
    <w:p w14:paraId="75735045" w14:textId="7788222C" w:rsidR="00D87210" w:rsidRDefault="00D87210" w:rsidP="00E364CE">
      <w:pPr>
        <w:pStyle w:val="APA"/>
      </w:pPr>
      <w:r w:rsidRPr="00ED5757">
        <w:t>Dando continuidad al análisis realizado en el apartado anterior,</w:t>
      </w:r>
      <w:r w:rsidR="00F87B9A">
        <w:t xml:space="preserve"> se</w:t>
      </w:r>
      <w:r w:rsidRPr="00ED5757">
        <w:t xml:space="preserve"> identifica fuentes de ineficiencia y oportunidades de mejora, se consolidaron los principales hallazgos en un análisis FODA. Esta herramienta permitió sintetizar de forma clara las </w:t>
      </w:r>
      <w:r w:rsidRPr="00D87210">
        <w:t>fortalezas, oportunidades, debilidades y amenazas</w:t>
      </w:r>
      <w:r w:rsidRPr="00ED5757">
        <w:t xml:space="preserve"> del proceso actual de planificación, diseño y ejecución bajo el modelo Design &amp; Build en Contract Workplaces.</w:t>
      </w:r>
    </w:p>
    <w:p w14:paraId="63DB5369" w14:textId="77777777" w:rsidR="00D87210" w:rsidRPr="007470B5" w:rsidRDefault="00D87210" w:rsidP="00F87B9A">
      <w:pPr>
        <w:ind w:firstLine="0"/>
        <w:rPr>
          <w:lang w:val="es-CR"/>
        </w:rPr>
      </w:pPr>
    </w:p>
    <w:p w14:paraId="701BD628" w14:textId="71EF92DD" w:rsidR="00D87210" w:rsidRDefault="00D87210" w:rsidP="00D81025">
      <w:pPr>
        <w:pBdr>
          <w:top w:val="nil"/>
          <w:left w:val="nil"/>
          <w:bottom w:val="nil"/>
          <w:right w:val="nil"/>
          <w:between w:val="nil"/>
        </w:pBdr>
        <w:spacing w:after="200"/>
        <w:ind w:firstLine="0"/>
        <w:rPr>
          <w:b/>
          <w:color w:val="000000"/>
        </w:rPr>
      </w:pPr>
      <w:bookmarkStart w:id="82" w:name="_Toc210425794"/>
      <w:r w:rsidRPr="006D386C">
        <w:rPr>
          <w:b/>
          <w:color w:val="000000"/>
        </w:rPr>
        <w:t xml:space="preserve">Tabla </w:t>
      </w:r>
      <w:r w:rsidRPr="006D386C">
        <w:rPr>
          <w:b/>
          <w:color w:val="000000"/>
        </w:rPr>
        <w:fldChar w:fldCharType="begin"/>
      </w:r>
      <w:r w:rsidRPr="006D386C">
        <w:rPr>
          <w:b/>
          <w:color w:val="000000"/>
        </w:rPr>
        <w:instrText xml:space="preserve"> SEQ Tabla \* ARABIC </w:instrText>
      </w:r>
      <w:r w:rsidRPr="006D386C">
        <w:rPr>
          <w:b/>
          <w:color w:val="000000"/>
        </w:rPr>
        <w:fldChar w:fldCharType="separate"/>
      </w:r>
      <w:r w:rsidR="00795FC2">
        <w:rPr>
          <w:b/>
          <w:noProof/>
          <w:color w:val="000000"/>
        </w:rPr>
        <w:t>7</w:t>
      </w:r>
      <w:bookmarkEnd w:id="82"/>
      <w:r w:rsidRPr="006D386C">
        <w:rPr>
          <w:b/>
          <w:color w:val="000000"/>
        </w:rPr>
        <w:fldChar w:fldCharType="end"/>
      </w:r>
    </w:p>
    <w:p w14:paraId="76F3B5C3" w14:textId="77777777" w:rsidR="00D87210" w:rsidRPr="006D386C" w:rsidRDefault="00D87210" w:rsidP="00D81025">
      <w:pPr>
        <w:pBdr>
          <w:top w:val="nil"/>
          <w:left w:val="nil"/>
          <w:bottom w:val="nil"/>
          <w:right w:val="nil"/>
          <w:between w:val="nil"/>
        </w:pBdr>
        <w:spacing w:after="200"/>
        <w:ind w:firstLine="0"/>
        <w:rPr>
          <w:bCs/>
          <w:i/>
          <w:iCs/>
          <w:color w:val="000000"/>
        </w:rPr>
      </w:pPr>
      <w:r w:rsidRPr="006D386C">
        <w:rPr>
          <w:bCs/>
          <w:i/>
          <w:iCs/>
          <w:color w:val="000000"/>
        </w:rPr>
        <w:t>Análisis FODA del proceso Design &amp; Build en Contract Workplaces</w:t>
      </w:r>
    </w:p>
    <w:tbl>
      <w:tblPr>
        <w:tblStyle w:val="Tablaconcuadrcula"/>
        <w:tblW w:w="0" w:type="auto"/>
        <w:jc w:val="center"/>
        <w:tblLook w:val="04A0" w:firstRow="1" w:lastRow="0" w:firstColumn="1" w:lastColumn="0" w:noHBand="0" w:noVBand="1"/>
      </w:tblPr>
      <w:tblGrid>
        <w:gridCol w:w="2238"/>
        <w:gridCol w:w="6848"/>
      </w:tblGrid>
      <w:tr w:rsidR="00D87210" w14:paraId="4DAE556F" w14:textId="77777777" w:rsidTr="00C401FF">
        <w:trPr>
          <w:jc w:val="center"/>
        </w:trPr>
        <w:tc>
          <w:tcPr>
            <w:tcW w:w="2238" w:type="dxa"/>
          </w:tcPr>
          <w:p w14:paraId="7E90F624" w14:textId="77777777" w:rsidR="00D87210" w:rsidRPr="006D386C" w:rsidRDefault="00D87210" w:rsidP="00D81025">
            <w:pPr>
              <w:ind w:firstLine="0"/>
              <w:jc w:val="center"/>
              <w:rPr>
                <w:b/>
                <w:bCs/>
                <w:sz w:val="20"/>
                <w:szCs w:val="20"/>
              </w:rPr>
            </w:pPr>
            <w:r w:rsidRPr="006D386C">
              <w:rPr>
                <w:b/>
                <w:bCs/>
                <w:sz w:val="20"/>
                <w:szCs w:val="20"/>
              </w:rPr>
              <w:t>Fortalezas</w:t>
            </w:r>
          </w:p>
        </w:tc>
        <w:tc>
          <w:tcPr>
            <w:tcW w:w="6848" w:type="dxa"/>
            <w:shd w:val="clear" w:color="auto" w:fill="F2F2F2" w:themeFill="background1" w:themeFillShade="F2"/>
          </w:tcPr>
          <w:p w14:paraId="1A3FD078" w14:textId="77777777" w:rsidR="00D87210" w:rsidRPr="006D386C" w:rsidRDefault="00D87210" w:rsidP="00D81025">
            <w:pPr>
              <w:pStyle w:val="Prrafodelista"/>
              <w:numPr>
                <w:ilvl w:val="0"/>
                <w:numId w:val="35"/>
              </w:numPr>
              <w:contextualSpacing/>
              <w:jc w:val="both"/>
              <w:rPr>
                <w:szCs w:val="22"/>
              </w:rPr>
            </w:pPr>
            <w:r w:rsidRPr="006D386C">
              <w:rPr>
                <w:szCs w:val="22"/>
              </w:rPr>
              <w:t xml:space="preserve">Proceso bien definido por fases de Diseño: </w:t>
            </w:r>
            <w:r w:rsidRPr="006D386C">
              <w:rPr>
                <w:szCs w:val="22"/>
                <w:lang w:val="es-CR"/>
              </w:rPr>
              <w:t>Test Fit, Layout, Proyecto Conceptual, Proyecto de Arquitectura, Proyecto Ejecutivo, Documentación de Trámites Y Conforme a Obra.</w:t>
            </w:r>
          </w:p>
          <w:p w14:paraId="1D2D5C25" w14:textId="77777777" w:rsidR="00D87210" w:rsidRPr="006D386C" w:rsidRDefault="00D87210" w:rsidP="00D81025">
            <w:pPr>
              <w:pStyle w:val="Prrafodelista"/>
              <w:numPr>
                <w:ilvl w:val="0"/>
                <w:numId w:val="35"/>
              </w:numPr>
              <w:contextualSpacing/>
              <w:jc w:val="both"/>
              <w:rPr>
                <w:szCs w:val="22"/>
              </w:rPr>
            </w:pPr>
            <w:r w:rsidRPr="006D386C">
              <w:rPr>
                <w:szCs w:val="22"/>
              </w:rPr>
              <w:t>Existencia de entregables estandarizados con checklists de calidad.</w:t>
            </w:r>
          </w:p>
          <w:p w14:paraId="7034B508" w14:textId="12ED37B6" w:rsidR="00D87210" w:rsidRPr="006D386C" w:rsidRDefault="00D87210" w:rsidP="00D81025">
            <w:pPr>
              <w:pStyle w:val="Prrafodelista"/>
              <w:numPr>
                <w:ilvl w:val="0"/>
                <w:numId w:val="35"/>
              </w:numPr>
              <w:contextualSpacing/>
              <w:jc w:val="both"/>
              <w:rPr>
                <w:szCs w:val="22"/>
              </w:rPr>
            </w:pPr>
            <w:r w:rsidRPr="006D386C">
              <w:rPr>
                <w:szCs w:val="22"/>
              </w:rPr>
              <w:t>Equipos especializados y roles definidos (</w:t>
            </w:r>
            <w:r w:rsidR="000C3758">
              <w:rPr>
                <w:szCs w:val="22"/>
              </w:rPr>
              <w:t>a</w:t>
            </w:r>
            <w:r w:rsidRPr="006D386C">
              <w:rPr>
                <w:szCs w:val="22"/>
              </w:rPr>
              <w:t>&amp;</w:t>
            </w:r>
            <w:r w:rsidR="000C3758">
              <w:rPr>
                <w:szCs w:val="22"/>
              </w:rPr>
              <w:t>d</w:t>
            </w:r>
            <w:r w:rsidRPr="006D386C">
              <w:rPr>
                <w:szCs w:val="22"/>
              </w:rPr>
              <w:t xml:space="preserve">, </w:t>
            </w:r>
            <w:r w:rsidR="000C3758">
              <w:t>p</w:t>
            </w:r>
            <w:r w:rsidR="000C3758" w:rsidRPr="008B17A9">
              <w:t xml:space="preserve">roject </w:t>
            </w:r>
            <w:r w:rsidR="000C3758">
              <w:t>m</w:t>
            </w:r>
            <w:r w:rsidR="000C3758" w:rsidRPr="008B17A9">
              <w:t xml:space="preserve">anager </w:t>
            </w:r>
            <w:r w:rsidRPr="006D386C">
              <w:rPr>
                <w:szCs w:val="22"/>
              </w:rPr>
              <w:t xml:space="preserve">, </w:t>
            </w:r>
            <w:r w:rsidR="000C3758">
              <w:rPr>
                <w:szCs w:val="22"/>
              </w:rPr>
              <w:t>o</w:t>
            </w:r>
            <w:r w:rsidRPr="006D386C">
              <w:rPr>
                <w:szCs w:val="22"/>
              </w:rPr>
              <w:t>bras)</w:t>
            </w:r>
          </w:p>
          <w:p w14:paraId="3111D996" w14:textId="77777777" w:rsidR="00D87210" w:rsidRPr="006D386C" w:rsidRDefault="00D87210" w:rsidP="00D81025">
            <w:pPr>
              <w:pStyle w:val="Prrafodelista"/>
              <w:numPr>
                <w:ilvl w:val="0"/>
                <w:numId w:val="35"/>
              </w:numPr>
              <w:contextualSpacing/>
              <w:jc w:val="both"/>
              <w:rPr>
                <w:szCs w:val="22"/>
              </w:rPr>
            </w:pPr>
            <w:r w:rsidRPr="006D386C">
              <w:rPr>
                <w:szCs w:val="22"/>
              </w:rPr>
              <w:t>Los documentos técnicos se revisan y ajustan en varias fases.</w:t>
            </w:r>
          </w:p>
          <w:p w14:paraId="14D515B4" w14:textId="77777777" w:rsidR="00D87210" w:rsidRPr="006D386C" w:rsidRDefault="00D87210" w:rsidP="00D81025">
            <w:pPr>
              <w:pStyle w:val="Prrafodelista"/>
              <w:numPr>
                <w:ilvl w:val="0"/>
                <w:numId w:val="35"/>
              </w:numPr>
              <w:contextualSpacing/>
              <w:jc w:val="both"/>
              <w:rPr>
                <w:szCs w:val="22"/>
              </w:rPr>
            </w:pPr>
            <w:r w:rsidRPr="006D386C">
              <w:rPr>
                <w:szCs w:val="22"/>
              </w:rPr>
              <w:t>Hay cultura de revisión interna y presentaciones al cliente.</w:t>
            </w:r>
          </w:p>
        </w:tc>
      </w:tr>
      <w:tr w:rsidR="00D87210" w14:paraId="3AE93C6B" w14:textId="77777777" w:rsidTr="00C401FF">
        <w:trPr>
          <w:jc w:val="center"/>
        </w:trPr>
        <w:tc>
          <w:tcPr>
            <w:tcW w:w="2238" w:type="dxa"/>
          </w:tcPr>
          <w:p w14:paraId="34106242" w14:textId="77777777" w:rsidR="00D87210" w:rsidRPr="006D386C" w:rsidRDefault="00D87210" w:rsidP="00D81025">
            <w:pPr>
              <w:ind w:firstLine="0"/>
              <w:jc w:val="center"/>
              <w:rPr>
                <w:b/>
                <w:bCs/>
                <w:sz w:val="20"/>
                <w:szCs w:val="20"/>
              </w:rPr>
            </w:pPr>
            <w:r w:rsidRPr="006D386C">
              <w:rPr>
                <w:b/>
                <w:bCs/>
                <w:sz w:val="20"/>
                <w:szCs w:val="20"/>
              </w:rPr>
              <w:t>Oportunidades</w:t>
            </w:r>
          </w:p>
        </w:tc>
        <w:tc>
          <w:tcPr>
            <w:tcW w:w="6848" w:type="dxa"/>
            <w:shd w:val="clear" w:color="auto" w:fill="F2F2F2" w:themeFill="background1" w:themeFillShade="F2"/>
          </w:tcPr>
          <w:p w14:paraId="73965D22" w14:textId="77777777" w:rsidR="00D87210" w:rsidRPr="006D386C" w:rsidRDefault="00D87210" w:rsidP="00D81025">
            <w:pPr>
              <w:pStyle w:val="Prrafodelista"/>
              <w:numPr>
                <w:ilvl w:val="0"/>
                <w:numId w:val="36"/>
              </w:numPr>
              <w:contextualSpacing/>
              <w:jc w:val="both"/>
              <w:rPr>
                <w:szCs w:val="22"/>
              </w:rPr>
            </w:pPr>
            <w:r w:rsidRPr="006D386C">
              <w:rPr>
                <w:szCs w:val="22"/>
              </w:rPr>
              <w:t>Implementación de una plataforma única para gestión de proyectos (BIM 360, Monday, Procore, etc.)</w:t>
            </w:r>
          </w:p>
          <w:p w14:paraId="6A7FD56A" w14:textId="77777777" w:rsidR="00D87210" w:rsidRPr="006D386C" w:rsidRDefault="00D87210" w:rsidP="00D81025">
            <w:pPr>
              <w:pStyle w:val="Prrafodelista"/>
              <w:numPr>
                <w:ilvl w:val="0"/>
                <w:numId w:val="36"/>
              </w:numPr>
              <w:contextualSpacing/>
              <w:jc w:val="both"/>
              <w:rPr>
                <w:szCs w:val="22"/>
              </w:rPr>
            </w:pPr>
            <w:r w:rsidRPr="006D386C">
              <w:rPr>
                <w:szCs w:val="22"/>
              </w:rPr>
              <w:t>Incluir desde el inicio a los especialistas de obra para revisar los diseños.</w:t>
            </w:r>
          </w:p>
          <w:p w14:paraId="452B2B49" w14:textId="77777777" w:rsidR="00D87210" w:rsidRPr="006D386C" w:rsidRDefault="00D87210" w:rsidP="00D81025">
            <w:pPr>
              <w:pStyle w:val="Prrafodelista"/>
              <w:numPr>
                <w:ilvl w:val="0"/>
                <w:numId w:val="36"/>
              </w:numPr>
              <w:contextualSpacing/>
              <w:jc w:val="both"/>
              <w:rPr>
                <w:szCs w:val="22"/>
              </w:rPr>
            </w:pPr>
            <w:r w:rsidRPr="006D386C">
              <w:rPr>
                <w:szCs w:val="22"/>
              </w:rPr>
              <w:lastRenderedPageBreak/>
              <w:t>Automatizar tareas y usar dashboards con indicadores para medir avances.</w:t>
            </w:r>
          </w:p>
          <w:p w14:paraId="242858F4" w14:textId="77777777" w:rsidR="00D87210" w:rsidRPr="006D386C" w:rsidRDefault="00D87210" w:rsidP="00D81025">
            <w:pPr>
              <w:pStyle w:val="Prrafodelista"/>
              <w:numPr>
                <w:ilvl w:val="0"/>
                <w:numId w:val="36"/>
              </w:numPr>
              <w:contextualSpacing/>
              <w:jc w:val="both"/>
              <w:rPr>
                <w:szCs w:val="22"/>
              </w:rPr>
            </w:pPr>
            <w:r w:rsidRPr="006D386C">
              <w:rPr>
                <w:szCs w:val="22"/>
              </w:rPr>
              <w:t>Capacitar a todos los equipos en las mismas herramientas para facilitar el trabajo. (por ejemplo, uso compartido de Revit entre áreas)</w:t>
            </w:r>
          </w:p>
        </w:tc>
      </w:tr>
      <w:tr w:rsidR="00D87210" w14:paraId="31DE118F" w14:textId="77777777" w:rsidTr="00C401FF">
        <w:trPr>
          <w:jc w:val="center"/>
        </w:trPr>
        <w:tc>
          <w:tcPr>
            <w:tcW w:w="2238" w:type="dxa"/>
          </w:tcPr>
          <w:p w14:paraId="20BF9C0E" w14:textId="77777777" w:rsidR="00D87210" w:rsidRPr="006D386C" w:rsidRDefault="00D87210" w:rsidP="00D81025">
            <w:pPr>
              <w:ind w:firstLine="0"/>
              <w:jc w:val="center"/>
              <w:rPr>
                <w:b/>
                <w:bCs/>
                <w:sz w:val="20"/>
                <w:szCs w:val="20"/>
              </w:rPr>
            </w:pPr>
            <w:r w:rsidRPr="006D386C">
              <w:rPr>
                <w:b/>
                <w:bCs/>
                <w:sz w:val="20"/>
                <w:szCs w:val="20"/>
              </w:rPr>
              <w:lastRenderedPageBreak/>
              <w:t>Debilidades</w:t>
            </w:r>
          </w:p>
        </w:tc>
        <w:tc>
          <w:tcPr>
            <w:tcW w:w="6848" w:type="dxa"/>
            <w:shd w:val="clear" w:color="auto" w:fill="F2F2F2" w:themeFill="background1" w:themeFillShade="F2"/>
          </w:tcPr>
          <w:p w14:paraId="71D28DFD" w14:textId="77777777" w:rsidR="00D87210" w:rsidRPr="006D386C" w:rsidRDefault="00D87210" w:rsidP="00D81025">
            <w:pPr>
              <w:pStyle w:val="Prrafodelista"/>
              <w:numPr>
                <w:ilvl w:val="0"/>
                <w:numId w:val="37"/>
              </w:numPr>
              <w:contextualSpacing/>
              <w:jc w:val="both"/>
              <w:rPr>
                <w:szCs w:val="22"/>
              </w:rPr>
            </w:pPr>
            <w:r w:rsidRPr="006D386C">
              <w:rPr>
                <w:szCs w:val="22"/>
              </w:rPr>
              <w:t>Integración tardía entre A&amp;D y Obras.</w:t>
            </w:r>
          </w:p>
          <w:p w14:paraId="359E1900" w14:textId="77777777" w:rsidR="00D87210" w:rsidRPr="006D386C" w:rsidRDefault="00D87210" w:rsidP="00D81025">
            <w:pPr>
              <w:pStyle w:val="Prrafodelista"/>
              <w:numPr>
                <w:ilvl w:val="0"/>
                <w:numId w:val="37"/>
              </w:numPr>
              <w:contextualSpacing/>
              <w:jc w:val="both"/>
              <w:rPr>
                <w:szCs w:val="22"/>
              </w:rPr>
            </w:pPr>
            <w:r w:rsidRPr="006D386C">
              <w:rPr>
                <w:szCs w:val="22"/>
              </w:rPr>
              <w:t>Falta de cronograma integrado entre diseño y ejecución.</w:t>
            </w:r>
          </w:p>
          <w:p w14:paraId="0D31D2AB" w14:textId="77777777" w:rsidR="00D87210" w:rsidRPr="006D386C" w:rsidRDefault="00D87210" w:rsidP="00D81025">
            <w:pPr>
              <w:pStyle w:val="Prrafodelista"/>
              <w:numPr>
                <w:ilvl w:val="0"/>
                <w:numId w:val="37"/>
              </w:numPr>
              <w:contextualSpacing/>
              <w:jc w:val="both"/>
              <w:rPr>
                <w:szCs w:val="22"/>
              </w:rPr>
            </w:pPr>
            <w:r w:rsidRPr="006D386C">
              <w:rPr>
                <w:szCs w:val="22"/>
              </w:rPr>
              <w:t>Uso de herramientas distintas y no conectadas (Revit, Monday, Excel, etc.)</w:t>
            </w:r>
          </w:p>
          <w:p w14:paraId="4B6BB067" w14:textId="77777777" w:rsidR="00D87210" w:rsidRPr="006D386C" w:rsidRDefault="00D87210" w:rsidP="00D81025">
            <w:pPr>
              <w:pStyle w:val="Prrafodelista"/>
              <w:numPr>
                <w:ilvl w:val="0"/>
                <w:numId w:val="37"/>
              </w:numPr>
              <w:contextualSpacing/>
              <w:jc w:val="both"/>
              <w:rPr>
                <w:szCs w:val="22"/>
              </w:rPr>
            </w:pPr>
            <w:r w:rsidRPr="006D386C">
              <w:rPr>
                <w:szCs w:val="22"/>
              </w:rPr>
              <w:t>Los planos de ingenierías se revisan tarde y eso puede causar errores.</w:t>
            </w:r>
          </w:p>
          <w:p w14:paraId="7D5B47CA" w14:textId="77777777" w:rsidR="00D87210" w:rsidRPr="006D386C" w:rsidRDefault="00D87210" w:rsidP="00D81025">
            <w:pPr>
              <w:pStyle w:val="Prrafodelista"/>
              <w:numPr>
                <w:ilvl w:val="0"/>
                <w:numId w:val="37"/>
              </w:numPr>
              <w:contextualSpacing/>
              <w:jc w:val="both"/>
              <w:rPr>
                <w:szCs w:val="22"/>
              </w:rPr>
            </w:pPr>
            <w:r w:rsidRPr="006D386C">
              <w:rPr>
                <w:szCs w:val="22"/>
              </w:rPr>
              <w:t>No siempre se aplican bien las listas de verificación de calidad.</w:t>
            </w:r>
          </w:p>
        </w:tc>
      </w:tr>
      <w:tr w:rsidR="00D87210" w14:paraId="5DF848FA" w14:textId="77777777" w:rsidTr="00C401FF">
        <w:trPr>
          <w:jc w:val="center"/>
        </w:trPr>
        <w:tc>
          <w:tcPr>
            <w:tcW w:w="2238" w:type="dxa"/>
          </w:tcPr>
          <w:p w14:paraId="2F547A7C" w14:textId="77777777" w:rsidR="00D87210" w:rsidRPr="006D386C" w:rsidRDefault="00D87210" w:rsidP="00D81025">
            <w:pPr>
              <w:ind w:firstLine="0"/>
              <w:jc w:val="center"/>
              <w:rPr>
                <w:b/>
                <w:bCs/>
                <w:sz w:val="20"/>
                <w:szCs w:val="20"/>
              </w:rPr>
            </w:pPr>
            <w:r w:rsidRPr="006D386C">
              <w:rPr>
                <w:b/>
                <w:bCs/>
                <w:sz w:val="20"/>
                <w:szCs w:val="20"/>
              </w:rPr>
              <w:t>Amenazas</w:t>
            </w:r>
          </w:p>
        </w:tc>
        <w:tc>
          <w:tcPr>
            <w:tcW w:w="6848" w:type="dxa"/>
            <w:shd w:val="clear" w:color="auto" w:fill="F2F2F2" w:themeFill="background1" w:themeFillShade="F2"/>
          </w:tcPr>
          <w:p w14:paraId="56EBB13A" w14:textId="77777777" w:rsidR="00D87210" w:rsidRPr="006D386C" w:rsidRDefault="00D87210" w:rsidP="00D81025">
            <w:pPr>
              <w:pStyle w:val="Prrafodelista"/>
              <w:numPr>
                <w:ilvl w:val="0"/>
                <w:numId w:val="38"/>
              </w:numPr>
              <w:contextualSpacing/>
              <w:jc w:val="both"/>
              <w:rPr>
                <w:szCs w:val="22"/>
              </w:rPr>
            </w:pPr>
            <w:r w:rsidRPr="006D386C">
              <w:rPr>
                <w:szCs w:val="22"/>
              </w:rPr>
              <w:t xml:space="preserve"> Reproceso y sobrecostos por errores técnicos no detectados a tiempo.</w:t>
            </w:r>
          </w:p>
          <w:p w14:paraId="2AFAD12B" w14:textId="77777777" w:rsidR="00D87210" w:rsidRPr="006D386C" w:rsidRDefault="00D87210" w:rsidP="00D81025">
            <w:pPr>
              <w:pStyle w:val="Prrafodelista"/>
              <w:numPr>
                <w:ilvl w:val="0"/>
                <w:numId w:val="38"/>
              </w:numPr>
              <w:contextualSpacing/>
              <w:jc w:val="both"/>
              <w:rPr>
                <w:szCs w:val="22"/>
              </w:rPr>
            </w:pPr>
            <w:r w:rsidRPr="006D386C">
              <w:rPr>
                <w:szCs w:val="22"/>
              </w:rPr>
              <w:t>Falta de trazabilidad documental ante auditorías o cambios de alcance.</w:t>
            </w:r>
          </w:p>
          <w:p w14:paraId="733722F4" w14:textId="77777777" w:rsidR="00D87210" w:rsidRPr="006D386C" w:rsidRDefault="00D87210" w:rsidP="00D81025">
            <w:pPr>
              <w:pStyle w:val="Prrafodelista"/>
              <w:numPr>
                <w:ilvl w:val="0"/>
                <w:numId w:val="38"/>
              </w:numPr>
              <w:contextualSpacing/>
              <w:jc w:val="both"/>
              <w:rPr>
                <w:szCs w:val="22"/>
              </w:rPr>
            </w:pPr>
            <w:r w:rsidRPr="006D386C">
              <w:rPr>
                <w:szCs w:val="22"/>
              </w:rPr>
              <w:t>Cliente podría quedar insatisfecho si hay atrasos o errores en la obra.</w:t>
            </w:r>
          </w:p>
          <w:p w14:paraId="2544DDA8" w14:textId="77777777" w:rsidR="00D87210" w:rsidRPr="006D386C" w:rsidRDefault="00D87210" w:rsidP="00D81025">
            <w:pPr>
              <w:pStyle w:val="Prrafodelista"/>
              <w:numPr>
                <w:ilvl w:val="0"/>
                <w:numId w:val="38"/>
              </w:numPr>
              <w:contextualSpacing/>
              <w:jc w:val="both"/>
              <w:rPr>
                <w:szCs w:val="22"/>
              </w:rPr>
            </w:pPr>
            <w:r w:rsidRPr="006D386C">
              <w:rPr>
                <w:szCs w:val="22"/>
              </w:rPr>
              <w:t>Otras empresas podrían ser más eficientes si tienen procesos más integrados.</w:t>
            </w:r>
          </w:p>
        </w:tc>
      </w:tr>
    </w:tbl>
    <w:p w14:paraId="195C1884" w14:textId="09742D74" w:rsidR="00034BD3" w:rsidRDefault="008D68E9" w:rsidP="008D68E9">
      <w:pPr>
        <w:pStyle w:val="APA"/>
        <w:ind w:firstLine="0"/>
      </w:pPr>
      <w:r w:rsidRPr="008D68E9">
        <w:rPr>
          <w:i/>
          <w:iCs/>
        </w:rPr>
        <w:t>Nota:</w:t>
      </w:r>
      <w:r w:rsidRPr="008D68E9">
        <w:t xml:space="preserve"> </w:t>
      </w:r>
      <w:r w:rsidRPr="008D68E9">
        <w:rPr>
          <w:i/>
          <w:iCs/>
        </w:rPr>
        <w:t>Fuente: Elaboración propia.</w:t>
      </w:r>
      <w:r w:rsidRPr="008D68E9">
        <w:br/>
        <w:t xml:space="preserve">La Tabla 7 muestra el análisis FODA que identifica las fortalezas, oportunidades, debilidades y amenazas del proceso actual de planificación, diseño y ejecución de proyectos </w:t>
      </w:r>
      <w:r w:rsidRPr="008D68E9">
        <w:rPr>
          <w:i/>
          <w:iCs/>
        </w:rPr>
        <w:t>Design &amp; Build</w:t>
      </w:r>
      <w:r w:rsidRPr="008D68E9">
        <w:t xml:space="preserve"> en Contract Workplaces.</w:t>
      </w:r>
    </w:p>
    <w:p w14:paraId="430B06F5" w14:textId="77777777" w:rsidR="00E13493" w:rsidRPr="00E13493" w:rsidRDefault="00E13493" w:rsidP="00E364CE">
      <w:pPr>
        <w:pStyle w:val="APA"/>
      </w:pPr>
      <w:r w:rsidRPr="00E13493">
        <w:lastRenderedPageBreak/>
        <w:t>Estas debilidades generan reprocesos, atrasos y posibles desviaciones de presupuesto, afectando la satisfacción del cliente y la competitividad frente a empresas con procesos más integrados.</w:t>
      </w:r>
    </w:p>
    <w:p w14:paraId="1916B481" w14:textId="77777777" w:rsidR="00E13493" w:rsidRPr="00E13493" w:rsidRDefault="00E13493" w:rsidP="00E364CE">
      <w:pPr>
        <w:pStyle w:val="APA"/>
      </w:pPr>
      <w:r w:rsidRPr="00E13493">
        <w:t>El análisis crítico realizado permite concluir que las principales fallas de integración en Contract Workplaces se concentran en varios aspectos estructurales y operativos. En primer lugar, se evidencia una integración tardía entre las áreas de Arquitectura &amp; Diseño (A&amp;D) y Obras, lo cual impide anticipar interferencias técnicas y provoca reprocesos durante la fase constructiva. Esta desconexión funcional limita la retroalimentación temprana y reduce la calidad del diseño desde una perspectiva ejecutiva.</w:t>
      </w:r>
    </w:p>
    <w:p w14:paraId="171787FE" w14:textId="7BEDA9A4" w:rsidR="00E13493" w:rsidRPr="00E13493" w:rsidRDefault="00E13493" w:rsidP="00E364CE">
      <w:pPr>
        <w:pStyle w:val="APA"/>
      </w:pPr>
      <w:r w:rsidRPr="00E13493">
        <w:t>En segundo lugar, la ausencia de un cronograma integrado entre las actividades de diseño y ejecución repercute negativamente en la coordinación entre etapas y en la asignación eficiente de recursos. Cada departamento trabaja bajo lógicas de programación independientes, generando desalineación de hitos y entregables claves.</w:t>
      </w:r>
    </w:p>
    <w:p w14:paraId="7CC8C78D" w14:textId="77777777" w:rsidR="00E13493" w:rsidRPr="00E13493" w:rsidRDefault="00E13493" w:rsidP="00E364CE">
      <w:pPr>
        <w:pStyle w:val="APA"/>
      </w:pPr>
      <w:r w:rsidRPr="00E13493">
        <w:t>Adicionalmente, el uso fragmentado de herramientas digitales no conectadas (como Revit, Excel, Monday.com) obstaculiza el flujo de información y dificulta el control documental y de comunicaciones entre los equipos. Esta situación deriva en una baja trazabilidad de decisiones y dificultades para el control de cambios y auditorías.</w:t>
      </w:r>
    </w:p>
    <w:p w14:paraId="3D9C79D6" w14:textId="317EF62B" w:rsidR="00E13493" w:rsidRPr="00E13493" w:rsidRDefault="00E13493" w:rsidP="00E364CE">
      <w:pPr>
        <w:pStyle w:val="APA"/>
      </w:pPr>
      <w:r w:rsidRPr="00E13493">
        <w:t xml:space="preserve">Finalmente, se destaca una gestión de Project Management carente de procesos estandarizados y formalizados, donde las prácticas de planificación, monitoreo y control de proyectos dependen del criterio individual de cada </w:t>
      </w:r>
      <w:r w:rsidR="000C3758">
        <w:t>p</w:t>
      </w:r>
      <w:r w:rsidR="000C3758" w:rsidRPr="008B17A9">
        <w:t xml:space="preserve">roject </w:t>
      </w:r>
      <w:r w:rsidR="000C3758">
        <w:t>m</w:t>
      </w:r>
      <w:r w:rsidR="000C3758" w:rsidRPr="008B17A9">
        <w:t>anager</w:t>
      </w:r>
      <w:r w:rsidRPr="00E13493">
        <w:t>, sin respaldo en procedimientos institucionales comunes.</w:t>
      </w:r>
    </w:p>
    <w:p w14:paraId="2D634143" w14:textId="778ABA1F" w:rsidR="009C5C28" w:rsidRPr="008837A0" w:rsidRDefault="00E13493" w:rsidP="008D68E9">
      <w:pPr>
        <w:pStyle w:val="APA"/>
      </w:pPr>
      <w:r w:rsidRPr="00E13493">
        <w:t>En conjunto, estas fallas estructurales configuran un modelo operativo fragmentado, donde el potencial colaborativo del enfoque Design &amp; Build no se aprovecha plenamente, limitando la integración entre diseño, gestión y construcción.</w:t>
      </w:r>
    </w:p>
    <w:p w14:paraId="6717CCB4" w14:textId="05BE080E" w:rsidR="00D87210" w:rsidRPr="00237B6D" w:rsidRDefault="0046720B" w:rsidP="00237B6D">
      <w:pPr>
        <w:pStyle w:val="Ttulo2"/>
      </w:pPr>
      <w:bookmarkStart w:id="83" w:name="_Toc212406375"/>
      <w:r>
        <w:lastRenderedPageBreak/>
        <w:t xml:space="preserve">4.2 </w:t>
      </w:r>
      <w:r w:rsidR="009C5C28" w:rsidRPr="00237B6D">
        <w:t>Determinar las ne</w:t>
      </w:r>
      <w:r w:rsidR="002575F0" w:rsidRPr="00237B6D">
        <w:t>cesidades de integración entre diseño y ejecución, para fortalecer la toma de decisiones durante la ejecución del proyecto.</w:t>
      </w:r>
      <w:bookmarkEnd w:id="83"/>
    </w:p>
    <w:p w14:paraId="2643B2F1" w14:textId="5D938AF2" w:rsidR="00D87210" w:rsidRPr="00237B6D" w:rsidRDefault="0046720B" w:rsidP="00237B6D">
      <w:pPr>
        <w:pStyle w:val="Ttulo3"/>
      </w:pPr>
      <w:bookmarkStart w:id="84" w:name="_Toc212406376"/>
      <w:r>
        <w:rPr>
          <w:rStyle w:val="Ttulo3Car"/>
          <w:b/>
          <w:bCs/>
        </w:rPr>
        <w:t xml:space="preserve">4.2.1 </w:t>
      </w:r>
      <w:r w:rsidR="00D87210" w:rsidRPr="00237B6D">
        <w:rPr>
          <w:rStyle w:val="Ttulo3Car"/>
          <w:b/>
          <w:bCs/>
        </w:rPr>
        <w:t>Análisis de metodologías de gestión de proyectos (PMI, Lean, IPD</w:t>
      </w:r>
      <w:r w:rsidR="00D87210" w:rsidRPr="00237B6D">
        <w:t>)</w:t>
      </w:r>
      <w:bookmarkEnd w:id="84"/>
    </w:p>
    <w:p w14:paraId="7840525A" w14:textId="279F2792" w:rsidR="002575F0" w:rsidRPr="002575F0" w:rsidRDefault="002575F0" w:rsidP="00E364CE">
      <w:pPr>
        <w:pStyle w:val="APA"/>
        <w:rPr>
          <w:lang w:val="es-CR" w:eastAsia="es-CR"/>
        </w:rPr>
      </w:pPr>
      <w:r w:rsidRPr="002575F0">
        <w:rPr>
          <w:lang w:val="es-CR" w:eastAsia="es-CR"/>
        </w:rPr>
        <w:t>La gestión de proyectos ha evolucionado considerablemente en las últimas décadas, impulsada por la necesidad de mejorar el desempeño en tiempo, costo y calidad. En este contexto, tres enfoques han ganado relevancia: el modelo tradicional del Project Management Institute (PMI), la filosofía Lean Construction y el modelo colaborativo Integrated Project Delivery (IPD). Cada uno ofrece aportes valiosos, pero también presenta limitaciones según el tipo de proyecto y su contexto organizacional.</w:t>
      </w:r>
    </w:p>
    <w:p w14:paraId="56A446AC" w14:textId="77777777" w:rsidR="002575F0" w:rsidRPr="002575F0" w:rsidRDefault="002575F0" w:rsidP="00237B6D">
      <w:pPr>
        <w:pStyle w:val="Figura1"/>
        <w:ind w:firstLine="0"/>
        <w:rPr>
          <w:b/>
          <w:bCs/>
          <w:lang w:val="es-CR" w:eastAsia="es-CR"/>
        </w:rPr>
      </w:pPr>
      <w:r w:rsidRPr="002575F0">
        <w:rPr>
          <w:b/>
          <w:bCs/>
          <w:lang w:val="es-CR" w:eastAsia="es-CR"/>
        </w:rPr>
        <w:t>Enfoque PMI</w:t>
      </w:r>
    </w:p>
    <w:p w14:paraId="06DD5E47" w14:textId="77777777" w:rsidR="006D23C5" w:rsidRPr="00E364CE" w:rsidRDefault="002575F0" w:rsidP="0030163B">
      <w:pPr>
        <w:pStyle w:val="APA"/>
      </w:pPr>
      <w:r w:rsidRPr="00E364CE">
        <w:t>El enfoque del PMI, establecido en la Guía de los Fundamentos para la Dirección de Proyectos (PMBOK® Guide), se basa en una estructura secuencial de cinco grupos de procesos (inicio, planificación, ejecución, monitoreo/control y cierre) y diez áreas de conocimiento (PMI, 2021).</w:t>
      </w:r>
    </w:p>
    <w:p w14:paraId="7738179D" w14:textId="43BE5FA4" w:rsidR="002575F0" w:rsidRPr="00E364CE" w:rsidRDefault="002575F0" w:rsidP="0030163B">
      <w:pPr>
        <w:pStyle w:val="APA"/>
      </w:pPr>
      <w:r w:rsidRPr="00E364CE">
        <w:t>Esta metodología propone una planificación detallada desde etapas tempranas y es adecuada para proyectos con alta predictibilidad y requisitos bien definidos.</w:t>
      </w:r>
    </w:p>
    <w:p w14:paraId="78A8EF3D" w14:textId="772753E8" w:rsidR="006D23C5" w:rsidRDefault="006D23C5" w:rsidP="0030163B">
      <w:pPr>
        <w:pStyle w:val="APA"/>
        <w:rPr>
          <w:lang w:eastAsia="es-CR"/>
        </w:rPr>
      </w:pPr>
      <w:r w:rsidRPr="00E364CE">
        <w:t>Sin embargo, uno de los principales desafíos del enfoque tradicional es su limitada capacidad de adaptación al cambio, especialmente en proyectos donde el diseño y la construcción se desarrollan en paralelo, como ocurre en los modelos Design &amp; Build. Según Kerzner (2017), el modelo clásico tiende a generar departamentos o equipos aislados, lo que obstaculiza la integración entre las partes interesadas y dificulta la detección temprana de</w:t>
      </w:r>
      <w:r w:rsidRPr="006D23C5">
        <w:rPr>
          <w:lang w:eastAsia="es-CR"/>
        </w:rPr>
        <w:t xml:space="preserve"> riesgos.</w:t>
      </w:r>
      <w:r>
        <w:rPr>
          <w:lang w:eastAsia="es-CR"/>
        </w:rPr>
        <w:t xml:space="preserve"> </w:t>
      </w:r>
      <w:r w:rsidRPr="0098201D">
        <w:rPr>
          <w:lang w:val="da-DK" w:eastAsia="es-CR"/>
        </w:rPr>
        <w:t xml:space="preserve">Kerzner, H. (2017). </w:t>
      </w:r>
      <w:r w:rsidRPr="0098201D">
        <w:rPr>
          <w:i/>
          <w:iCs/>
          <w:lang w:val="da-DK" w:eastAsia="es-CR"/>
        </w:rPr>
        <w:t>Project management: A systems approach to planning, scheduling, and controlling</w:t>
      </w:r>
      <w:r w:rsidRPr="0098201D">
        <w:rPr>
          <w:lang w:val="da-DK" w:eastAsia="es-CR"/>
        </w:rPr>
        <w:t xml:space="preserve"> (12th ed.). </w:t>
      </w:r>
      <w:r w:rsidRPr="006D23C5">
        <w:rPr>
          <w:lang w:eastAsia="es-CR"/>
        </w:rPr>
        <w:t>Wiley.</w:t>
      </w:r>
    </w:p>
    <w:p w14:paraId="0C735DA3" w14:textId="1FE393C7" w:rsidR="002575F0" w:rsidRPr="002575F0" w:rsidRDefault="002575F0" w:rsidP="00237B6D">
      <w:pPr>
        <w:pStyle w:val="Figura1"/>
        <w:ind w:firstLine="0"/>
        <w:rPr>
          <w:b/>
          <w:bCs/>
          <w:lang w:val="es-CR" w:eastAsia="es-CR"/>
        </w:rPr>
      </w:pPr>
      <w:r w:rsidRPr="002575F0">
        <w:rPr>
          <w:b/>
          <w:bCs/>
          <w:lang w:val="es-CR" w:eastAsia="es-CR"/>
        </w:rPr>
        <w:t>Enfoque Lean Construction</w:t>
      </w:r>
    </w:p>
    <w:p w14:paraId="30C11232" w14:textId="77777777" w:rsidR="009505D4" w:rsidRPr="00E364CE" w:rsidRDefault="006B46CD" w:rsidP="0030163B">
      <w:pPr>
        <w:pStyle w:val="APA"/>
      </w:pPr>
      <w:r w:rsidRPr="00E364CE">
        <w:lastRenderedPageBreak/>
        <w:t xml:space="preserve">Lean Construction ha sido adoptado como una estrategia moderna para enfrentar los retos de eficiencia y productividad en el sector construcción. Esta filosofía se basa en los principios del pensamiento Lean originados en la industria manufacturera, pero adaptados al entorno </w:t>
      </w:r>
      <w:r w:rsidR="00632922" w:rsidRPr="00E364CE">
        <w:t xml:space="preserve">tan </w:t>
      </w:r>
      <w:r w:rsidRPr="00E364CE">
        <w:t xml:space="preserve">complejo de los proyectos de </w:t>
      </w:r>
      <w:r w:rsidR="00632922" w:rsidRPr="00E364CE">
        <w:t>construcción</w:t>
      </w:r>
      <w:r w:rsidRPr="00E364CE">
        <w:t xml:space="preserve">. Su </w:t>
      </w:r>
      <w:r w:rsidR="00F00B3F" w:rsidRPr="00E364CE">
        <w:t>objetivo principal es aumentar al máximo el valor proporcionado al cliente, reduciendo al mismo tiempo los desperdicios a lo largo de todas las fases del proyecto</w:t>
      </w:r>
      <w:r w:rsidR="009505D4" w:rsidRPr="00E364CE">
        <w:t>.</w:t>
      </w:r>
    </w:p>
    <w:p w14:paraId="26FDA0EB" w14:textId="77777777" w:rsidR="009505D4" w:rsidRDefault="006B46CD" w:rsidP="0030163B">
      <w:pPr>
        <w:pStyle w:val="APA"/>
        <w:rPr>
          <w:lang w:val="es-CR" w:eastAsia="es-CR"/>
        </w:rPr>
      </w:pPr>
      <w:r w:rsidRPr="00E364CE">
        <w:t>Entre los principios fundamentales de Lean aplicados al sector construcción se</w:t>
      </w:r>
      <w:r w:rsidRPr="006B46CD">
        <w:rPr>
          <w:lang w:val="es-CR" w:eastAsia="es-CR"/>
        </w:rPr>
        <w:t xml:space="preserve"> encuentran: </w:t>
      </w:r>
    </w:p>
    <w:p w14:paraId="5B256A7B" w14:textId="77777777" w:rsidR="009505D4" w:rsidRDefault="009505D4" w:rsidP="009505D4">
      <w:pPr>
        <w:pStyle w:val="APA"/>
        <w:numPr>
          <w:ilvl w:val="0"/>
          <w:numId w:val="84"/>
        </w:numPr>
        <w:rPr>
          <w:lang w:val="es-CR" w:eastAsia="es-CR"/>
        </w:rPr>
      </w:pPr>
      <w:r>
        <w:rPr>
          <w:lang w:val="es-CR" w:eastAsia="es-CR"/>
        </w:rPr>
        <w:t>D</w:t>
      </w:r>
      <w:r w:rsidR="006B46CD" w:rsidRPr="006B46CD">
        <w:rPr>
          <w:lang w:val="es-CR" w:eastAsia="es-CR"/>
        </w:rPr>
        <w:t>efinir valor desde la perspectiva del cliente</w:t>
      </w:r>
      <w:r>
        <w:rPr>
          <w:lang w:val="es-CR" w:eastAsia="es-CR"/>
        </w:rPr>
        <w:t>.</w:t>
      </w:r>
    </w:p>
    <w:p w14:paraId="199BE1BC" w14:textId="0FE1B920" w:rsidR="009505D4" w:rsidRDefault="009505D4" w:rsidP="009505D4">
      <w:pPr>
        <w:pStyle w:val="APA"/>
        <w:numPr>
          <w:ilvl w:val="0"/>
          <w:numId w:val="84"/>
        </w:numPr>
        <w:rPr>
          <w:lang w:val="es-CR" w:eastAsia="es-CR"/>
        </w:rPr>
      </w:pPr>
      <w:r>
        <w:rPr>
          <w:lang w:val="es-CR" w:eastAsia="es-CR"/>
        </w:rPr>
        <w:t>M</w:t>
      </w:r>
      <w:r w:rsidR="006B46CD" w:rsidRPr="006B46CD">
        <w:rPr>
          <w:lang w:val="es-CR" w:eastAsia="es-CR"/>
        </w:rPr>
        <w:t>apear la cadena de valor</w:t>
      </w:r>
    </w:p>
    <w:p w14:paraId="30867AEC" w14:textId="70F6858A" w:rsidR="009505D4" w:rsidRDefault="009505D4" w:rsidP="009505D4">
      <w:pPr>
        <w:pStyle w:val="APA"/>
        <w:numPr>
          <w:ilvl w:val="0"/>
          <w:numId w:val="84"/>
        </w:numPr>
        <w:rPr>
          <w:lang w:val="es-CR" w:eastAsia="es-CR"/>
        </w:rPr>
      </w:pPr>
      <w:r>
        <w:rPr>
          <w:lang w:val="es-CR" w:eastAsia="es-CR"/>
        </w:rPr>
        <w:t>G</w:t>
      </w:r>
      <w:r w:rsidR="006B46CD" w:rsidRPr="006B46CD">
        <w:rPr>
          <w:lang w:val="es-CR" w:eastAsia="es-CR"/>
        </w:rPr>
        <w:t>enerar flujo continuo</w:t>
      </w:r>
    </w:p>
    <w:p w14:paraId="0FBE9C3B" w14:textId="77777777" w:rsidR="009505D4" w:rsidRDefault="009505D4" w:rsidP="009505D4">
      <w:pPr>
        <w:pStyle w:val="APA"/>
        <w:numPr>
          <w:ilvl w:val="0"/>
          <w:numId w:val="84"/>
        </w:numPr>
        <w:rPr>
          <w:lang w:val="es-CR" w:eastAsia="es-CR"/>
        </w:rPr>
      </w:pPr>
      <w:r>
        <w:rPr>
          <w:lang w:val="es-CR" w:eastAsia="es-CR"/>
        </w:rPr>
        <w:t>E</w:t>
      </w:r>
      <w:r w:rsidR="006B46CD" w:rsidRPr="006B46CD">
        <w:rPr>
          <w:lang w:val="es-CR" w:eastAsia="es-CR"/>
        </w:rPr>
        <w:t xml:space="preserve">stablecer sistemas pull </w:t>
      </w:r>
    </w:p>
    <w:p w14:paraId="654E0261" w14:textId="77777777" w:rsidR="009505D4" w:rsidRDefault="009505D4" w:rsidP="009505D4">
      <w:pPr>
        <w:pStyle w:val="APA"/>
        <w:numPr>
          <w:ilvl w:val="0"/>
          <w:numId w:val="84"/>
        </w:numPr>
        <w:rPr>
          <w:lang w:val="es-CR" w:eastAsia="es-CR"/>
        </w:rPr>
      </w:pPr>
      <w:r>
        <w:rPr>
          <w:lang w:val="es-CR" w:eastAsia="es-CR"/>
        </w:rPr>
        <w:t>B</w:t>
      </w:r>
      <w:r w:rsidR="006B46CD" w:rsidRPr="006B46CD">
        <w:rPr>
          <w:lang w:val="es-CR" w:eastAsia="es-CR"/>
        </w:rPr>
        <w:t xml:space="preserve">uscar la mejora continua. </w:t>
      </w:r>
    </w:p>
    <w:p w14:paraId="6E181023" w14:textId="29FC20AD" w:rsidR="006D23C5" w:rsidRDefault="006B46CD">
      <w:pPr>
        <w:pStyle w:val="APA"/>
        <w:rPr>
          <w:lang w:val="es-CR" w:eastAsia="es-CR"/>
        </w:rPr>
      </w:pPr>
      <w:r w:rsidRPr="006B46CD">
        <w:rPr>
          <w:lang w:val="es-CR" w:eastAsia="es-CR"/>
        </w:rPr>
        <w:t>Estos principios han sido formalizados y promovidos por el Lean Construction Institute y se implementan mediante herramientas como</w:t>
      </w:r>
      <w:r w:rsidR="006D23C5">
        <w:rPr>
          <w:lang w:val="es-CR" w:eastAsia="es-CR"/>
        </w:rPr>
        <w:t>:</w:t>
      </w:r>
      <w:r w:rsidRPr="006B46CD">
        <w:rPr>
          <w:lang w:val="es-CR" w:eastAsia="es-CR"/>
        </w:rPr>
        <w:t xml:space="preserve"> </w:t>
      </w:r>
    </w:p>
    <w:p w14:paraId="7E58601F" w14:textId="0365768D" w:rsidR="006D23C5" w:rsidRDefault="006B46CD" w:rsidP="006D23C5">
      <w:pPr>
        <w:pStyle w:val="APA"/>
        <w:numPr>
          <w:ilvl w:val="0"/>
          <w:numId w:val="114"/>
        </w:numPr>
        <w:rPr>
          <w:lang w:val="es-CR" w:eastAsia="es-CR"/>
        </w:rPr>
      </w:pPr>
      <w:r w:rsidRPr="00237B6D">
        <w:rPr>
          <w:lang w:val="es-CR" w:eastAsia="es-CR"/>
        </w:rPr>
        <w:t>Last Planner System</w:t>
      </w:r>
      <w:r w:rsidR="006D23C5">
        <w:rPr>
          <w:lang w:val="es-CR" w:eastAsia="es-CR"/>
        </w:rPr>
        <w:t xml:space="preserve">: </w:t>
      </w:r>
      <w:r w:rsidR="006A0BD7" w:rsidRPr="006A0BD7">
        <w:rPr>
          <w:lang w:eastAsia="es-CR"/>
        </w:rPr>
        <w:t>Permite una planificación colaborativa y realista, al involucrar a los responsables de obra en la programación de tareas semanales. Favorece el cumplimiento de lo planificado y mejora la coordinación entre áreas</w:t>
      </w:r>
      <w:r w:rsidR="006A0BD7">
        <w:rPr>
          <w:lang w:eastAsia="es-CR"/>
        </w:rPr>
        <w:t>.</w:t>
      </w:r>
    </w:p>
    <w:p w14:paraId="1AE8F4AD" w14:textId="3B93B308" w:rsidR="006D23C5" w:rsidRDefault="006B46CD" w:rsidP="006D23C5">
      <w:pPr>
        <w:pStyle w:val="APA"/>
        <w:numPr>
          <w:ilvl w:val="0"/>
          <w:numId w:val="114"/>
        </w:numPr>
        <w:rPr>
          <w:lang w:val="es-CR" w:eastAsia="es-CR"/>
        </w:rPr>
      </w:pPr>
      <w:r w:rsidRPr="00237B6D">
        <w:rPr>
          <w:lang w:val="es-CR" w:eastAsia="es-CR"/>
        </w:rPr>
        <w:t>Value Stream Mapping</w:t>
      </w:r>
      <w:r w:rsidR="006A0BD7">
        <w:rPr>
          <w:lang w:val="es-CR" w:eastAsia="es-CR"/>
        </w:rPr>
        <w:t xml:space="preserve">: </w:t>
      </w:r>
      <w:r w:rsidR="006A0BD7" w:rsidRPr="006A0BD7">
        <w:rPr>
          <w:lang w:eastAsia="es-CR"/>
        </w:rPr>
        <w:t>Ayuda a visualizar y analizar cada paso del proceso constructivo para identificar actividades que agregan valor y eliminar las que no lo hacen. Es útil para optimizar flujos de trabajo y detectar cuellos de botella.</w:t>
      </w:r>
    </w:p>
    <w:p w14:paraId="2B59EFC6" w14:textId="5AB2953C" w:rsidR="006D23C5" w:rsidRDefault="006B46CD" w:rsidP="006D23C5">
      <w:pPr>
        <w:pStyle w:val="APA"/>
        <w:numPr>
          <w:ilvl w:val="0"/>
          <w:numId w:val="114"/>
        </w:numPr>
        <w:rPr>
          <w:lang w:val="es-CR" w:eastAsia="es-CR"/>
        </w:rPr>
      </w:pPr>
      <w:r w:rsidRPr="00237B6D">
        <w:rPr>
          <w:lang w:val="es-CR" w:eastAsia="es-CR"/>
        </w:rPr>
        <w:t>Takt Time Planning</w:t>
      </w:r>
      <w:r w:rsidR="006A0BD7">
        <w:rPr>
          <w:lang w:val="es-CR" w:eastAsia="es-CR"/>
        </w:rPr>
        <w:t xml:space="preserve">: </w:t>
      </w:r>
      <w:r w:rsidR="006A0BD7" w:rsidRPr="006A0BD7">
        <w:rPr>
          <w:lang w:eastAsia="es-CR"/>
        </w:rPr>
        <w:t>Establece un ritmo constante de trabajo mediante la división del proyecto en zonas o fases con tiempos iguales. Su implementación permite mantener un flujo continuo y evitar retrasos entre actividades</w:t>
      </w:r>
    </w:p>
    <w:p w14:paraId="7B2EF965" w14:textId="5EC75D96" w:rsidR="006D23C5" w:rsidRDefault="006B46CD" w:rsidP="006D23C5">
      <w:pPr>
        <w:pStyle w:val="APA"/>
        <w:numPr>
          <w:ilvl w:val="0"/>
          <w:numId w:val="114"/>
        </w:numPr>
        <w:rPr>
          <w:lang w:val="es-CR" w:eastAsia="es-CR"/>
        </w:rPr>
      </w:pPr>
      <w:r w:rsidRPr="00237B6D">
        <w:rPr>
          <w:lang w:val="es-CR" w:eastAsia="es-CR"/>
        </w:rPr>
        <w:lastRenderedPageBreak/>
        <w:t>5S</w:t>
      </w:r>
      <w:r w:rsidR="006A0BD7">
        <w:rPr>
          <w:lang w:val="es-CR" w:eastAsia="es-CR"/>
        </w:rPr>
        <w:t>:</w:t>
      </w:r>
      <w:r w:rsidR="006A0BD7" w:rsidRPr="006A0BD7">
        <w:t xml:space="preserve"> </w:t>
      </w:r>
      <w:r w:rsidR="006A0BD7" w:rsidRPr="006A0BD7">
        <w:rPr>
          <w:lang w:eastAsia="es-CR"/>
        </w:rPr>
        <w:t>Consiste en cinco pasos: clasificar, ordenar, limpiar, estandarizar y mantener. Esta herramienta promueve un entorno de trabajo organizado, seguro y eficiente, reduciendo pérdidas de tiempo y aumentando la productividad.</w:t>
      </w:r>
    </w:p>
    <w:p w14:paraId="13581BC7" w14:textId="115CC983" w:rsidR="006B46CD" w:rsidRPr="006B46CD" w:rsidRDefault="006B46CD" w:rsidP="00237B6D">
      <w:pPr>
        <w:pStyle w:val="APA"/>
        <w:numPr>
          <w:ilvl w:val="0"/>
          <w:numId w:val="114"/>
        </w:numPr>
        <w:rPr>
          <w:lang w:val="es-CR" w:eastAsia="es-CR"/>
        </w:rPr>
      </w:pPr>
      <w:r w:rsidRPr="00237B6D">
        <w:rPr>
          <w:lang w:val="es-CR" w:eastAsia="es-CR"/>
        </w:rPr>
        <w:t>Target Value Design</w:t>
      </w:r>
      <w:r w:rsidR="006A0BD7">
        <w:rPr>
          <w:lang w:val="es-CR" w:eastAsia="es-CR"/>
        </w:rPr>
        <w:t xml:space="preserve">: </w:t>
      </w:r>
      <w:r w:rsidR="006A0BD7" w:rsidRPr="006A0BD7">
        <w:rPr>
          <w:lang w:eastAsia="es-CR"/>
        </w:rPr>
        <w:t>Propone que el diseño se desarrolle considerando desde el inicio el presupuesto disponible. De esta forma, las decisiones se alinean con el valor esperado por el cliente y se reducen los riesgos de sobrecostos o rediseños.</w:t>
      </w:r>
    </w:p>
    <w:p w14:paraId="362E6DA5" w14:textId="48E92D05" w:rsidR="006B46CD" w:rsidRPr="00E364CE" w:rsidRDefault="006B46CD" w:rsidP="0030163B">
      <w:pPr>
        <w:pStyle w:val="APA"/>
      </w:pPr>
      <w:r w:rsidRPr="00E364CE">
        <w:t xml:space="preserve">Uno de los mayores aportes de Lean Construction es su capacidad para reducir la variabilidad y mejorar la coordinación interdisciplinaria, aspectos críticos en proyectos complejos y de plazos ajustados. Estudios recientes demuestran que la implementación del sistema Last Planner puede incrementar la confiabilidad de la planificación semanal por encima del 80%, reducir significativamente los retrabajos y mejorar la productividad general del proyecto (Ayala, 2018; Carr, 2018). </w:t>
      </w:r>
      <w:r w:rsidR="004B6DD9" w:rsidRPr="00E364CE">
        <w:t xml:space="preserve">Sin </w:t>
      </w:r>
      <w:r w:rsidR="006D23C5" w:rsidRPr="00E364CE">
        <w:t>embargo, su</w:t>
      </w:r>
      <w:r w:rsidRPr="00E364CE">
        <w:t xml:space="preserve"> aplicación efectiva requiere una transformación cultural dentro de la organización y el desarrollo de una mentalidad colaborativa y orientada a procesos (Suerth, 2017).</w:t>
      </w:r>
    </w:p>
    <w:p w14:paraId="1C5DA03F" w14:textId="77777777" w:rsidR="002575F0" w:rsidRPr="002575F0" w:rsidRDefault="002575F0" w:rsidP="00237B6D">
      <w:pPr>
        <w:pStyle w:val="Figura1"/>
        <w:ind w:firstLine="0"/>
        <w:rPr>
          <w:b/>
          <w:bCs/>
          <w:lang w:val="es-CR" w:eastAsia="es-CR"/>
        </w:rPr>
      </w:pPr>
      <w:r w:rsidRPr="002575F0">
        <w:rPr>
          <w:b/>
          <w:bCs/>
          <w:lang w:val="es-CR" w:eastAsia="es-CR"/>
        </w:rPr>
        <w:t>Integrated Project Delivery (IPD)</w:t>
      </w:r>
    </w:p>
    <w:p w14:paraId="4ED93F7E" w14:textId="69A15C31" w:rsidR="002575F0" w:rsidRPr="002575F0" w:rsidRDefault="002575F0" w:rsidP="00E364CE">
      <w:pPr>
        <w:pStyle w:val="APA"/>
        <w:rPr>
          <w:lang w:val="es-CR" w:eastAsia="es-CR"/>
        </w:rPr>
      </w:pPr>
      <w:r w:rsidRPr="002575F0">
        <w:rPr>
          <w:lang w:val="es-CR" w:eastAsia="es-CR"/>
        </w:rPr>
        <w:t>El IPD es una metodología de entrega de proyectos basada en la colaboración temprana entre los actores clave (cliente, diseñadores, contratistas</w:t>
      </w:r>
      <w:r w:rsidR="00B4389C">
        <w:rPr>
          <w:lang w:val="es-CR" w:eastAsia="es-CR"/>
        </w:rPr>
        <w:t>, presupuesti</w:t>
      </w:r>
      <w:r w:rsidR="00FA39A1">
        <w:rPr>
          <w:lang w:val="es-CR" w:eastAsia="es-CR"/>
        </w:rPr>
        <w:t>s</w:t>
      </w:r>
      <w:r w:rsidR="00B4389C">
        <w:rPr>
          <w:lang w:val="es-CR" w:eastAsia="es-CR"/>
        </w:rPr>
        <w:t>ta</w:t>
      </w:r>
      <w:r w:rsidRPr="002575F0">
        <w:rPr>
          <w:lang w:val="es-CR" w:eastAsia="es-CR"/>
        </w:rPr>
        <w:t xml:space="preserve"> y subcontratistas) bajo un contrato único. Este modelo busca alinear los intereses de todos los participantes a través de la transparencia, el reparto de riesgos y beneficios, y una toma de decisiones conjunta</w:t>
      </w:r>
      <w:r w:rsidR="00B4389C">
        <w:rPr>
          <w:lang w:val="es-CR" w:eastAsia="es-CR"/>
        </w:rPr>
        <w:t>.</w:t>
      </w:r>
    </w:p>
    <w:p w14:paraId="7F659DDC" w14:textId="2162BC2C" w:rsidR="002575F0" w:rsidRPr="002575F0" w:rsidRDefault="002575F0" w:rsidP="00E364CE">
      <w:pPr>
        <w:pStyle w:val="APA"/>
        <w:rPr>
          <w:lang w:val="es-CR" w:eastAsia="es-CR"/>
        </w:rPr>
      </w:pPr>
      <w:r w:rsidRPr="002575F0">
        <w:rPr>
          <w:lang w:val="es-CR" w:eastAsia="es-CR"/>
        </w:rPr>
        <w:t xml:space="preserve">Según Suerth (2017), IPD fomenta un entorno de trabajo más integrado, donde las decisiones se toman considerando el impacto global en el proyecto. Es particularmente útil para proyectos complejos y de alta incertidumbre, donde se requiere flexibilidad y agilidad. El uso de </w:t>
      </w:r>
      <w:r w:rsidRPr="002575F0">
        <w:rPr>
          <w:lang w:val="es-CR" w:eastAsia="es-CR"/>
        </w:rPr>
        <w:lastRenderedPageBreak/>
        <w:t>tecnología BIM y herramientas de gestión colaborativa, como las reuniones diarias de Pull Planning, potencia los beneficios de este modelo.</w:t>
      </w:r>
    </w:p>
    <w:p w14:paraId="2D7FDAB7" w14:textId="59D92481" w:rsidR="002575F0" w:rsidRPr="002575F0" w:rsidRDefault="002575F0" w:rsidP="00E364CE">
      <w:pPr>
        <w:pStyle w:val="APA"/>
        <w:rPr>
          <w:lang w:val="es-CR" w:eastAsia="es-CR"/>
        </w:rPr>
      </w:pPr>
      <w:r w:rsidRPr="002575F0">
        <w:rPr>
          <w:lang w:val="es-CR" w:eastAsia="es-CR"/>
        </w:rPr>
        <w:t xml:space="preserve">En Contract Workplaces y </w:t>
      </w:r>
      <w:r w:rsidR="002B0AE1">
        <w:rPr>
          <w:lang w:val="es-CR" w:eastAsia="es-CR"/>
        </w:rPr>
        <w:t xml:space="preserve">los </w:t>
      </w:r>
      <w:r w:rsidRPr="002575F0">
        <w:rPr>
          <w:lang w:val="es-CR" w:eastAsia="es-CR"/>
        </w:rPr>
        <w:t>proyectos</w:t>
      </w:r>
      <w:r w:rsidR="002B0AE1">
        <w:rPr>
          <w:lang w:val="es-CR" w:eastAsia="es-CR"/>
        </w:rPr>
        <w:t xml:space="preserve"> de</w:t>
      </w:r>
      <w:r w:rsidRPr="002575F0">
        <w:rPr>
          <w:lang w:val="es-CR" w:eastAsia="es-CR"/>
        </w:rPr>
        <w:t xml:space="preserve"> Design &amp; Build, donde la integración entre diseño y </w:t>
      </w:r>
      <w:r w:rsidR="002B0AE1">
        <w:rPr>
          <w:lang w:val="es-CR" w:eastAsia="es-CR"/>
        </w:rPr>
        <w:t xml:space="preserve">la </w:t>
      </w:r>
      <w:r w:rsidRPr="002575F0">
        <w:rPr>
          <w:lang w:val="es-CR" w:eastAsia="es-CR"/>
        </w:rPr>
        <w:t xml:space="preserve">construcción es crítica, los enfoques Lean </w:t>
      </w:r>
      <w:r w:rsidR="006940D4">
        <w:rPr>
          <w:lang w:val="es-CR" w:eastAsia="es-CR"/>
        </w:rPr>
        <w:t>y</w:t>
      </w:r>
      <w:r w:rsidRPr="002575F0">
        <w:rPr>
          <w:lang w:val="es-CR" w:eastAsia="es-CR"/>
        </w:rPr>
        <w:t xml:space="preserve"> IPD ofrecen</w:t>
      </w:r>
      <w:r w:rsidR="002B0AE1">
        <w:rPr>
          <w:lang w:val="es-CR" w:eastAsia="es-CR"/>
        </w:rPr>
        <w:t xml:space="preserve"> muchas</w:t>
      </w:r>
      <w:r w:rsidRPr="002575F0">
        <w:rPr>
          <w:lang w:val="es-CR" w:eastAsia="es-CR"/>
        </w:rPr>
        <w:t xml:space="preserve"> ventajas significativas frente al modelo tradicional del PMI. La incorporación de principios de flujo, colaboración temprana, reducción de desperdicios y toma de decisiones compartida puede mejorar sustancialmente la eficiencia operativa y la calidad de los entregables.</w:t>
      </w:r>
    </w:p>
    <w:p w14:paraId="1CF66E22" w14:textId="77777777" w:rsidR="002575F0" w:rsidRPr="002575F0" w:rsidRDefault="002575F0" w:rsidP="00E364CE">
      <w:pPr>
        <w:pStyle w:val="APA"/>
        <w:rPr>
          <w:lang w:val="es-CR" w:eastAsia="es-CR"/>
        </w:rPr>
      </w:pPr>
      <w:r w:rsidRPr="002575F0">
        <w:rPr>
          <w:lang w:val="es-CR" w:eastAsia="es-CR"/>
        </w:rPr>
        <w:t>Sin embargo, como señala Kerzner (2017), no existe una única metodología óptima. La clave está en adaptar los principios de cada enfoque a las características específicas del proyecto y al nivel de madurez de la organización. Por ello, se propone en los siguientes apartados una síntesis metodológica que combine lo mejor de cada enfoque en un nuevo flujo de trabajo adecuado al entorno local.</w:t>
      </w:r>
    </w:p>
    <w:p w14:paraId="2A007DE2" w14:textId="7C3FF6D3" w:rsidR="00D87210" w:rsidRPr="00237B6D" w:rsidRDefault="0046720B" w:rsidP="00237B6D">
      <w:pPr>
        <w:pStyle w:val="Ttulo3"/>
      </w:pPr>
      <w:bookmarkStart w:id="85" w:name="_Toc212406377"/>
      <w:r>
        <w:rPr>
          <w:rStyle w:val="Ttulo3Car"/>
          <w:b/>
          <w:bCs/>
        </w:rPr>
        <w:t xml:space="preserve">4.2.2 </w:t>
      </w:r>
      <w:r w:rsidR="00556015" w:rsidRPr="00237B6D">
        <w:t>Cuadro comparativo de herramientas y enfoques</w:t>
      </w:r>
      <w:bookmarkEnd w:id="85"/>
      <w:r w:rsidR="00556015">
        <w:t xml:space="preserve"> </w:t>
      </w:r>
      <w:bookmarkStart w:id="86" w:name="_Toc204511377"/>
      <w:bookmarkStart w:id="87" w:name="_Toc204511717"/>
      <w:bookmarkStart w:id="88" w:name="_Toc204511851"/>
      <w:bookmarkStart w:id="89" w:name="_Toc204512385"/>
      <w:bookmarkStart w:id="90" w:name="_Toc204512444"/>
      <w:bookmarkStart w:id="91" w:name="_Toc204512542"/>
      <w:bookmarkEnd w:id="86"/>
      <w:bookmarkEnd w:id="87"/>
      <w:bookmarkEnd w:id="88"/>
      <w:bookmarkEnd w:id="89"/>
      <w:bookmarkEnd w:id="90"/>
      <w:bookmarkEnd w:id="91"/>
    </w:p>
    <w:p w14:paraId="4666C543" w14:textId="190652F9" w:rsidR="00045717" w:rsidRDefault="00045717" w:rsidP="00045717">
      <w:pPr>
        <w:pStyle w:val="APA"/>
      </w:pPr>
      <w:r>
        <w:t>E</w:t>
      </w:r>
      <w:r w:rsidRPr="00237B6D">
        <w:t>ste apartado presenta un análisis comparativo entre tres enfoques predominantes: PMI, Lean Construction e Integrated Project Delivery (IPD), tomando como base sus herramientas clave, su filosofía operativa y su aplicabilidad en proyectos de oficinas corporativas.</w:t>
      </w:r>
    </w:p>
    <w:p w14:paraId="405D3086" w14:textId="77777777" w:rsidR="00045717" w:rsidRDefault="00045717">
      <w:pPr>
        <w:pStyle w:val="APA"/>
        <w:ind w:firstLine="0"/>
      </w:pPr>
    </w:p>
    <w:p w14:paraId="250C446C" w14:textId="77777777" w:rsidR="006940D4" w:rsidRDefault="006940D4">
      <w:pPr>
        <w:pStyle w:val="APA"/>
        <w:ind w:firstLine="0"/>
      </w:pPr>
    </w:p>
    <w:p w14:paraId="6FD11102" w14:textId="77777777" w:rsidR="006940D4" w:rsidRDefault="006940D4">
      <w:pPr>
        <w:pStyle w:val="APA"/>
        <w:ind w:firstLine="0"/>
      </w:pPr>
    </w:p>
    <w:p w14:paraId="1DA61161" w14:textId="77777777" w:rsidR="0065093F" w:rsidRDefault="0065093F">
      <w:pPr>
        <w:pStyle w:val="APA"/>
        <w:ind w:firstLine="0"/>
      </w:pPr>
    </w:p>
    <w:p w14:paraId="6161CE59" w14:textId="77777777" w:rsidR="0027503E" w:rsidRDefault="0027503E">
      <w:pPr>
        <w:pStyle w:val="APA"/>
        <w:ind w:firstLine="0"/>
      </w:pPr>
    </w:p>
    <w:p w14:paraId="3782CA86" w14:textId="77777777" w:rsidR="0027503E" w:rsidRDefault="0027503E">
      <w:pPr>
        <w:pStyle w:val="APA"/>
        <w:ind w:firstLine="0"/>
      </w:pPr>
    </w:p>
    <w:p w14:paraId="315B1F9D" w14:textId="77777777" w:rsidR="0027503E" w:rsidRDefault="0027503E">
      <w:pPr>
        <w:pStyle w:val="APA"/>
        <w:ind w:firstLine="0"/>
      </w:pPr>
    </w:p>
    <w:p w14:paraId="548D9A1F" w14:textId="77777777" w:rsidR="006940D4" w:rsidRDefault="006940D4" w:rsidP="00237B6D">
      <w:pPr>
        <w:pStyle w:val="APA"/>
        <w:ind w:firstLine="0"/>
      </w:pPr>
    </w:p>
    <w:p w14:paraId="3451BE19" w14:textId="21714BB2" w:rsidR="00DA17D3" w:rsidRDefault="00DA17D3" w:rsidP="00DA17D3">
      <w:pPr>
        <w:pBdr>
          <w:top w:val="nil"/>
          <w:left w:val="nil"/>
          <w:bottom w:val="nil"/>
          <w:right w:val="nil"/>
          <w:between w:val="nil"/>
        </w:pBdr>
        <w:spacing w:after="200"/>
        <w:ind w:firstLine="0"/>
        <w:rPr>
          <w:b/>
          <w:color w:val="000000"/>
        </w:rPr>
      </w:pPr>
      <w:bookmarkStart w:id="92" w:name="_Toc210425795"/>
      <w:r w:rsidRPr="00237B6D">
        <w:rPr>
          <w:b/>
          <w:color w:val="000000"/>
        </w:rPr>
        <w:lastRenderedPageBreak/>
        <w:t xml:space="preserve">Tabla </w:t>
      </w:r>
      <w:r w:rsidRPr="00237B6D">
        <w:rPr>
          <w:b/>
          <w:color w:val="000000"/>
        </w:rPr>
        <w:fldChar w:fldCharType="begin"/>
      </w:r>
      <w:r w:rsidRPr="00237B6D">
        <w:rPr>
          <w:b/>
          <w:color w:val="000000"/>
        </w:rPr>
        <w:instrText xml:space="preserve"> SEQ Tabla \* ARABIC </w:instrText>
      </w:r>
      <w:r w:rsidRPr="00237B6D">
        <w:rPr>
          <w:b/>
          <w:color w:val="000000"/>
        </w:rPr>
        <w:fldChar w:fldCharType="separate"/>
      </w:r>
      <w:r w:rsidR="00795FC2">
        <w:rPr>
          <w:b/>
          <w:noProof/>
          <w:color w:val="000000"/>
        </w:rPr>
        <w:t>8</w:t>
      </w:r>
      <w:bookmarkEnd w:id="92"/>
      <w:r w:rsidRPr="00237B6D">
        <w:rPr>
          <w:b/>
          <w:color w:val="000000"/>
        </w:rPr>
        <w:fldChar w:fldCharType="end"/>
      </w:r>
    </w:p>
    <w:p w14:paraId="4633FBD8" w14:textId="48965B19" w:rsidR="00DA17D3" w:rsidRPr="00237B6D" w:rsidRDefault="00DA17D3" w:rsidP="00237B6D">
      <w:pPr>
        <w:pBdr>
          <w:top w:val="nil"/>
          <w:left w:val="nil"/>
          <w:bottom w:val="nil"/>
          <w:right w:val="nil"/>
          <w:between w:val="nil"/>
        </w:pBdr>
        <w:spacing w:after="200"/>
        <w:ind w:firstLine="0"/>
        <w:rPr>
          <w:bCs/>
          <w:i/>
          <w:iCs/>
          <w:color w:val="000000"/>
        </w:rPr>
      </w:pPr>
      <w:r w:rsidRPr="00DA17D3">
        <w:rPr>
          <w:bCs/>
          <w:i/>
          <w:iCs/>
          <w:color w:val="000000"/>
        </w:rPr>
        <w:t>Herramientas representativas por enfoque</w:t>
      </w:r>
    </w:p>
    <w:tbl>
      <w:tblPr>
        <w:tblStyle w:val="Tablaconcuadrcula"/>
        <w:tblW w:w="0" w:type="auto"/>
        <w:tblLook w:val="04A0" w:firstRow="1" w:lastRow="0" w:firstColumn="1" w:lastColumn="0" w:noHBand="0" w:noVBand="1"/>
      </w:tblPr>
      <w:tblGrid>
        <w:gridCol w:w="2338"/>
        <w:gridCol w:w="2338"/>
        <w:gridCol w:w="2338"/>
        <w:gridCol w:w="2338"/>
      </w:tblGrid>
      <w:tr w:rsidR="00045717" w14:paraId="3D33CC7D" w14:textId="77777777" w:rsidTr="00237B6D">
        <w:tc>
          <w:tcPr>
            <w:tcW w:w="2338" w:type="dxa"/>
            <w:shd w:val="clear" w:color="auto" w:fill="D9D9D9" w:themeFill="background1" w:themeFillShade="D9"/>
          </w:tcPr>
          <w:p w14:paraId="1895F36D" w14:textId="4F30E7B9" w:rsidR="00045717" w:rsidRPr="00237B6D" w:rsidRDefault="00DA17D3" w:rsidP="00237B6D">
            <w:pPr>
              <w:pStyle w:val="APA"/>
              <w:ind w:firstLine="0"/>
              <w:jc w:val="center"/>
              <w:rPr>
                <w:b/>
                <w:bCs/>
              </w:rPr>
            </w:pPr>
            <w:r w:rsidRPr="00DA17D3">
              <w:rPr>
                <w:b/>
                <w:bCs/>
              </w:rPr>
              <w:t>Categoría</w:t>
            </w:r>
          </w:p>
        </w:tc>
        <w:tc>
          <w:tcPr>
            <w:tcW w:w="2338" w:type="dxa"/>
            <w:shd w:val="clear" w:color="auto" w:fill="D9D9D9" w:themeFill="background1" w:themeFillShade="D9"/>
          </w:tcPr>
          <w:p w14:paraId="4BA85338" w14:textId="1D1EEBA9" w:rsidR="00045717" w:rsidRPr="00237B6D" w:rsidRDefault="00DA17D3" w:rsidP="00237B6D">
            <w:pPr>
              <w:pStyle w:val="APA"/>
              <w:ind w:firstLine="0"/>
              <w:jc w:val="center"/>
              <w:rPr>
                <w:b/>
                <w:bCs/>
              </w:rPr>
            </w:pPr>
            <w:r w:rsidRPr="00237B6D">
              <w:rPr>
                <w:b/>
                <w:bCs/>
              </w:rPr>
              <w:t>PMI</w:t>
            </w:r>
          </w:p>
        </w:tc>
        <w:tc>
          <w:tcPr>
            <w:tcW w:w="2338" w:type="dxa"/>
            <w:shd w:val="clear" w:color="auto" w:fill="D9D9D9" w:themeFill="background1" w:themeFillShade="D9"/>
          </w:tcPr>
          <w:p w14:paraId="138D7525" w14:textId="7129F64C" w:rsidR="00045717" w:rsidRPr="00750109" w:rsidRDefault="00DA17D3" w:rsidP="00237B6D">
            <w:pPr>
              <w:pStyle w:val="APA"/>
              <w:ind w:firstLine="0"/>
              <w:jc w:val="center"/>
              <w:rPr>
                <w:b/>
                <w:bCs/>
                <w:i/>
                <w:iCs/>
              </w:rPr>
            </w:pPr>
            <w:r w:rsidRPr="00750109">
              <w:rPr>
                <w:b/>
                <w:bCs/>
                <w:i/>
                <w:iCs/>
              </w:rPr>
              <w:t>Lean Construction</w:t>
            </w:r>
          </w:p>
        </w:tc>
        <w:tc>
          <w:tcPr>
            <w:tcW w:w="2338" w:type="dxa"/>
            <w:shd w:val="clear" w:color="auto" w:fill="D9D9D9" w:themeFill="background1" w:themeFillShade="D9"/>
          </w:tcPr>
          <w:p w14:paraId="34D3D233" w14:textId="2690DEC6" w:rsidR="00045717" w:rsidRPr="00237B6D" w:rsidRDefault="00DA17D3" w:rsidP="00237B6D">
            <w:pPr>
              <w:pStyle w:val="APA"/>
              <w:ind w:firstLine="0"/>
              <w:jc w:val="center"/>
              <w:rPr>
                <w:b/>
                <w:bCs/>
              </w:rPr>
            </w:pPr>
            <w:r w:rsidRPr="00750109">
              <w:rPr>
                <w:b/>
                <w:bCs/>
                <w:i/>
                <w:iCs/>
              </w:rPr>
              <w:t>Integrated Project Delivery</w:t>
            </w:r>
            <w:r w:rsidRPr="00DA17D3">
              <w:rPr>
                <w:b/>
                <w:bCs/>
              </w:rPr>
              <w:t xml:space="preserve"> (IPD)</w:t>
            </w:r>
          </w:p>
        </w:tc>
      </w:tr>
      <w:tr w:rsidR="00045717" w:rsidRPr="000178D1" w14:paraId="294DDBE2" w14:textId="77777777" w:rsidTr="00237B6D">
        <w:tc>
          <w:tcPr>
            <w:tcW w:w="2338" w:type="dxa"/>
            <w:shd w:val="clear" w:color="auto" w:fill="D9D9D9" w:themeFill="background1" w:themeFillShade="D9"/>
          </w:tcPr>
          <w:p w14:paraId="0738A8B6" w14:textId="0738092C" w:rsidR="00045717" w:rsidRPr="00237B6D" w:rsidRDefault="00DA17D3" w:rsidP="00045717">
            <w:pPr>
              <w:pStyle w:val="APA"/>
              <w:ind w:firstLine="0"/>
              <w:rPr>
                <w:sz w:val="20"/>
                <w:szCs w:val="20"/>
              </w:rPr>
            </w:pPr>
            <w:r w:rsidRPr="00237B6D">
              <w:rPr>
                <w:sz w:val="20"/>
                <w:szCs w:val="20"/>
              </w:rPr>
              <w:t>Herramientas de planificación</w:t>
            </w:r>
          </w:p>
        </w:tc>
        <w:tc>
          <w:tcPr>
            <w:tcW w:w="2338" w:type="dxa"/>
          </w:tcPr>
          <w:p w14:paraId="23AD04AB" w14:textId="04EE48CB" w:rsidR="00045717" w:rsidRPr="00237B6D" w:rsidRDefault="00DA17D3" w:rsidP="00045717">
            <w:pPr>
              <w:pStyle w:val="APA"/>
              <w:ind w:firstLine="0"/>
              <w:rPr>
                <w:sz w:val="20"/>
                <w:szCs w:val="20"/>
              </w:rPr>
            </w:pPr>
            <w:r w:rsidRPr="00237B6D">
              <w:rPr>
                <w:sz w:val="20"/>
                <w:szCs w:val="20"/>
              </w:rPr>
              <w:t>EDT, cronograma Gantt, línea base</w:t>
            </w:r>
          </w:p>
        </w:tc>
        <w:tc>
          <w:tcPr>
            <w:tcW w:w="2338" w:type="dxa"/>
          </w:tcPr>
          <w:p w14:paraId="3F98D097" w14:textId="6976B486" w:rsidR="00045717" w:rsidRPr="0098201D" w:rsidRDefault="00130513" w:rsidP="00045717">
            <w:pPr>
              <w:pStyle w:val="APA"/>
              <w:ind w:firstLine="0"/>
              <w:rPr>
                <w:sz w:val="20"/>
                <w:szCs w:val="20"/>
                <w:lang w:val="da-DK"/>
              </w:rPr>
            </w:pPr>
            <w:r w:rsidRPr="0098201D">
              <w:rPr>
                <w:sz w:val="20"/>
                <w:szCs w:val="20"/>
                <w:lang w:val="da-DK"/>
              </w:rPr>
              <w:t>Last Planner System, Takt Planning, Heijunka</w:t>
            </w:r>
          </w:p>
        </w:tc>
        <w:tc>
          <w:tcPr>
            <w:tcW w:w="2338" w:type="dxa"/>
          </w:tcPr>
          <w:p w14:paraId="6486FABC" w14:textId="1B5951C3" w:rsidR="00045717" w:rsidRPr="0098201D" w:rsidRDefault="00130513" w:rsidP="00045717">
            <w:pPr>
              <w:pStyle w:val="APA"/>
              <w:ind w:firstLine="0"/>
              <w:rPr>
                <w:sz w:val="20"/>
                <w:szCs w:val="20"/>
                <w:lang w:val="da-DK"/>
              </w:rPr>
            </w:pPr>
            <w:r w:rsidRPr="0098201D">
              <w:rPr>
                <w:sz w:val="20"/>
                <w:szCs w:val="20"/>
                <w:lang w:val="da-DK"/>
              </w:rPr>
              <w:t>BIM colaborativo, Pull Planning, Big Room Meetings</w:t>
            </w:r>
          </w:p>
        </w:tc>
      </w:tr>
      <w:tr w:rsidR="00045717" w:rsidRPr="00130513" w14:paraId="33E9D2BB" w14:textId="77777777" w:rsidTr="00237B6D">
        <w:tc>
          <w:tcPr>
            <w:tcW w:w="2338" w:type="dxa"/>
            <w:shd w:val="clear" w:color="auto" w:fill="D9D9D9" w:themeFill="background1" w:themeFillShade="D9"/>
          </w:tcPr>
          <w:p w14:paraId="2AF941EC" w14:textId="2B226CA8" w:rsidR="00045717" w:rsidRPr="00237B6D" w:rsidRDefault="00DA17D3" w:rsidP="00045717">
            <w:pPr>
              <w:pStyle w:val="APA"/>
              <w:ind w:firstLine="0"/>
              <w:rPr>
                <w:sz w:val="20"/>
                <w:szCs w:val="20"/>
              </w:rPr>
            </w:pPr>
            <w:r w:rsidRPr="00237B6D">
              <w:rPr>
                <w:sz w:val="20"/>
                <w:szCs w:val="20"/>
              </w:rPr>
              <w:t>Gestión de calidad</w:t>
            </w:r>
          </w:p>
        </w:tc>
        <w:tc>
          <w:tcPr>
            <w:tcW w:w="2338" w:type="dxa"/>
          </w:tcPr>
          <w:p w14:paraId="3762C5E3" w14:textId="1A560CD2" w:rsidR="00045717" w:rsidRPr="00237B6D" w:rsidRDefault="00130513" w:rsidP="00045717">
            <w:pPr>
              <w:pStyle w:val="APA"/>
              <w:ind w:firstLine="0"/>
              <w:rPr>
                <w:sz w:val="20"/>
                <w:szCs w:val="20"/>
              </w:rPr>
            </w:pPr>
            <w:r w:rsidRPr="00130513">
              <w:rPr>
                <w:sz w:val="20"/>
                <w:szCs w:val="20"/>
              </w:rPr>
              <w:t>Plan de calidad, auditorías</w:t>
            </w:r>
          </w:p>
        </w:tc>
        <w:tc>
          <w:tcPr>
            <w:tcW w:w="2338" w:type="dxa"/>
          </w:tcPr>
          <w:p w14:paraId="634E766C" w14:textId="0ABCCDF7" w:rsidR="00045717" w:rsidRPr="00237B6D" w:rsidRDefault="00130513" w:rsidP="00045717">
            <w:pPr>
              <w:pStyle w:val="APA"/>
              <w:ind w:firstLine="0"/>
              <w:rPr>
                <w:sz w:val="20"/>
                <w:szCs w:val="20"/>
              </w:rPr>
            </w:pPr>
            <w:r w:rsidRPr="00130513">
              <w:rPr>
                <w:sz w:val="20"/>
                <w:szCs w:val="20"/>
              </w:rPr>
              <w:t>5S, control visual, retroalimentación continua</w:t>
            </w:r>
          </w:p>
        </w:tc>
        <w:tc>
          <w:tcPr>
            <w:tcW w:w="2338" w:type="dxa"/>
          </w:tcPr>
          <w:p w14:paraId="5421E8B9" w14:textId="3765C88A" w:rsidR="00045717" w:rsidRPr="00237B6D" w:rsidRDefault="00130513" w:rsidP="00045717">
            <w:pPr>
              <w:pStyle w:val="APA"/>
              <w:ind w:firstLine="0"/>
              <w:rPr>
                <w:sz w:val="20"/>
                <w:szCs w:val="20"/>
              </w:rPr>
            </w:pPr>
            <w:r w:rsidRPr="00750109">
              <w:rPr>
                <w:i/>
                <w:iCs/>
                <w:sz w:val="20"/>
                <w:szCs w:val="20"/>
              </w:rPr>
              <w:t>Target Value Design</w:t>
            </w:r>
            <w:r w:rsidRPr="00130513">
              <w:rPr>
                <w:sz w:val="20"/>
                <w:szCs w:val="20"/>
              </w:rPr>
              <w:t xml:space="preserve"> (TVD), gestión de valor</w:t>
            </w:r>
          </w:p>
        </w:tc>
      </w:tr>
      <w:tr w:rsidR="00045717" w:rsidRPr="00130513" w14:paraId="33898C80" w14:textId="77777777" w:rsidTr="00237B6D">
        <w:tc>
          <w:tcPr>
            <w:tcW w:w="2338" w:type="dxa"/>
            <w:shd w:val="clear" w:color="auto" w:fill="D9D9D9" w:themeFill="background1" w:themeFillShade="D9"/>
          </w:tcPr>
          <w:p w14:paraId="2C461B63" w14:textId="0A6585BA" w:rsidR="00045717" w:rsidRPr="00237B6D" w:rsidRDefault="00DA17D3" w:rsidP="00045717">
            <w:pPr>
              <w:pStyle w:val="APA"/>
              <w:ind w:firstLine="0"/>
              <w:rPr>
                <w:sz w:val="20"/>
                <w:szCs w:val="20"/>
              </w:rPr>
            </w:pPr>
            <w:r w:rsidRPr="00237B6D">
              <w:rPr>
                <w:sz w:val="20"/>
                <w:szCs w:val="20"/>
              </w:rPr>
              <w:t>Control y seguimiento</w:t>
            </w:r>
          </w:p>
        </w:tc>
        <w:tc>
          <w:tcPr>
            <w:tcW w:w="2338" w:type="dxa"/>
          </w:tcPr>
          <w:p w14:paraId="18957B6F" w14:textId="6E0EDA60" w:rsidR="00045717" w:rsidRPr="00237B6D" w:rsidRDefault="00130513" w:rsidP="00045717">
            <w:pPr>
              <w:pStyle w:val="APA"/>
              <w:ind w:firstLine="0"/>
              <w:rPr>
                <w:sz w:val="20"/>
                <w:szCs w:val="20"/>
              </w:rPr>
            </w:pPr>
            <w:r w:rsidRPr="00130513">
              <w:rPr>
                <w:sz w:val="20"/>
                <w:szCs w:val="20"/>
              </w:rPr>
              <w:t>Curvas S, indicadores KPI</w:t>
            </w:r>
          </w:p>
        </w:tc>
        <w:tc>
          <w:tcPr>
            <w:tcW w:w="2338" w:type="dxa"/>
          </w:tcPr>
          <w:p w14:paraId="39AD1C54" w14:textId="5185B2A1" w:rsidR="00045717" w:rsidRPr="00237B6D" w:rsidRDefault="00130513" w:rsidP="00045717">
            <w:pPr>
              <w:pStyle w:val="APA"/>
              <w:ind w:firstLine="0"/>
              <w:rPr>
                <w:sz w:val="20"/>
                <w:szCs w:val="20"/>
              </w:rPr>
            </w:pPr>
            <w:r w:rsidRPr="00130513">
              <w:rPr>
                <w:sz w:val="20"/>
                <w:szCs w:val="20"/>
              </w:rPr>
              <w:t>Tableros Kanban, planificación visual</w:t>
            </w:r>
          </w:p>
        </w:tc>
        <w:tc>
          <w:tcPr>
            <w:tcW w:w="2338" w:type="dxa"/>
          </w:tcPr>
          <w:p w14:paraId="41249589" w14:textId="3484C88C" w:rsidR="00045717" w:rsidRPr="00237B6D" w:rsidRDefault="00130513" w:rsidP="00045717">
            <w:pPr>
              <w:pStyle w:val="APA"/>
              <w:ind w:firstLine="0"/>
              <w:rPr>
                <w:sz w:val="20"/>
                <w:szCs w:val="20"/>
              </w:rPr>
            </w:pPr>
            <w:r w:rsidRPr="00130513">
              <w:rPr>
                <w:sz w:val="20"/>
                <w:szCs w:val="20"/>
                <w:lang w:val="es-CR"/>
              </w:rPr>
              <w:t>Métricas integradas, sesiones de evaluación conjunta</w:t>
            </w:r>
          </w:p>
        </w:tc>
      </w:tr>
      <w:tr w:rsidR="00045717" w:rsidRPr="00130513" w14:paraId="4656EF27" w14:textId="77777777" w:rsidTr="00237B6D">
        <w:tc>
          <w:tcPr>
            <w:tcW w:w="2338" w:type="dxa"/>
            <w:shd w:val="clear" w:color="auto" w:fill="D9D9D9" w:themeFill="background1" w:themeFillShade="D9"/>
          </w:tcPr>
          <w:p w14:paraId="3EDFDB46" w14:textId="502C2CB8" w:rsidR="00045717" w:rsidRPr="00237B6D" w:rsidRDefault="00DA17D3" w:rsidP="00045717">
            <w:pPr>
              <w:pStyle w:val="APA"/>
              <w:ind w:firstLine="0"/>
              <w:rPr>
                <w:sz w:val="20"/>
                <w:szCs w:val="20"/>
              </w:rPr>
            </w:pPr>
            <w:r w:rsidRPr="00237B6D">
              <w:rPr>
                <w:sz w:val="20"/>
                <w:szCs w:val="20"/>
              </w:rPr>
              <w:t>Rol del cliente</w:t>
            </w:r>
          </w:p>
        </w:tc>
        <w:tc>
          <w:tcPr>
            <w:tcW w:w="2338" w:type="dxa"/>
          </w:tcPr>
          <w:p w14:paraId="2CEBDEED" w14:textId="6056D92B" w:rsidR="00045717" w:rsidRPr="00237B6D" w:rsidRDefault="00130513" w:rsidP="00045717">
            <w:pPr>
              <w:pStyle w:val="APA"/>
              <w:ind w:firstLine="0"/>
              <w:rPr>
                <w:sz w:val="20"/>
                <w:szCs w:val="20"/>
              </w:rPr>
            </w:pPr>
            <w:r w:rsidRPr="00130513">
              <w:rPr>
                <w:sz w:val="20"/>
                <w:szCs w:val="20"/>
              </w:rPr>
              <w:t>Participación puntual en la definición</w:t>
            </w:r>
          </w:p>
        </w:tc>
        <w:tc>
          <w:tcPr>
            <w:tcW w:w="2338" w:type="dxa"/>
          </w:tcPr>
          <w:p w14:paraId="6FD40369" w14:textId="5A249BB7" w:rsidR="00045717" w:rsidRPr="00237B6D" w:rsidRDefault="00130513" w:rsidP="00045717">
            <w:pPr>
              <w:pStyle w:val="APA"/>
              <w:ind w:firstLine="0"/>
              <w:rPr>
                <w:sz w:val="20"/>
                <w:szCs w:val="20"/>
              </w:rPr>
            </w:pPr>
            <w:r w:rsidRPr="00130513">
              <w:rPr>
                <w:sz w:val="20"/>
                <w:szCs w:val="20"/>
              </w:rPr>
              <w:t>Participación continua en definición de valor</w:t>
            </w:r>
          </w:p>
        </w:tc>
        <w:tc>
          <w:tcPr>
            <w:tcW w:w="233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30513" w:rsidRPr="00130513" w14:paraId="18EBBA61" w14:textId="77777777" w:rsidTr="00130513">
              <w:trPr>
                <w:tblCellSpacing w:w="15" w:type="dxa"/>
              </w:trPr>
              <w:tc>
                <w:tcPr>
                  <w:tcW w:w="0" w:type="auto"/>
                  <w:vAlign w:val="center"/>
                  <w:hideMark/>
                </w:tcPr>
                <w:p w14:paraId="0DA89F16" w14:textId="77777777" w:rsidR="00130513" w:rsidRPr="00130513" w:rsidRDefault="00130513" w:rsidP="00130513">
                  <w:pPr>
                    <w:pStyle w:val="APA"/>
                    <w:rPr>
                      <w:sz w:val="20"/>
                      <w:szCs w:val="20"/>
                      <w:lang w:val="es-CR"/>
                    </w:rPr>
                  </w:pPr>
                </w:p>
              </w:tc>
            </w:tr>
          </w:tbl>
          <w:p w14:paraId="2659D53C" w14:textId="77777777" w:rsidR="00130513" w:rsidRPr="00130513" w:rsidRDefault="00130513" w:rsidP="00130513">
            <w:pPr>
              <w:pStyle w:val="APA"/>
              <w:rPr>
                <w:vanish/>
                <w:sz w:val="20"/>
                <w:szCs w:val="20"/>
                <w:lang w:val="es-C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22"/>
            </w:tblGrid>
            <w:tr w:rsidR="00130513" w:rsidRPr="00130513" w14:paraId="076BF20D" w14:textId="77777777" w:rsidTr="00130513">
              <w:trPr>
                <w:tblCellSpacing w:w="15" w:type="dxa"/>
              </w:trPr>
              <w:tc>
                <w:tcPr>
                  <w:tcW w:w="0" w:type="auto"/>
                  <w:vAlign w:val="center"/>
                  <w:hideMark/>
                </w:tcPr>
                <w:p w14:paraId="5F5628E6" w14:textId="3B192DA7" w:rsidR="00130513" w:rsidRPr="00130513" w:rsidRDefault="00626A16" w:rsidP="00237B6D">
                  <w:pPr>
                    <w:pStyle w:val="APA"/>
                    <w:ind w:firstLine="0"/>
                    <w:rPr>
                      <w:sz w:val="20"/>
                      <w:szCs w:val="20"/>
                      <w:lang w:val="es-CR"/>
                    </w:rPr>
                  </w:pPr>
                  <w:r w:rsidRPr="00626A16">
                    <w:rPr>
                      <w:sz w:val="20"/>
                      <w:szCs w:val="20"/>
                    </w:rPr>
                    <w:t>El cliente se involucra activamente durante todo el ciclo de desarrollo del proyec</w:t>
                  </w:r>
                  <w:r w:rsidR="00217E41">
                    <w:rPr>
                      <w:sz w:val="20"/>
                      <w:szCs w:val="20"/>
                    </w:rPr>
                    <w:t>to</w:t>
                  </w:r>
                </w:p>
              </w:tc>
            </w:tr>
          </w:tbl>
          <w:p w14:paraId="3393C0C4" w14:textId="77777777" w:rsidR="00045717" w:rsidRPr="00237B6D" w:rsidRDefault="00045717" w:rsidP="00045717">
            <w:pPr>
              <w:pStyle w:val="APA"/>
              <w:ind w:firstLine="0"/>
              <w:rPr>
                <w:sz w:val="20"/>
                <w:szCs w:val="20"/>
              </w:rPr>
            </w:pPr>
          </w:p>
        </w:tc>
      </w:tr>
      <w:tr w:rsidR="00045717" w:rsidRPr="00130513" w14:paraId="1684188A" w14:textId="77777777" w:rsidTr="00237B6D">
        <w:tc>
          <w:tcPr>
            <w:tcW w:w="2338" w:type="dxa"/>
            <w:shd w:val="clear" w:color="auto" w:fill="D9D9D9" w:themeFill="background1" w:themeFillShade="D9"/>
          </w:tcPr>
          <w:p w14:paraId="10217DBE" w14:textId="29910117" w:rsidR="00045717" w:rsidRPr="00237B6D" w:rsidRDefault="00DA17D3" w:rsidP="00045717">
            <w:pPr>
              <w:pStyle w:val="APA"/>
              <w:ind w:firstLine="0"/>
              <w:rPr>
                <w:sz w:val="20"/>
                <w:szCs w:val="20"/>
              </w:rPr>
            </w:pPr>
            <w:r w:rsidRPr="00237B6D">
              <w:rPr>
                <w:sz w:val="20"/>
                <w:szCs w:val="20"/>
              </w:rPr>
              <w:t>Gestión de riesgos</w:t>
            </w:r>
          </w:p>
        </w:tc>
        <w:tc>
          <w:tcPr>
            <w:tcW w:w="2338" w:type="dxa"/>
          </w:tcPr>
          <w:p w14:paraId="6FE19BF1" w14:textId="136D3AB3" w:rsidR="00045717" w:rsidRPr="00237B6D" w:rsidRDefault="00130513" w:rsidP="00045717">
            <w:pPr>
              <w:pStyle w:val="APA"/>
              <w:ind w:firstLine="0"/>
              <w:rPr>
                <w:sz w:val="20"/>
                <w:szCs w:val="20"/>
              </w:rPr>
            </w:pPr>
            <w:r w:rsidRPr="00130513">
              <w:rPr>
                <w:sz w:val="20"/>
                <w:szCs w:val="20"/>
              </w:rPr>
              <w:t>Matriz cualitativa y cuantitativa</w:t>
            </w:r>
          </w:p>
        </w:tc>
        <w:tc>
          <w:tcPr>
            <w:tcW w:w="2338" w:type="dxa"/>
          </w:tcPr>
          <w:p w14:paraId="3D28560D" w14:textId="171519EB" w:rsidR="00045717" w:rsidRPr="00237B6D" w:rsidRDefault="00130513" w:rsidP="00045717">
            <w:pPr>
              <w:pStyle w:val="APA"/>
              <w:ind w:firstLine="0"/>
              <w:rPr>
                <w:sz w:val="20"/>
                <w:szCs w:val="20"/>
              </w:rPr>
            </w:pPr>
            <w:r w:rsidRPr="00130513">
              <w:rPr>
                <w:sz w:val="20"/>
                <w:szCs w:val="20"/>
              </w:rPr>
              <w:t>Eliminación de variabilidad y buffers innecesarios</w:t>
            </w:r>
          </w:p>
        </w:tc>
        <w:tc>
          <w:tcPr>
            <w:tcW w:w="2338" w:type="dxa"/>
          </w:tcPr>
          <w:p w14:paraId="4F7A00F8" w14:textId="7C0C61E3" w:rsidR="00045717" w:rsidRPr="00237B6D" w:rsidRDefault="00130513" w:rsidP="00045717">
            <w:pPr>
              <w:pStyle w:val="APA"/>
              <w:ind w:firstLine="0"/>
              <w:rPr>
                <w:sz w:val="20"/>
                <w:szCs w:val="20"/>
              </w:rPr>
            </w:pPr>
            <w:r w:rsidRPr="00130513">
              <w:rPr>
                <w:sz w:val="20"/>
                <w:szCs w:val="20"/>
              </w:rPr>
              <w:t>Riesgo compartido mediante contrato multilateral</w:t>
            </w:r>
          </w:p>
        </w:tc>
      </w:tr>
      <w:tr w:rsidR="00DA17D3" w:rsidRPr="00130513" w14:paraId="1B89F2A0" w14:textId="77777777" w:rsidTr="00237B6D">
        <w:tc>
          <w:tcPr>
            <w:tcW w:w="2338" w:type="dxa"/>
            <w:shd w:val="clear" w:color="auto" w:fill="D9D9D9" w:themeFill="background1" w:themeFillShade="D9"/>
          </w:tcPr>
          <w:p w14:paraId="3EB389EF" w14:textId="309C0684" w:rsidR="00DA17D3" w:rsidRPr="00237B6D" w:rsidRDefault="00DA17D3" w:rsidP="00045717">
            <w:pPr>
              <w:pStyle w:val="APA"/>
              <w:ind w:firstLine="0"/>
              <w:rPr>
                <w:sz w:val="20"/>
                <w:szCs w:val="20"/>
              </w:rPr>
            </w:pPr>
            <w:r w:rsidRPr="00237B6D">
              <w:rPr>
                <w:sz w:val="20"/>
                <w:szCs w:val="20"/>
              </w:rPr>
              <w:t>Cultura organizacional</w:t>
            </w:r>
          </w:p>
        </w:tc>
        <w:tc>
          <w:tcPr>
            <w:tcW w:w="2338" w:type="dxa"/>
          </w:tcPr>
          <w:p w14:paraId="08BF6CF8" w14:textId="610CF29A" w:rsidR="00DA17D3" w:rsidRPr="00237B6D" w:rsidRDefault="00130513" w:rsidP="00045717">
            <w:pPr>
              <w:pStyle w:val="APA"/>
              <w:ind w:firstLine="0"/>
              <w:rPr>
                <w:sz w:val="20"/>
                <w:szCs w:val="20"/>
              </w:rPr>
            </w:pPr>
            <w:r w:rsidRPr="00130513">
              <w:rPr>
                <w:sz w:val="20"/>
                <w:szCs w:val="20"/>
              </w:rPr>
              <w:t>Orientación a control</w:t>
            </w:r>
          </w:p>
        </w:tc>
        <w:tc>
          <w:tcPr>
            <w:tcW w:w="2338" w:type="dxa"/>
          </w:tcPr>
          <w:p w14:paraId="32C42316" w14:textId="65ED379D" w:rsidR="00DA17D3" w:rsidRPr="00237B6D" w:rsidRDefault="00130513" w:rsidP="00045717">
            <w:pPr>
              <w:pStyle w:val="APA"/>
              <w:ind w:firstLine="0"/>
              <w:rPr>
                <w:sz w:val="20"/>
                <w:szCs w:val="20"/>
              </w:rPr>
            </w:pPr>
            <w:r w:rsidRPr="00130513">
              <w:rPr>
                <w:sz w:val="20"/>
                <w:szCs w:val="20"/>
              </w:rPr>
              <w:t>Cultura de mejora continua y empoderamiento</w:t>
            </w:r>
          </w:p>
        </w:tc>
        <w:tc>
          <w:tcPr>
            <w:tcW w:w="2338" w:type="dxa"/>
          </w:tcPr>
          <w:p w14:paraId="2982D74A" w14:textId="51BCDD8E" w:rsidR="00DA17D3" w:rsidRPr="00237B6D" w:rsidRDefault="00130513" w:rsidP="00045717">
            <w:pPr>
              <w:pStyle w:val="APA"/>
              <w:ind w:firstLine="0"/>
              <w:rPr>
                <w:sz w:val="20"/>
                <w:szCs w:val="20"/>
              </w:rPr>
            </w:pPr>
            <w:r w:rsidRPr="00130513">
              <w:rPr>
                <w:sz w:val="20"/>
                <w:szCs w:val="20"/>
              </w:rPr>
              <w:t>Cultura colaborativa y toma de decisiones conjunta</w:t>
            </w:r>
          </w:p>
        </w:tc>
      </w:tr>
    </w:tbl>
    <w:p w14:paraId="3FA0F230" w14:textId="53CAB006" w:rsidR="00045717" w:rsidRDefault="00454268" w:rsidP="00237B6D">
      <w:pPr>
        <w:pStyle w:val="APA"/>
        <w:ind w:firstLine="0"/>
        <w:rPr>
          <w:sz w:val="20"/>
          <w:szCs w:val="20"/>
        </w:rPr>
      </w:pPr>
      <w:r w:rsidRPr="00454268">
        <w:rPr>
          <w:i/>
          <w:iCs/>
          <w:sz w:val="20"/>
          <w:szCs w:val="20"/>
        </w:rPr>
        <w:t>Nota:</w:t>
      </w:r>
      <w:r w:rsidRPr="00454268">
        <w:rPr>
          <w:sz w:val="20"/>
          <w:szCs w:val="20"/>
        </w:rPr>
        <w:t xml:space="preserve"> </w:t>
      </w:r>
      <w:r w:rsidRPr="00454268">
        <w:rPr>
          <w:i/>
          <w:iCs/>
          <w:sz w:val="20"/>
          <w:szCs w:val="20"/>
        </w:rPr>
        <w:t>Fuente: Elaboración propia.</w:t>
      </w:r>
    </w:p>
    <w:p w14:paraId="35CD4D2A" w14:textId="77777777" w:rsidR="00454268" w:rsidRDefault="00454268" w:rsidP="00237B6D">
      <w:pPr>
        <w:pStyle w:val="APA"/>
        <w:ind w:firstLine="0"/>
        <w:rPr>
          <w:sz w:val="20"/>
          <w:szCs w:val="20"/>
        </w:rPr>
      </w:pPr>
    </w:p>
    <w:p w14:paraId="36E490AA" w14:textId="391C94CD" w:rsidR="00556015" w:rsidRDefault="0046720B" w:rsidP="00237B6D">
      <w:pPr>
        <w:pStyle w:val="Ttulo3"/>
      </w:pPr>
      <w:bookmarkStart w:id="93" w:name="_Toc212406378"/>
      <w:r>
        <w:rPr>
          <w:rStyle w:val="Ttulo3Car"/>
          <w:b/>
          <w:bCs/>
        </w:rPr>
        <w:t xml:space="preserve">4.2.3 </w:t>
      </w:r>
      <w:r w:rsidR="00556015" w:rsidRPr="00556015">
        <w:t>Casos similares en diseño y construcción de oficinas</w:t>
      </w:r>
      <w:bookmarkEnd w:id="93"/>
      <w:r w:rsidR="00556015" w:rsidRPr="00AE3CA2">
        <w:t xml:space="preserve"> </w:t>
      </w:r>
    </w:p>
    <w:p w14:paraId="2738814A" w14:textId="0503BA4D" w:rsidR="00930635" w:rsidRDefault="00930635" w:rsidP="00930635">
      <w:pPr>
        <w:pStyle w:val="APA"/>
        <w:rPr>
          <w:lang w:val="es-CR" w:eastAsia="es-CR"/>
        </w:rPr>
      </w:pPr>
      <w:r w:rsidRPr="00930635">
        <w:rPr>
          <w:lang w:eastAsia="es-CR"/>
        </w:rPr>
        <w:t>Este apartado explora tres casos internacionales que ilustran la aplicación efectiva del enfoque Design &amp; Build en proyectos de oficinas. Cada uno aporta lecciones valiosas sobre coordinación interdisciplinaria, planificación temprana, toma de decisiones centrada en el valor y eficiencia operativa, aspectos que son directamente aplicables a los procesos actuales de Contract Workplaces</w:t>
      </w:r>
      <w:r>
        <w:rPr>
          <w:lang w:eastAsia="es-CR"/>
        </w:rPr>
        <w:t>.</w:t>
      </w:r>
    </w:p>
    <w:p w14:paraId="7FF5C7D5" w14:textId="6F3389C0" w:rsidR="00930635" w:rsidRPr="00930635" w:rsidRDefault="00CB2402" w:rsidP="00930635">
      <w:pPr>
        <w:pStyle w:val="APA"/>
        <w:rPr>
          <w:lang w:val="es-CR" w:eastAsia="es-CR"/>
        </w:rPr>
      </w:pPr>
      <w:r w:rsidRPr="00CB2402">
        <w:rPr>
          <w:lang w:val="es-CR" w:eastAsia="es-CR"/>
        </w:rPr>
        <w:t xml:space="preserve"> </w:t>
      </w:r>
      <w:r w:rsidR="00930635" w:rsidRPr="00930635">
        <w:rPr>
          <w:b/>
          <w:bCs/>
          <w:lang w:val="es-CR" w:eastAsia="es-CR"/>
        </w:rPr>
        <w:t>Oficinas Tetra Pak – Madrid, España (Sutega)</w:t>
      </w:r>
      <w:r w:rsidR="00930635" w:rsidRPr="00930635">
        <w:rPr>
          <w:lang w:val="es-CR" w:eastAsia="es-CR"/>
        </w:rPr>
        <w:br/>
        <w:t>El proyecto de remodelación de las oficinas corporativas de Tetra Pak en Madrid es un ejemplo representativo de cómo el enfoque Design &amp; Build puede aplicarse eficazmente en espacios de trabajo de menor escala. La empresa española Sutega fue responsable del desarrollo integral del proyecto, desde la consultoría estratégica hasta la ejecución llave en mano de un área de 157 m², completada en aproximadamente cinco meses (Sutega, s.f.).</w:t>
      </w:r>
    </w:p>
    <w:p w14:paraId="13003011" w14:textId="77777777" w:rsidR="00930635" w:rsidRPr="00930635" w:rsidRDefault="00930635" w:rsidP="00930635">
      <w:pPr>
        <w:pStyle w:val="APA"/>
        <w:rPr>
          <w:lang w:val="es-CR" w:eastAsia="es-CR"/>
        </w:rPr>
      </w:pPr>
      <w:r w:rsidRPr="00930635">
        <w:rPr>
          <w:lang w:val="es-CR" w:eastAsia="es-CR"/>
        </w:rPr>
        <w:t>El diseño se orientó a reflejar los valores de innovación, sostenibilidad y colaboración que definen a la marca. Se incorporaron soluciones a medida como carpintería personalizada, zonas de exposición y salas de reuniones versátiles. Si bien no se menciona explícitamente la aplicación de metodologías Lean o IPD, el desarrollo muestra una fuerte alineación con sus principios: integración temprana de disciplinas, coordinación continua y entrega bajo un contrato único. La ejecución ágil y sin intermediaciones permitió optimizar los tiempos de respuesta y garantizar la calidad de entrega. Este caso demuestra que, aun en intervenciones de pequeña escala, es posible lograr resultados de alto valor mediante una planificación estructurada, enfocada en el cliente y gestionada de forma integrada.</w:t>
      </w:r>
    </w:p>
    <w:p w14:paraId="0940AF0E" w14:textId="77777777" w:rsidR="00930635" w:rsidRPr="00930635" w:rsidRDefault="00930635" w:rsidP="00930635">
      <w:pPr>
        <w:pStyle w:val="APA"/>
        <w:rPr>
          <w:lang w:val="es-CR" w:eastAsia="es-CR"/>
        </w:rPr>
      </w:pPr>
      <w:r w:rsidRPr="00930635">
        <w:rPr>
          <w:b/>
          <w:bCs/>
          <w:lang w:val="es-CR" w:eastAsia="es-CR"/>
        </w:rPr>
        <w:t>Oficinas del Banco General – Ciudad de Panamá (Manhattan Construction y Mallol Arquitectos)</w:t>
      </w:r>
      <w:r w:rsidRPr="00930635">
        <w:rPr>
          <w:lang w:val="es-CR" w:eastAsia="es-CR"/>
        </w:rPr>
        <w:br/>
        <w:t xml:space="preserve">El campus corporativo del Banco General, ubicado en Costa del Este en Ciudad de Panamá, </w:t>
      </w:r>
      <w:r w:rsidRPr="00930635">
        <w:rPr>
          <w:lang w:val="es-CR" w:eastAsia="es-CR"/>
        </w:rPr>
        <w:lastRenderedPageBreak/>
        <w:t>representa una implementación destacada del enfoque Design &amp; Build a gran escala. El proyecto fue desarrollado por Mallol Arquitectos en la fase de diseño y ejecutado por Manhattan Construction Group mediante su división Manhattan International. Su alcance incluyó un edificio de oficinas de ocho niveles, una plaza pública y un edificio de estacionamientos, diseñado para albergar a más de 2 300 colaboradores (Mallol Arquitectos, s.f.).</w:t>
      </w:r>
    </w:p>
    <w:p w14:paraId="11886C61" w14:textId="77777777" w:rsidR="00930635" w:rsidRPr="00930635" w:rsidRDefault="00930635" w:rsidP="00930635">
      <w:pPr>
        <w:pStyle w:val="APA"/>
        <w:rPr>
          <w:lang w:val="es-CR" w:eastAsia="es-CR"/>
        </w:rPr>
      </w:pPr>
      <w:r w:rsidRPr="00930635">
        <w:rPr>
          <w:lang w:val="es-CR" w:eastAsia="es-CR"/>
        </w:rPr>
        <w:t>El enfoque integrado facilitó una colaboración fluida entre diseño arquitectónico, ingeniería y construcción, evitando la fragmentación de responsabilidades. El uso de herramientas como modelos BIM para coordinación técnica, planificación temprana de sistemas MEP y soluciones de mobiliario a medida permitió reducir desperdicios, evitar reprocesos y mejorar la eficiencia general del proyecto. Además, el diseño priorizó elementos como la transparencia visual, la ventilación natural y el confort térmico, reforzando la identidad institucional del cliente. Este caso destaca por su coherencia entre los objetivos organizacionales, los valores de marca y las decisiones arquitectónicas, lo cual refuerza su relevancia como referencia para proyectos corporativos de alta complejidad.</w:t>
      </w:r>
    </w:p>
    <w:p w14:paraId="39B272DF" w14:textId="379D4147" w:rsidR="00930635" w:rsidRPr="00930635" w:rsidRDefault="00930635" w:rsidP="00930635">
      <w:pPr>
        <w:pStyle w:val="APA"/>
        <w:rPr>
          <w:lang w:val="es-CR" w:eastAsia="es-CR"/>
        </w:rPr>
      </w:pPr>
      <w:r w:rsidRPr="00930635">
        <w:rPr>
          <w:b/>
          <w:bCs/>
          <w:lang w:val="es-CR" w:eastAsia="es-CR"/>
        </w:rPr>
        <w:t>Oficinas G4 Studios &amp; Offices – Burbank, California (Populous)</w:t>
      </w:r>
      <w:r w:rsidRPr="00930635">
        <w:rPr>
          <w:lang w:val="es-CR" w:eastAsia="es-CR"/>
        </w:rPr>
        <w:br/>
        <w:t>El tercer caso corresponde al proyecto G4 Studios &amp; Offices, desarrollado en Burbank, California, por la firma internacional Populous. Encargado por Comcast Spectacor, este proyecto transformó un antiguo edificio de televisión en una sede moderna para G4TV, que combina oficinas, estudios de producción, espacios para esports y zonas de interacción con el público, en un área de más de 6</w:t>
      </w:r>
      <w:r w:rsidR="006940D4">
        <w:rPr>
          <w:lang w:val="es-CR" w:eastAsia="es-CR"/>
        </w:rPr>
        <w:t>,</w:t>
      </w:r>
      <w:r w:rsidRPr="00930635">
        <w:rPr>
          <w:lang w:val="es-CR" w:eastAsia="es-CR"/>
        </w:rPr>
        <w:t>000 m² (Populous, s.f.).</w:t>
      </w:r>
    </w:p>
    <w:p w14:paraId="0DEDA03E" w14:textId="77777777" w:rsidR="00930635" w:rsidRPr="00930635" w:rsidRDefault="00930635" w:rsidP="00930635">
      <w:pPr>
        <w:pStyle w:val="APA"/>
        <w:rPr>
          <w:lang w:val="es-CR" w:eastAsia="es-CR"/>
        </w:rPr>
      </w:pPr>
      <w:r w:rsidRPr="00930635">
        <w:rPr>
          <w:lang w:val="es-CR" w:eastAsia="es-CR"/>
        </w:rPr>
        <w:t xml:space="preserve">Populous lideró el diseño y la ejecución bajo un único contrato, en alianza con Shawmut Design and Construction como socio constructor. La planificación colaborativa, el uso de herramientas digitales para el seguimiento de obra y la integración de decisiones en tiempo real permitieron una ejecución exitosa en tan solo seis meses, a pesar de las restricciones por la pandemia. El proyecto destaca por su enfoque centrado en el usuario final, la versatilidad </w:t>
      </w:r>
      <w:r w:rsidRPr="00930635">
        <w:rPr>
          <w:lang w:val="es-CR" w:eastAsia="es-CR"/>
        </w:rPr>
        <w:lastRenderedPageBreak/>
        <w:t>espacial y la narrativa de marca integrada en la arquitectura. Aunque no se declaró explícitamente como Lean o IPD, el modelo adoptado refleja sus fundamentos: colaboración temprana, toma de decisiones basada en valor y enfoque en flujo continuo.</w:t>
      </w:r>
    </w:p>
    <w:p w14:paraId="20C9B569" w14:textId="77777777" w:rsidR="00930635" w:rsidRDefault="00930635" w:rsidP="00930635">
      <w:pPr>
        <w:pStyle w:val="APA"/>
        <w:rPr>
          <w:lang w:val="es-CR" w:eastAsia="es-CR"/>
        </w:rPr>
      </w:pPr>
      <w:r w:rsidRPr="00930635">
        <w:rPr>
          <w:lang w:val="es-CR" w:eastAsia="es-CR"/>
        </w:rPr>
        <w:t>Este caso ofrece una perspectiva complementaria al de Banco General y Tetra Pak, al demostrar cómo es posible escalar el enfoque Design &amp; Build a proyectos de mayor complejidad funcional, sin perder eficiencia ni control sobre los objetivos de diseño. Su integración estética, tecnológica y operativa lo convierte en un referente valioso para proyectos que buscan un alto nivel de personalización e impacto de marca.</w:t>
      </w:r>
    </w:p>
    <w:p w14:paraId="771D2A95" w14:textId="485A616C" w:rsidR="00556015" w:rsidRPr="00237B6D" w:rsidRDefault="00930635" w:rsidP="00237B6D">
      <w:pPr>
        <w:pStyle w:val="APA"/>
        <w:rPr>
          <w:lang w:val="es-CR" w:eastAsia="es-CR"/>
        </w:rPr>
      </w:pPr>
      <w:r w:rsidRPr="00237B6D">
        <w:t>Los tres casos analizados presentan distintos contextos, escalas y niveles de complejidad, pero comparten elementos clave: la coordinación temprana entre actores clave, la planificación basada en valor, la eliminación de intermediarios innecesarios y la integración entre diseño y construcción bajo una sola entidad. Estos aprendizajes respaldan la pertinencia de adoptar un modelo más integrado en los procesos de Contract Workplaces</w:t>
      </w:r>
      <w:r w:rsidRPr="00930635">
        <w:rPr>
          <w:lang w:val="es-CR" w:eastAsia="es-CR"/>
        </w:rPr>
        <w:t>, y sirven como base para la propuesta de mejora que se plantea en el siguiente apartado.</w:t>
      </w:r>
    </w:p>
    <w:p w14:paraId="1B1BA9B1" w14:textId="23D5D97B" w:rsidR="00D87210" w:rsidRPr="00237B6D" w:rsidRDefault="0046720B" w:rsidP="00237B6D">
      <w:pPr>
        <w:pStyle w:val="Ttulo2"/>
      </w:pPr>
      <w:bookmarkStart w:id="94" w:name="_Toc212406379"/>
      <w:r>
        <w:t xml:space="preserve">4.3 </w:t>
      </w:r>
      <w:r w:rsidR="00026515" w:rsidRPr="006540E2">
        <w:t>Diseñar propuestas de mejora en los procesos de planificación y control, para optimizar la integración entre diseño y construcción y mejorar los resultados del proyecto.</w:t>
      </w:r>
      <w:bookmarkEnd w:id="94"/>
    </w:p>
    <w:p w14:paraId="17F4E4E6" w14:textId="06A48EF3" w:rsidR="006540E2" w:rsidRPr="00237B6D" w:rsidRDefault="006540E2" w:rsidP="00237B6D">
      <w:pPr>
        <w:pStyle w:val="APA"/>
        <w:rPr>
          <w:lang w:val="es-CR" w:eastAsia="es-CR"/>
        </w:rPr>
      </w:pPr>
      <w:r w:rsidRPr="006540E2">
        <w:rPr>
          <w:lang w:val="es-CR" w:eastAsia="es-CR"/>
        </w:rPr>
        <w:t>La optimización de los procesos de planificación y control en el modelo Design &amp; Build exige una integración efectiva entre las fases de diseño y ejecución, garantizando coherencia, continuidad y colaboración entre los equipos técnicos. Basado en el diagnóstico del proceso actual de Contract Workplaces, se propone una serie de mejoras orientadas a fortalecer dicha integración a través de un nuevo flujo de trabajo, herramientas específicas de gestión y ajustes organizacionales clave.</w:t>
      </w:r>
    </w:p>
    <w:p w14:paraId="0433F63E" w14:textId="0AD3F5E7" w:rsidR="00D87210" w:rsidRPr="00237B6D" w:rsidRDefault="0046720B" w:rsidP="00237B6D">
      <w:pPr>
        <w:pStyle w:val="Ttulo3"/>
      </w:pPr>
      <w:bookmarkStart w:id="95" w:name="_Toc212406380"/>
      <w:r>
        <w:lastRenderedPageBreak/>
        <w:t xml:space="preserve">4.3.1 </w:t>
      </w:r>
      <w:r w:rsidR="00D87210" w:rsidRPr="00237B6D">
        <w:t>Nuevo flujo de trabajo propuesto</w:t>
      </w:r>
      <w:bookmarkEnd w:id="95"/>
    </w:p>
    <w:p w14:paraId="50109086" w14:textId="7668E341" w:rsidR="006540E2" w:rsidRPr="00237B6D" w:rsidRDefault="006540E2" w:rsidP="00237B6D">
      <w:pPr>
        <w:pStyle w:val="Figura1"/>
        <w:rPr>
          <w:lang w:val="es-CR"/>
        </w:rPr>
      </w:pPr>
      <w:r w:rsidRPr="00237B6D">
        <w:rPr>
          <w:lang w:val="es-CR"/>
        </w:rPr>
        <w:t xml:space="preserve">El flujo de trabajo actual evidencia desconexiones entre las etapas de diseño y construcción, generando reprocesos, </w:t>
      </w:r>
      <w:r>
        <w:t>t</w:t>
      </w:r>
      <w:r w:rsidRPr="006540E2">
        <w:t>raslape</w:t>
      </w:r>
      <w:r w:rsidRPr="00237B6D">
        <w:rPr>
          <w:lang w:val="es-CR"/>
        </w:rPr>
        <w:t xml:space="preserve"> y decisiones tardías. Para superar estas limitaciones, se propone un nuevo flujo estructurado en cinco etapas clave que promueven la integración temprana, la transparencia en la toma de decisiones y el enfoque colaborativo desde el inicio del proyecto.</w:t>
      </w:r>
    </w:p>
    <w:p w14:paraId="2685463D" w14:textId="6EB69A2C" w:rsidR="006540E2" w:rsidRPr="00237B6D" w:rsidRDefault="006540E2" w:rsidP="00237B6D">
      <w:pPr>
        <w:pStyle w:val="Figura1"/>
        <w:numPr>
          <w:ilvl w:val="0"/>
          <w:numId w:val="94"/>
        </w:numPr>
        <w:rPr>
          <w:lang w:val="es-CR"/>
        </w:rPr>
      </w:pPr>
      <w:r w:rsidRPr="00237B6D">
        <w:rPr>
          <w:b/>
          <w:bCs/>
          <w:lang w:val="es-CR"/>
        </w:rPr>
        <w:t>Kick-off colaborativo:</w:t>
      </w:r>
      <w:r w:rsidRPr="00237B6D">
        <w:rPr>
          <w:lang w:val="es-CR"/>
        </w:rPr>
        <w:t xml:space="preserve"> se realiza una reunión de arranque con participación activa de todas las áreas involucradas (</w:t>
      </w:r>
      <w:r w:rsidR="000C3758">
        <w:t>p</w:t>
      </w:r>
      <w:r w:rsidR="000C3758" w:rsidRPr="008B17A9">
        <w:t xml:space="preserve">roject </w:t>
      </w:r>
      <w:r w:rsidR="000C3758">
        <w:t>m</w:t>
      </w:r>
      <w:r w:rsidR="000C3758" w:rsidRPr="008B17A9">
        <w:t>anager</w:t>
      </w:r>
      <w:r>
        <w:rPr>
          <w:lang w:val="es-CR"/>
        </w:rPr>
        <w:t xml:space="preserve">, </w:t>
      </w:r>
      <w:r w:rsidRPr="00237B6D">
        <w:rPr>
          <w:lang w:val="es-CR"/>
        </w:rPr>
        <w:t>diseño, construcción, ingenierías, compras y cliente). Este espacio se utiliza para alinear expectativas, establecer criterios de éxito, aclarar restricciones y definir las metas estratégicas del proyecto. Esta etapa se fundamenta en la filosofía del "Big Room", promovida por el modelo IPD, que fomenta la sinergia interdisciplinaria (Lean Construction Institute, 2023).</w:t>
      </w:r>
    </w:p>
    <w:p w14:paraId="61E458AA" w14:textId="77777777" w:rsidR="006540E2" w:rsidRPr="00237B6D" w:rsidRDefault="006540E2" w:rsidP="00237B6D">
      <w:pPr>
        <w:pStyle w:val="Figura1"/>
        <w:numPr>
          <w:ilvl w:val="0"/>
          <w:numId w:val="94"/>
        </w:numPr>
        <w:rPr>
          <w:lang w:val="es-CR"/>
        </w:rPr>
      </w:pPr>
      <w:r w:rsidRPr="00237B6D">
        <w:rPr>
          <w:b/>
          <w:bCs/>
          <w:lang w:val="es-CR"/>
        </w:rPr>
        <w:t>Diseño participativo iterativo:</w:t>
      </w:r>
      <w:r w:rsidRPr="00237B6D">
        <w:rPr>
          <w:lang w:val="es-CR"/>
        </w:rPr>
        <w:t xml:space="preserve"> el equipo de diseño trabaja en conjunto con especialistas técnicos y de obra para validar continuamente la viabilidad constructiva y financiera del proyecto. Se aplican revisiones cruzadas sobre soluciones arquitectónicas, estructuras, sistemas MEP y presupuestos preliminares utilizando la herramienta Target Value Design. Este enfoque se basa en el aprendizaje continuo, el feedback temprano y la integración sistemática de decisiones (Ballard &amp; Howell, 2003).</w:t>
      </w:r>
    </w:p>
    <w:p w14:paraId="102A6F0B" w14:textId="77777777" w:rsidR="006540E2" w:rsidRPr="00237B6D" w:rsidRDefault="006540E2" w:rsidP="00237B6D">
      <w:pPr>
        <w:pStyle w:val="Figura1"/>
        <w:numPr>
          <w:ilvl w:val="0"/>
          <w:numId w:val="94"/>
        </w:numPr>
        <w:rPr>
          <w:lang w:val="es-CR"/>
        </w:rPr>
      </w:pPr>
      <w:r w:rsidRPr="00237B6D">
        <w:rPr>
          <w:b/>
          <w:bCs/>
          <w:lang w:val="es-CR"/>
        </w:rPr>
        <w:t>Planificación pull estructurada:</w:t>
      </w:r>
      <w:r w:rsidRPr="00237B6D">
        <w:rPr>
          <w:lang w:val="es-CR"/>
        </w:rPr>
        <w:t xml:space="preserve"> se implementan herramientas como Last Planner System y Look Ahead Planning, que permiten planificar de forma inversa desde los hitos del cliente hasta las actividades previas, facilitando una lógica de programación basada en restricciones reales y compromisos semanales de </w:t>
      </w:r>
      <w:r w:rsidRPr="00237B6D">
        <w:rPr>
          <w:lang w:val="es-CR"/>
        </w:rPr>
        <w:lastRenderedPageBreak/>
        <w:t>producción. Este enfoque reduce la variabilidad e incrementa la confiabilidad del plan de trabajo (PMI, 2021).</w:t>
      </w:r>
    </w:p>
    <w:p w14:paraId="46F2A115" w14:textId="27CEFFF8" w:rsidR="006540E2" w:rsidRPr="00237B6D" w:rsidRDefault="006540E2" w:rsidP="00237B6D">
      <w:pPr>
        <w:pStyle w:val="Figura1"/>
        <w:numPr>
          <w:ilvl w:val="0"/>
          <w:numId w:val="94"/>
        </w:numPr>
        <w:rPr>
          <w:lang w:val="es-CR"/>
        </w:rPr>
      </w:pPr>
      <w:r w:rsidRPr="00237B6D">
        <w:rPr>
          <w:b/>
          <w:bCs/>
          <w:lang w:val="es-CR"/>
        </w:rPr>
        <w:t>Ejecución visual y control diario:</w:t>
      </w:r>
      <w:r w:rsidRPr="00237B6D">
        <w:rPr>
          <w:lang w:val="es-CR"/>
        </w:rPr>
        <w:t xml:space="preserve"> durante la fase de obra, se utilizan tableros Kanban (físicos o digitales) para el seguimiento diario del avance, y se realizan reuniones breves tipo </w:t>
      </w:r>
      <w:r w:rsidR="00324790" w:rsidRPr="00324790">
        <w:t>daily stand-up</w:t>
      </w:r>
      <w:r w:rsidR="00324790">
        <w:t xml:space="preserve"> que no duren mas de 15min,</w:t>
      </w:r>
      <w:r w:rsidR="00324790" w:rsidRPr="00324790">
        <w:rPr>
          <w:lang w:val="es-CR"/>
        </w:rPr>
        <w:t xml:space="preserve"> </w:t>
      </w:r>
      <w:r w:rsidRPr="00237B6D">
        <w:rPr>
          <w:lang w:val="es-CR"/>
        </w:rPr>
        <w:t>con todos los actores del proyecto. Esto permite monitorear tareas críticas, identificar bloqueos operativos y tomar decisiones ágiles en sitio. Estas herramientas promueven la transparencia operativa y el trabajo sincronizado (Suerth, 2017).</w:t>
      </w:r>
    </w:p>
    <w:p w14:paraId="651A8349" w14:textId="77777777" w:rsidR="006540E2" w:rsidRPr="00237B6D" w:rsidRDefault="006540E2" w:rsidP="00237B6D">
      <w:pPr>
        <w:pStyle w:val="Figura1"/>
        <w:numPr>
          <w:ilvl w:val="0"/>
          <w:numId w:val="94"/>
        </w:numPr>
        <w:rPr>
          <w:lang w:val="es-CR"/>
        </w:rPr>
      </w:pPr>
      <w:r w:rsidRPr="00237B6D">
        <w:rPr>
          <w:b/>
          <w:bCs/>
          <w:lang w:val="es-CR"/>
        </w:rPr>
        <w:t>Cierre con retroalimentación estructurada:</w:t>
      </w:r>
      <w:r w:rsidRPr="00237B6D">
        <w:rPr>
          <w:lang w:val="es-CR"/>
        </w:rPr>
        <w:t xml:space="preserve"> al concluir el proyecto, se desarrolla una sesión formal de lecciones aprendidas con todos los equipos involucrados. Se recopilan datos de desempeño (tiempo, costo, calidad), se identifican buenas prácticas y se generan recomendaciones para futuros proyectos. Esta etapa permite convertir la experiencia en conocimiento organizacional (Kerzner, 2017).</w:t>
      </w:r>
    </w:p>
    <w:p w14:paraId="33A8D31C" w14:textId="5E99B43B" w:rsidR="006540E2" w:rsidRPr="00237B6D" w:rsidRDefault="006540E2" w:rsidP="00237B6D">
      <w:pPr>
        <w:pStyle w:val="Figura1"/>
        <w:rPr>
          <w:lang w:val="es-CR"/>
        </w:rPr>
      </w:pPr>
      <w:r w:rsidRPr="00237B6D">
        <w:rPr>
          <w:lang w:val="es-CR"/>
        </w:rPr>
        <w:t>Este nuevo flujo reemplaza la secuencia lineal tradicional por un modelo dinámico y cíclico, que potencia la colaboración, fortalece la coordinación entre equipos y enfoca cada fase en la generación de valor para el cliente y la organización.</w:t>
      </w:r>
    </w:p>
    <w:p w14:paraId="43A180C4" w14:textId="13F06331" w:rsidR="00D87210" w:rsidRDefault="0046720B" w:rsidP="00237B6D">
      <w:pPr>
        <w:pStyle w:val="Ttulo3"/>
      </w:pPr>
      <w:bookmarkStart w:id="96" w:name="_Toc212406381"/>
      <w:r>
        <w:t xml:space="preserve">4.3.2 </w:t>
      </w:r>
      <w:r w:rsidR="00D87210" w:rsidRPr="00237B6D">
        <w:t>Herramientas sugeridas para planificación y control</w:t>
      </w:r>
      <w:bookmarkEnd w:id="96"/>
    </w:p>
    <w:p w14:paraId="01980E7E" w14:textId="26C0E7EC" w:rsidR="00324790" w:rsidRPr="00324790" w:rsidRDefault="00324790" w:rsidP="00324790">
      <w:pPr>
        <w:pStyle w:val="APA"/>
        <w:rPr>
          <w:lang w:val="es-CR"/>
        </w:rPr>
      </w:pPr>
      <w:r w:rsidRPr="00324790">
        <w:rPr>
          <w:lang w:val="es-CR"/>
        </w:rPr>
        <w:t>La implementación del nuevo flujo requiere el uso de herramientas específicas que faciliten la colaboración, la trazabilidad y el control efectivo de los proyectos. Se destacan las siguientes</w:t>
      </w:r>
      <w:r>
        <w:rPr>
          <w:lang w:val="es-CR"/>
        </w:rPr>
        <w:t xml:space="preserve"> herramientas</w:t>
      </w:r>
      <w:r w:rsidRPr="00324790">
        <w:rPr>
          <w:lang w:val="es-CR"/>
        </w:rPr>
        <w:t>:</w:t>
      </w:r>
    </w:p>
    <w:p w14:paraId="33C85795" w14:textId="7E0E9FF1" w:rsidR="00324790" w:rsidRPr="00324790" w:rsidRDefault="00324790" w:rsidP="00324790">
      <w:pPr>
        <w:pStyle w:val="APA"/>
        <w:numPr>
          <w:ilvl w:val="0"/>
          <w:numId w:val="96"/>
        </w:numPr>
        <w:rPr>
          <w:lang w:val="es-CR"/>
        </w:rPr>
      </w:pPr>
      <w:r w:rsidRPr="00324790">
        <w:rPr>
          <w:b/>
          <w:bCs/>
          <w:lang w:val="es-CR"/>
        </w:rPr>
        <w:t>Last Planner System (LPS)</w:t>
      </w:r>
      <w:r w:rsidRPr="00324790">
        <w:rPr>
          <w:lang w:val="es-CR"/>
        </w:rPr>
        <w:t>: mejora la confiabilidad de los cronogramas semanales mediante compromisos reales.</w:t>
      </w:r>
    </w:p>
    <w:p w14:paraId="27D4CC0B" w14:textId="77777777" w:rsidR="00324790" w:rsidRPr="00324790" w:rsidRDefault="00324790" w:rsidP="00324790">
      <w:pPr>
        <w:pStyle w:val="APA"/>
        <w:numPr>
          <w:ilvl w:val="0"/>
          <w:numId w:val="96"/>
        </w:numPr>
        <w:rPr>
          <w:lang w:val="es-CR"/>
        </w:rPr>
      </w:pPr>
      <w:r w:rsidRPr="00324790">
        <w:rPr>
          <w:b/>
          <w:bCs/>
          <w:lang w:val="es-CR"/>
        </w:rPr>
        <w:t>Look Ahead Planning</w:t>
      </w:r>
      <w:r w:rsidRPr="00324790">
        <w:rPr>
          <w:lang w:val="es-CR"/>
        </w:rPr>
        <w:t>: permite visualizar restricciones y preparar tareas con anticipación.</w:t>
      </w:r>
    </w:p>
    <w:p w14:paraId="29A47E77" w14:textId="77777777" w:rsidR="00324790" w:rsidRPr="00324790" w:rsidRDefault="00324790" w:rsidP="00324790">
      <w:pPr>
        <w:pStyle w:val="APA"/>
        <w:numPr>
          <w:ilvl w:val="0"/>
          <w:numId w:val="96"/>
        </w:numPr>
        <w:rPr>
          <w:lang w:val="es-CR"/>
        </w:rPr>
      </w:pPr>
      <w:r w:rsidRPr="00324790">
        <w:rPr>
          <w:b/>
          <w:bCs/>
          <w:lang w:val="es-CR"/>
        </w:rPr>
        <w:lastRenderedPageBreak/>
        <w:t>Target Value Design (TVD)</w:t>
      </w:r>
      <w:r w:rsidRPr="00324790">
        <w:rPr>
          <w:lang w:val="es-CR"/>
        </w:rPr>
        <w:t>: alinea diseño y presupuesto desde fases tempranas, priorizando el valor al cliente.</w:t>
      </w:r>
    </w:p>
    <w:p w14:paraId="2694651D" w14:textId="1D8C40AE" w:rsidR="00324790" w:rsidRPr="00324790" w:rsidRDefault="00324790" w:rsidP="00324790">
      <w:pPr>
        <w:pStyle w:val="APA"/>
        <w:numPr>
          <w:ilvl w:val="0"/>
          <w:numId w:val="96"/>
        </w:numPr>
        <w:rPr>
          <w:lang w:val="es-CR"/>
        </w:rPr>
      </w:pPr>
      <w:r w:rsidRPr="00324790">
        <w:rPr>
          <w:b/>
          <w:bCs/>
          <w:lang w:val="es-CR"/>
        </w:rPr>
        <w:t>Kanban visual</w:t>
      </w:r>
      <w:r w:rsidRPr="00324790">
        <w:rPr>
          <w:lang w:val="es-CR"/>
        </w:rPr>
        <w:t>: representa el estado de avance de tareas y facilita la comunicación operativa</w:t>
      </w:r>
      <w:r w:rsidR="007D6496">
        <w:rPr>
          <w:lang w:val="es-CR"/>
        </w:rPr>
        <w:t>.</w:t>
      </w:r>
    </w:p>
    <w:p w14:paraId="25F7C0C2" w14:textId="67BA9F57" w:rsidR="00324790" w:rsidRPr="00324790" w:rsidRDefault="00324790" w:rsidP="00324790">
      <w:pPr>
        <w:pStyle w:val="APA"/>
        <w:numPr>
          <w:ilvl w:val="0"/>
          <w:numId w:val="96"/>
        </w:numPr>
        <w:rPr>
          <w:lang w:val="es-CR"/>
        </w:rPr>
      </w:pPr>
      <w:r w:rsidRPr="00324790">
        <w:rPr>
          <w:b/>
          <w:bCs/>
          <w:lang w:val="es-CR"/>
        </w:rPr>
        <w:t>Asana</w:t>
      </w:r>
      <w:r w:rsidRPr="00324790">
        <w:rPr>
          <w:lang w:val="es-CR"/>
        </w:rPr>
        <w:t>: plataforma de gestión de proyectos basada en la nube que permite crear cronogramas, asignar tareas, establecer dependencias, visualizar avances y compartir información con todo el equipo. Su interfaz intuitiva y su capacidad de integrarse con otras herramientas como Google Drive o Zoom la convierten en una opción viable para mejorar la colaboración interna en proyectos de diseño y construcción (Asana, 2024).</w:t>
      </w:r>
    </w:p>
    <w:p w14:paraId="2CAAA74C" w14:textId="77777777" w:rsidR="00324790" w:rsidRPr="00324790" w:rsidRDefault="00324790" w:rsidP="00324790">
      <w:pPr>
        <w:pStyle w:val="APA"/>
        <w:numPr>
          <w:ilvl w:val="0"/>
          <w:numId w:val="96"/>
        </w:numPr>
        <w:rPr>
          <w:lang w:val="es-CR"/>
        </w:rPr>
      </w:pPr>
      <w:r w:rsidRPr="00324790">
        <w:rPr>
          <w:b/>
          <w:bCs/>
          <w:lang w:val="es-CR"/>
        </w:rPr>
        <w:t>Matriz de restricciones</w:t>
      </w:r>
      <w:r w:rsidRPr="00324790">
        <w:rPr>
          <w:lang w:val="es-CR"/>
        </w:rPr>
        <w:t>: herramienta para identificar y gestionar interferencias técnicas, logísticas y administrativas.</w:t>
      </w:r>
    </w:p>
    <w:p w14:paraId="12344CD5" w14:textId="34213FA4" w:rsidR="00324790" w:rsidRDefault="007D6496" w:rsidP="00324790">
      <w:pPr>
        <w:pStyle w:val="APA"/>
        <w:numPr>
          <w:ilvl w:val="0"/>
          <w:numId w:val="96"/>
        </w:numPr>
        <w:rPr>
          <w:lang w:val="es-CR"/>
        </w:rPr>
      </w:pPr>
      <w:r w:rsidRPr="00237B6D">
        <w:rPr>
          <w:b/>
          <w:bCs/>
        </w:rPr>
        <w:t>Daily stand-up</w:t>
      </w:r>
      <w:r w:rsidR="00324790" w:rsidRPr="00237B6D">
        <w:rPr>
          <w:b/>
          <w:bCs/>
          <w:lang w:val="es-CR"/>
        </w:rPr>
        <w:t>:</w:t>
      </w:r>
      <w:r w:rsidR="00324790" w:rsidRPr="007D6496">
        <w:rPr>
          <w:lang w:val="es-CR"/>
        </w:rPr>
        <w:t xml:space="preserve"> encuentros breves diarios que mejoran la coordinación del equipo de obra</w:t>
      </w:r>
      <w:r w:rsidRPr="007D6496">
        <w:rPr>
          <w:lang w:val="es-CR"/>
        </w:rPr>
        <w:t>.</w:t>
      </w:r>
    </w:p>
    <w:p w14:paraId="05A3D8F6" w14:textId="0CCCE4EE" w:rsidR="007D6496" w:rsidRPr="00237B6D" w:rsidRDefault="0046720B" w:rsidP="00237B6D">
      <w:pPr>
        <w:pStyle w:val="Ttulo3"/>
      </w:pPr>
      <w:bookmarkStart w:id="97" w:name="_Toc212406382"/>
      <w:r>
        <w:t xml:space="preserve">4.3.3 </w:t>
      </w:r>
      <w:r w:rsidR="007D6496" w:rsidRPr="007D6496">
        <w:t>Reconocimientos organizacionales</w:t>
      </w:r>
      <w:r w:rsidR="007D6496" w:rsidRPr="00237B6D">
        <w:t xml:space="preserve"> y de roles</w:t>
      </w:r>
      <w:bookmarkEnd w:id="97"/>
    </w:p>
    <w:p w14:paraId="2BF3D370" w14:textId="77777777" w:rsidR="007D6496" w:rsidRPr="007D6496" w:rsidRDefault="007D6496" w:rsidP="00237B6D">
      <w:pPr>
        <w:pStyle w:val="APA"/>
        <w:rPr>
          <w:lang w:val="es-CR"/>
        </w:rPr>
      </w:pPr>
      <w:r w:rsidRPr="007D6496">
        <w:rPr>
          <w:lang w:val="es-CR"/>
        </w:rPr>
        <w:t>Para consolidar estas mejoras se recomienda ajustar la estructura organizacional de Contract Workplaces mediante las siguientes acciones:</w:t>
      </w:r>
    </w:p>
    <w:p w14:paraId="44032EA1" w14:textId="77777777" w:rsidR="007D6496" w:rsidRPr="007D6496" w:rsidRDefault="007D6496" w:rsidP="00237B6D">
      <w:pPr>
        <w:pStyle w:val="APA"/>
        <w:numPr>
          <w:ilvl w:val="0"/>
          <w:numId w:val="100"/>
        </w:numPr>
        <w:rPr>
          <w:lang w:val="es-CR"/>
        </w:rPr>
      </w:pPr>
      <w:r w:rsidRPr="007D6496">
        <w:rPr>
          <w:b/>
          <w:bCs/>
          <w:lang w:val="es-CR"/>
        </w:rPr>
        <w:t>Creación de una Oficina de Gestión de Proyectos (PMO):</w:t>
      </w:r>
      <w:r w:rsidRPr="007D6496">
        <w:rPr>
          <w:lang w:val="es-CR"/>
        </w:rPr>
        <w:t xml:space="preserve"> según el PMI (2021), la PMO está encargada de estandarizar procesos, monitorear proyectos y promover la mejora continua. Su implementación permitirá consolidar una cultura de gestión integrada, mejorar la trazabilidad de los proyectos y facilitar la toma de decisiones estratégicas. La PMO también deberá liderar la evaluación post-proyecto y generar reportes comparativos sobre desempeño en tiempo, costo y calidad.</w:t>
      </w:r>
    </w:p>
    <w:p w14:paraId="4920A024" w14:textId="77777777" w:rsidR="007D6496" w:rsidRPr="007D6496" w:rsidRDefault="007D6496" w:rsidP="00237B6D">
      <w:pPr>
        <w:pStyle w:val="APA"/>
        <w:numPr>
          <w:ilvl w:val="0"/>
          <w:numId w:val="100"/>
        </w:numPr>
        <w:rPr>
          <w:lang w:val="es-CR"/>
        </w:rPr>
      </w:pPr>
      <w:r w:rsidRPr="007D6496">
        <w:rPr>
          <w:b/>
          <w:bCs/>
          <w:lang w:val="es-CR"/>
        </w:rPr>
        <w:t>Asignación de un facilitador Lean por proyecto:</w:t>
      </w:r>
      <w:r w:rsidRPr="007D6496">
        <w:rPr>
          <w:lang w:val="es-CR"/>
        </w:rPr>
        <w:t xml:space="preserve"> se recomienda asignar un perfil técnico con experiencia en herramientas colaborativas para facilitar las </w:t>
      </w:r>
      <w:r w:rsidRPr="007D6496">
        <w:rPr>
          <w:lang w:val="es-CR"/>
        </w:rPr>
        <w:lastRenderedPageBreak/>
        <w:t>reuniones de planificación, coordinar la implementación del Last Planner System, gestionar restricciones y promover la mejora continua. Este rol debe actuar como nexo entre las áreas de diseño, construcción y cliente, alineando sus expectativas y objetivos.</w:t>
      </w:r>
    </w:p>
    <w:p w14:paraId="03AC7420" w14:textId="77777777" w:rsidR="007D6496" w:rsidRPr="007D6496" w:rsidRDefault="007D6496" w:rsidP="00237B6D">
      <w:pPr>
        <w:pStyle w:val="APA"/>
        <w:numPr>
          <w:ilvl w:val="0"/>
          <w:numId w:val="100"/>
        </w:numPr>
        <w:rPr>
          <w:lang w:val="es-CR"/>
        </w:rPr>
      </w:pPr>
      <w:r w:rsidRPr="00BF759D">
        <w:rPr>
          <w:b/>
          <w:bCs/>
          <w:lang w:val="es-CR"/>
        </w:rPr>
        <w:t>Capacitación interna en metodologías colaborativas:</w:t>
      </w:r>
      <w:r w:rsidRPr="007D6496">
        <w:rPr>
          <w:lang w:val="es-CR"/>
        </w:rPr>
        <w:t xml:space="preserve"> se propone un programa de formación continua para todo el personal técnico, en metodologías como Lean Construction, IPD, uso de plataformas colaborativas (como Asana o Procore), y habilidades blandas para el trabajo en equipo. Esta formación debe ser liderada por la PMO y actualizada con base en los aprendizajes de cada proyecto.</w:t>
      </w:r>
    </w:p>
    <w:p w14:paraId="09EFAA73" w14:textId="6E457FEB" w:rsidR="007D6496" w:rsidRPr="007D6496" w:rsidRDefault="007D6496" w:rsidP="00237B6D">
      <w:pPr>
        <w:pStyle w:val="APA"/>
        <w:numPr>
          <w:ilvl w:val="0"/>
          <w:numId w:val="100"/>
        </w:numPr>
        <w:rPr>
          <w:lang w:val="es-CR"/>
        </w:rPr>
      </w:pPr>
      <w:r w:rsidRPr="00BF759D">
        <w:rPr>
          <w:b/>
          <w:bCs/>
          <w:lang w:val="es-CR"/>
        </w:rPr>
        <w:t>Adopción de una plataforma digital de gestión compartida:</w:t>
      </w:r>
      <w:r w:rsidRPr="007D6496">
        <w:rPr>
          <w:lang w:val="es-CR"/>
        </w:rPr>
        <w:t xml:space="preserve"> para facilitar la coordinación y visibilidad del proyecto entre todos los actores, se recomienda adoptar una plataforma colaborativa (ej. Asana). Esta herramienta deberá ser accesible para diseño, </w:t>
      </w:r>
      <w:r w:rsidR="000C3758">
        <w:t>p</w:t>
      </w:r>
      <w:r w:rsidR="000C3758" w:rsidRPr="008B17A9">
        <w:t xml:space="preserve">roject </w:t>
      </w:r>
      <w:r w:rsidR="000C3758">
        <w:t>m</w:t>
      </w:r>
      <w:r w:rsidR="000C3758" w:rsidRPr="008B17A9">
        <w:t>anager</w:t>
      </w:r>
      <w:r w:rsidRPr="007D6496">
        <w:rPr>
          <w:lang w:val="es-CR"/>
        </w:rPr>
        <w:t>, obra</w:t>
      </w:r>
      <w:r w:rsidR="00BF759D">
        <w:rPr>
          <w:lang w:val="es-CR"/>
        </w:rPr>
        <w:t xml:space="preserve">, </w:t>
      </w:r>
      <w:r w:rsidRPr="007D6496">
        <w:rPr>
          <w:lang w:val="es-CR"/>
        </w:rPr>
        <w:t>cliente,</w:t>
      </w:r>
      <w:r w:rsidR="00BF759D">
        <w:rPr>
          <w:lang w:val="es-CR"/>
        </w:rPr>
        <w:t xml:space="preserve"> presupuestista, proveedores, </w:t>
      </w:r>
      <w:r w:rsidR="00BF759D" w:rsidRPr="007D6496">
        <w:rPr>
          <w:lang w:val="es-CR"/>
        </w:rPr>
        <w:t>permitiendo</w:t>
      </w:r>
      <w:r w:rsidRPr="007D6496">
        <w:rPr>
          <w:lang w:val="es-CR"/>
        </w:rPr>
        <w:t xml:space="preserve"> un monitoreo transparente de las tareas, hitos y responsabilidades.</w:t>
      </w:r>
    </w:p>
    <w:p w14:paraId="4A6AA171" w14:textId="77777777" w:rsidR="007D6496" w:rsidRPr="007D6496" w:rsidRDefault="007D6496" w:rsidP="00237B6D">
      <w:pPr>
        <w:pStyle w:val="APA"/>
        <w:numPr>
          <w:ilvl w:val="0"/>
          <w:numId w:val="100"/>
        </w:numPr>
        <w:rPr>
          <w:lang w:val="es-CR"/>
        </w:rPr>
      </w:pPr>
      <w:r w:rsidRPr="00BF759D">
        <w:rPr>
          <w:b/>
          <w:bCs/>
          <w:lang w:val="es-CR"/>
        </w:rPr>
        <w:t>Protocolos de lecciones aprendidas y retroalimentación post-proyecto</w:t>
      </w:r>
      <w:r w:rsidRPr="007D6496">
        <w:rPr>
          <w:lang w:val="es-CR"/>
        </w:rPr>
        <w:t>: cada proyecto debe concluir con una sesión formal donde los equipos identifiquen buenas prácticas, errores comunes y oportunidades de mejora. La PMO será responsable de recopilar estos insumos, sistematizarlos y difundirlos dentro de la organización como parte del aprendizaje institucional.</w:t>
      </w:r>
    </w:p>
    <w:p w14:paraId="77C05792" w14:textId="77777777" w:rsidR="007D6496" w:rsidRPr="007D6496" w:rsidRDefault="007D6496" w:rsidP="00237B6D">
      <w:pPr>
        <w:pStyle w:val="APA"/>
        <w:numPr>
          <w:ilvl w:val="0"/>
          <w:numId w:val="100"/>
        </w:numPr>
        <w:rPr>
          <w:lang w:val="es-CR"/>
        </w:rPr>
      </w:pPr>
      <w:r w:rsidRPr="00BF759D">
        <w:rPr>
          <w:b/>
          <w:bCs/>
          <w:lang w:val="es-CR"/>
        </w:rPr>
        <w:t xml:space="preserve">Revisión de los roles críticos dentro del ciclo de vida del proyecto: </w:t>
      </w:r>
      <w:r w:rsidRPr="007D6496">
        <w:rPr>
          <w:lang w:val="es-CR"/>
        </w:rPr>
        <w:t xml:space="preserve">se propone redefinir los perfiles y responsabilidades de actores clave como el Project Manager, Coordinador de Diseño y Jefe de Obra, asegurando su </w:t>
      </w:r>
      <w:r w:rsidRPr="007D6496">
        <w:rPr>
          <w:lang w:val="es-CR"/>
        </w:rPr>
        <w:lastRenderedPageBreak/>
        <w:t>involucramiento desde las fases iniciales y promoviendo una visión conjunta del proyecto.</w:t>
      </w:r>
    </w:p>
    <w:p w14:paraId="1DB19715" w14:textId="0716785B" w:rsidR="007D6496" w:rsidRPr="00237B6D" w:rsidRDefault="007D6496" w:rsidP="00237B6D">
      <w:pPr>
        <w:pStyle w:val="APA"/>
        <w:rPr>
          <w:lang w:val="es-CR"/>
        </w:rPr>
      </w:pPr>
      <w:r w:rsidRPr="007D6496">
        <w:rPr>
          <w:lang w:val="es-CR"/>
        </w:rPr>
        <w:t>Estas acciones permitirán evolucionar hacia una cultura organizacional colaborativa, centrada en procesos estandarizados, con mayor capacidad de respuesta ante cambios y alineada con los objetivos estratégicos de eficiencia, calidad y satisfacción del cliente.</w:t>
      </w:r>
    </w:p>
    <w:p w14:paraId="0FA379AC" w14:textId="77777777" w:rsidR="00B22FCC" w:rsidRDefault="00EB79DA" w:rsidP="00B22FCC">
      <w:pPr>
        <w:pStyle w:val="Ttulo2"/>
        <w:numPr>
          <w:ilvl w:val="1"/>
          <w:numId w:val="113"/>
        </w:numPr>
      </w:pPr>
      <w:bookmarkStart w:id="98" w:name="_Toc212406383"/>
      <w:r w:rsidRPr="008837A0">
        <w:t>Desarrollar un plan de implementación de las mejoras propuestas, para facilitar su adopción en los proyectos futuros</w:t>
      </w:r>
      <w:bookmarkEnd w:id="98"/>
    </w:p>
    <w:p w14:paraId="4AF81AF5" w14:textId="4D4CA003" w:rsidR="00EB79DA" w:rsidRPr="00B22FCC" w:rsidRDefault="00EB79DA" w:rsidP="00B22FCC">
      <w:pPr>
        <w:pStyle w:val="Ttulo2"/>
        <w:numPr>
          <w:ilvl w:val="2"/>
          <w:numId w:val="113"/>
        </w:numPr>
      </w:pPr>
      <w:bookmarkStart w:id="99" w:name="_Toc212406384"/>
      <w:r w:rsidRPr="0098201D">
        <w:t>Objetivo y alcance del plan de implementación</w:t>
      </w:r>
      <w:bookmarkEnd w:id="99"/>
    </w:p>
    <w:p w14:paraId="247D5AD7" w14:textId="77777777" w:rsidR="00A24A58" w:rsidRDefault="0000416C" w:rsidP="0000416C">
      <w:pPr>
        <w:pStyle w:val="APA"/>
        <w:rPr>
          <w:lang w:val="es-CR"/>
        </w:rPr>
      </w:pPr>
      <w:r w:rsidRPr="0000416C">
        <w:rPr>
          <w:lang w:val="es-CR"/>
        </w:rPr>
        <w:t>E</w:t>
      </w:r>
      <w:r>
        <w:rPr>
          <w:lang w:val="es-CR"/>
        </w:rPr>
        <w:t>ste apartado</w:t>
      </w:r>
      <w:r w:rsidRPr="0000416C">
        <w:rPr>
          <w:lang w:val="es-CR"/>
        </w:rPr>
        <w:t xml:space="preserve"> tiene como </w:t>
      </w:r>
      <w:r>
        <w:rPr>
          <w:lang w:val="es-CR"/>
        </w:rPr>
        <w:t>objetivo</w:t>
      </w:r>
      <w:r w:rsidRPr="0000416C">
        <w:rPr>
          <w:lang w:val="es-CR"/>
        </w:rPr>
        <w:t xml:space="preserve"> establecer una hoja de ruta</w:t>
      </w:r>
      <w:r w:rsidR="00A24A58">
        <w:rPr>
          <w:lang w:val="es-CR"/>
        </w:rPr>
        <w:t xml:space="preserve"> </w:t>
      </w:r>
      <w:r w:rsidRPr="0000416C">
        <w:rPr>
          <w:lang w:val="es-CR"/>
        </w:rPr>
        <w:t>detallada y adaptable que permita las mejoras propuestas en los procesos de planificación y control de</w:t>
      </w:r>
      <w:r w:rsidR="00A24A58">
        <w:rPr>
          <w:lang w:val="es-CR"/>
        </w:rPr>
        <w:t xml:space="preserve"> los</w:t>
      </w:r>
      <w:r w:rsidRPr="0000416C">
        <w:rPr>
          <w:lang w:val="es-CR"/>
        </w:rPr>
        <w:t xml:space="preserve"> proyectos</w:t>
      </w:r>
      <w:r w:rsidR="00A24A58">
        <w:rPr>
          <w:lang w:val="es-CR"/>
        </w:rPr>
        <w:t xml:space="preserve"> de</w:t>
      </w:r>
      <w:r w:rsidRPr="0000416C">
        <w:rPr>
          <w:lang w:val="es-CR"/>
        </w:rPr>
        <w:t xml:space="preserve"> Design &amp; Build en Contract Workplaces. </w:t>
      </w:r>
    </w:p>
    <w:p w14:paraId="1708FC59" w14:textId="7F2E0B88" w:rsidR="0000416C" w:rsidRPr="0000416C" w:rsidRDefault="0000416C" w:rsidP="0000416C">
      <w:pPr>
        <w:pStyle w:val="APA"/>
        <w:rPr>
          <w:lang w:val="es-CR"/>
        </w:rPr>
      </w:pPr>
      <w:r w:rsidRPr="0000416C">
        <w:rPr>
          <w:lang w:val="es-CR"/>
        </w:rPr>
        <w:t>Este plan busca:</w:t>
      </w:r>
    </w:p>
    <w:p w14:paraId="4EC5973B" w14:textId="77777777" w:rsidR="0000416C" w:rsidRPr="0000416C" w:rsidRDefault="0000416C" w:rsidP="0098201D">
      <w:pPr>
        <w:pStyle w:val="APA"/>
        <w:numPr>
          <w:ilvl w:val="0"/>
          <w:numId w:val="116"/>
        </w:numPr>
        <w:rPr>
          <w:lang w:val="es-CR"/>
        </w:rPr>
      </w:pPr>
      <w:r w:rsidRPr="0000416C">
        <w:rPr>
          <w:lang w:val="es-CR"/>
        </w:rPr>
        <w:t xml:space="preserve">Asegurar la </w:t>
      </w:r>
      <w:r w:rsidRPr="0098201D">
        <w:rPr>
          <w:lang w:val="es-CR"/>
        </w:rPr>
        <w:t>integración temprana</w:t>
      </w:r>
      <w:r w:rsidRPr="0000416C">
        <w:rPr>
          <w:lang w:val="es-CR"/>
        </w:rPr>
        <w:t xml:space="preserve"> de todas las disciplinas involucradas, reduciendo los vacíos de información que provocan reprocesos y sobrecostos.</w:t>
      </w:r>
    </w:p>
    <w:p w14:paraId="0D47956B" w14:textId="77777777" w:rsidR="0000416C" w:rsidRPr="0000416C" w:rsidRDefault="0000416C" w:rsidP="0098201D">
      <w:pPr>
        <w:pStyle w:val="APA"/>
        <w:numPr>
          <w:ilvl w:val="0"/>
          <w:numId w:val="116"/>
        </w:numPr>
        <w:rPr>
          <w:lang w:val="es-CR"/>
        </w:rPr>
      </w:pPr>
      <w:r w:rsidRPr="0000416C">
        <w:rPr>
          <w:lang w:val="es-CR"/>
        </w:rPr>
        <w:t xml:space="preserve">Potenciar la </w:t>
      </w:r>
      <w:r w:rsidRPr="0098201D">
        <w:rPr>
          <w:lang w:val="es-CR"/>
        </w:rPr>
        <w:t>coordinación interdisciplinaria</w:t>
      </w:r>
      <w:r w:rsidRPr="0000416C">
        <w:rPr>
          <w:lang w:val="es-CR"/>
        </w:rPr>
        <w:t xml:space="preserve"> mediante metodologías colaborativas que promuevan la transparencia, la comunicación constante y la toma de decisiones basada en datos.</w:t>
      </w:r>
    </w:p>
    <w:p w14:paraId="0E3BDB54" w14:textId="77777777" w:rsidR="0000416C" w:rsidRPr="0000416C" w:rsidRDefault="0000416C" w:rsidP="0098201D">
      <w:pPr>
        <w:pStyle w:val="APA"/>
        <w:numPr>
          <w:ilvl w:val="0"/>
          <w:numId w:val="116"/>
        </w:numPr>
        <w:rPr>
          <w:lang w:val="es-CR"/>
        </w:rPr>
      </w:pPr>
      <w:r w:rsidRPr="0000416C">
        <w:rPr>
          <w:lang w:val="es-CR"/>
        </w:rPr>
        <w:t xml:space="preserve">Garantizar el </w:t>
      </w:r>
      <w:r w:rsidRPr="0098201D">
        <w:rPr>
          <w:lang w:val="es-CR"/>
        </w:rPr>
        <w:t>uso eficiente de herramientas digitales</w:t>
      </w:r>
      <w:r w:rsidRPr="0000416C">
        <w:rPr>
          <w:lang w:val="es-CR"/>
        </w:rPr>
        <w:t xml:space="preserve"> y de control, como BIM, plataformas colaborativas y sistemas de gestión de tareas, que permitan un seguimiento centralizado y en tiempo real.</w:t>
      </w:r>
    </w:p>
    <w:p w14:paraId="1FBAA8CB" w14:textId="38C13965" w:rsidR="00EB79DA" w:rsidRPr="0098201D" w:rsidRDefault="0000416C" w:rsidP="0098201D">
      <w:pPr>
        <w:pStyle w:val="APA"/>
        <w:rPr>
          <w:lang w:val="es-CR"/>
        </w:rPr>
      </w:pPr>
      <w:r w:rsidRPr="0019485D">
        <w:rPr>
          <w:lang w:val="es-CR"/>
        </w:rPr>
        <w:t xml:space="preserve">El alcance de este plan incluye </w:t>
      </w:r>
      <w:r w:rsidR="0019485D">
        <w:rPr>
          <w:lang w:val="es-CR"/>
        </w:rPr>
        <w:t>estas</w:t>
      </w:r>
      <w:r w:rsidRPr="0019485D">
        <w:rPr>
          <w:lang w:val="es-CR"/>
        </w:rPr>
        <w:t xml:space="preserve"> fases del ciclo de vida del proyecto: planificación, ejecución, monitoreo y control, y cierre. Se implementará de manera gradual, iniciando con un </w:t>
      </w:r>
      <w:r w:rsidRPr="0098201D">
        <w:rPr>
          <w:lang w:val="es-CR"/>
        </w:rPr>
        <w:t>proyecto piloto</w:t>
      </w:r>
      <w:r w:rsidRPr="0019485D">
        <w:rPr>
          <w:lang w:val="es-CR"/>
        </w:rPr>
        <w:t xml:space="preserve"> para medir resultados, identificar posibles ajustes y, posteriormente, realizar un despliegue completo en todos los proyectos Design &amp; Build de la compañía.</w:t>
      </w:r>
    </w:p>
    <w:p w14:paraId="5FC92813" w14:textId="7FEF0FD4" w:rsidR="00EB79DA" w:rsidRPr="00B22FCC" w:rsidRDefault="00EB79DA" w:rsidP="00B22FCC">
      <w:pPr>
        <w:pStyle w:val="Ttulo2"/>
        <w:numPr>
          <w:ilvl w:val="2"/>
          <w:numId w:val="113"/>
        </w:numPr>
      </w:pPr>
      <w:bookmarkStart w:id="100" w:name="_Toc212406385"/>
      <w:r w:rsidRPr="00B22FCC">
        <w:lastRenderedPageBreak/>
        <w:t>Estrategia de implementación basada en acciones, roles y herramientas colaborativas</w:t>
      </w:r>
      <w:bookmarkEnd w:id="100"/>
    </w:p>
    <w:p w14:paraId="36D5AA6C" w14:textId="77777777" w:rsidR="00D25301" w:rsidRDefault="0045528F" w:rsidP="00D25301">
      <w:pPr>
        <w:pStyle w:val="APA"/>
        <w:rPr>
          <w:rStyle w:val="Refdecomentario"/>
        </w:rPr>
      </w:pPr>
      <w:r w:rsidRPr="0045528F">
        <w:t xml:space="preserve">La estrategia de implementación propuesta se estructura en tres componentes fundamentales: </w:t>
      </w:r>
      <w:r w:rsidRPr="0098201D">
        <w:t>estructurales, operativos y tecnológicos</w:t>
      </w:r>
      <w:r w:rsidRPr="0045528F">
        <w:t>. Esta clasificación se basa en enfoques de gestión del cambio organizacional y en propuestas de implementación de mejoras en gestión de proyectos recomendadas en la literatura (Kerzner, 2019</w:t>
      </w:r>
      <w:r>
        <w:t>)</w:t>
      </w:r>
      <w:r w:rsidRPr="0045528F">
        <w:t xml:space="preserve">; Project Management Institute </w:t>
      </w:r>
      <w:r>
        <w:t>(</w:t>
      </w:r>
      <w:r w:rsidRPr="0045528F">
        <w:t>PMI, 2021). De manera complementaria, algunos elementos se han adaptado a la realidad de Contract Workplaces y responden a las necesidades detectadas en el diagnóstico del proceso actual.</w:t>
      </w:r>
    </w:p>
    <w:p w14:paraId="0221817D" w14:textId="0BEC844F" w:rsidR="0019485D" w:rsidRPr="0098201D" w:rsidRDefault="00D25301" w:rsidP="0098201D">
      <w:pPr>
        <w:pStyle w:val="APA"/>
        <w:rPr>
          <w:lang w:val="es-CR"/>
        </w:rPr>
      </w:pPr>
      <w:r w:rsidRPr="0045528F" w:rsidDel="00D25301">
        <w:rPr>
          <w:rStyle w:val="Refdecomentario"/>
          <w:sz w:val="22"/>
          <w:szCs w:val="24"/>
        </w:rPr>
        <w:t xml:space="preserve"> </w:t>
      </w:r>
      <w:r>
        <w:rPr>
          <w:lang w:val="es-CR"/>
        </w:rPr>
        <w:t>Com</w:t>
      </w:r>
      <w:r w:rsidR="008825AE">
        <w:rPr>
          <w:lang w:val="es-CR"/>
        </w:rPr>
        <w:t xml:space="preserve">ponentes </w:t>
      </w:r>
      <w:r w:rsidR="008825AE" w:rsidRPr="008825AE">
        <w:rPr>
          <w:lang w:val="es-CR"/>
        </w:rPr>
        <w:t>estructurales</w:t>
      </w:r>
      <w:r w:rsidR="0019485D" w:rsidRPr="0098201D">
        <w:rPr>
          <w:lang w:val="es-CR"/>
        </w:rPr>
        <w:t>:</w:t>
      </w:r>
    </w:p>
    <w:p w14:paraId="5A713B40" w14:textId="77777777" w:rsidR="0019485D" w:rsidRPr="0098201D" w:rsidRDefault="0019485D" w:rsidP="0098201D">
      <w:pPr>
        <w:pStyle w:val="APA"/>
        <w:numPr>
          <w:ilvl w:val="1"/>
          <w:numId w:val="118"/>
        </w:numPr>
        <w:rPr>
          <w:lang w:val="es-CR"/>
        </w:rPr>
      </w:pPr>
      <w:r w:rsidRPr="0098201D">
        <w:rPr>
          <w:lang w:val="es-CR"/>
        </w:rPr>
        <w:t>Creación de una Oficina de Gestión de Proyectos (PMO) que centralice la supervisión y estandarización de procedimientos.</w:t>
      </w:r>
    </w:p>
    <w:p w14:paraId="44FAF1D9" w14:textId="77777777" w:rsidR="0019485D" w:rsidRPr="0098201D" w:rsidRDefault="0019485D" w:rsidP="0098201D">
      <w:pPr>
        <w:pStyle w:val="APA"/>
        <w:numPr>
          <w:ilvl w:val="1"/>
          <w:numId w:val="118"/>
        </w:numPr>
        <w:rPr>
          <w:lang w:val="es-CR"/>
        </w:rPr>
      </w:pPr>
      <w:r w:rsidRPr="0098201D">
        <w:rPr>
          <w:lang w:val="es-CR"/>
        </w:rPr>
        <w:t>Elaboración de un manual interno que documente las fases, roles, responsabilidades y herramientas a utilizar en cada etapa del proyecto.</w:t>
      </w:r>
    </w:p>
    <w:p w14:paraId="6A1CFC61" w14:textId="77777777" w:rsidR="0019485D" w:rsidRPr="0098201D" w:rsidRDefault="0019485D" w:rsidP="0098201D">
      <w:pPr>
        <w:pStyle w:val="APA"/>
        <w:numPr>
          <w:ilvl w:val="1"/>
          <w:numId w:val="118"/>
        </w:numPr>
        <w:rPr>
          <w:lang w:val="es-CR"/>
        </w:rPr>
      </w:pPr>
      <w:r w:rsidRPr="0098201D">
        <w:rPr>
          <w:lang w:val="es-CR"/>
        </w:rPr>
        <w:t>Definición de indicadores clave de desempeño (KPIs) vinculados a objetivos estratégicos.</w:t>
      </w:r>
    </w:p>
    <w:p w14:paraId="750AFA50" w14:textId="2CA0E648" w:rsidR="0019485D" w:rsidRPr="0098201D" w:rsidRDefault="008825AE" w:rsidP="0098201D">
      <w:pPr>
        <w:pStyle w:val="APA"/>
        <w:numPr>
          <w:ilvl w:val="0"/>
          <w:numId w:val="118"/>
        </w:numPr>
        <w:rPr>
          <w:lang w:val="es-CR"/>
        </w:rPr>
      </w:pPr>
      <w:r>
        <w:rPr>
          <w:lang w:val="es-CR"/>
        </w:rPr>
        <w:t xml:space="preserve">Componentes </w:t>
      </w:r>
      <w:r w:rsidRPr="008825AE">
        <w:rPr>
          <w:lang w:val="es-CR"/>
        </w:rPr>
        <w:t>operativos</w:t>
      </w:r>
      <w:r w:rsidR="0019485D" w:rsidRPr="0098201D">
        <w:rPr>
          <w:lang w:val="es-CR"/>
        </w:rPr>
        <w:t>:</w:t>
      </w:r>
    </w:p>
    <w:p w14:paraId="4131D08A" w14:textId="77777777" w:rsidR="0019485D" w:rsidRPr="0098201D" w:rsidRDefault="0019485D" w:rsidP="0098201D">
      <w:pPr>
        <w:pStyle w:val="APA"/>
        <w:numPr>
          <w:ilvl w:val="1"/>
          <w:numId w:val="118"/>
        </w:numPr>
        <w:rPr>
          <w:lang w:val="es-CR"/>
        </w:rPr>
      </w:pPr>
      <w:r w:rsidRPr="0098201D">
        <w:rPr>
          <w:lang w:val="es-CR"/>
        </w:rPr>
        <w:t>Nombramiento de un facilitador Lean en cada proyecto, encargado de coordinar la aplicación de Last Planner System (LPS), Target Value Design (TVD) y tableros Kanban.</w:t>
      </w:r>
    </w:p>
    <w:p w14:paraId="2F1A132E" w14:textId="77777777" w:rsidR="0019485D" w:rsidRPr="0098201D" w:rsidRDefault="0019485D" w:rsidP="0098201D">
      <w:pPr>
        <w:pStyle w:val="APA"/>
        <w:numPr>
          <w:ilvl w:val="1"/>
          <w:numId w:val="118"/>
        </w:numPr>
        <w:rPr>
          <w:lang w:val="es-CR"/>
        </w:rPr>
      </w:pPr>
      <w:r w:rsidRPr="0098201D">
        <w:rPr>
          <w:lang w:val="es-CR"/>
        </w:rPr>
        <w:t>Capacitación del equipo técnico en metodologías ágiles y colaborativas, reforzando habilidades en planificación inversa, identificación temprana de restricciones y control de producción.</w:t>
      </w:r>
    </w:p>
    <w:p w14:paraId="165E8569" w14:textId="77777777" w:rsidR="0019485D" w:rsidRPr="0098201D" w:rsidRDefault="0019485D" w:rsidP="0098201D">
      <w:pPr>
        <w:pStyle w:val="APA"/>
        <w:numPr>
          <w:ilvl w:val="1"/>
          <w:numId w:val="118"/>
        </w:numPr>
        <w:rPr>
          <w:lang w:val="es-CR"/>
        </w:rPr>
      </w:pPr>
      <w:r w:rsidRPr="0098201D">
        <w:rPr>
          <w:lang w:val="es-CR"/>
        </w:rPr>
        <w:t>Implementación de sesiones semanales de coordinación entre diseño, ingeniería y construcción.</w:t>
      </w:r>
    </w:p>
    <w:p w14:paraId="4330BB60" w14:textId="38625805" w:rsidR="0019485D" w:rsidRPr="0098201D" w:rsidRDefault="008825AE" w:rsidP="0098201D">
      <w:pPr>
        <w:pStyle w:val="APA"/>
        <w:numPr>
          <w:ilvl w:val="0"/>
          <w:numId w:val="118"/>
        </w:numPr>
        <w:rPr>
          <w:lang w:val="es-CR"/>
        </w:rPr>
      </w:pPr>
      <w:r>
        <w:rPr>
          <w:lang w:val="es-CR"/>
        </w:rPr>
        <w:lastRenderedPageBreak/>
        <w:t>Componentes</w:t>
      </w:r>
      <w:r w:rsidRPr="008825AE">
        <w:rPr>
          <w:lang w:val="es-CR"/>
        </w:rPr>
        <w:t xml:space="preserve"> tecnológicos</w:t>
      </w:r>
      <w:r w:rsidR="0019485D" w:rsidRPr="0098201D">
        <w:rPr>
          <w:lang w:val="es-CR"/>
        </w:rPr>
        <w:t>:</w:t>
      </w:r>
    </w:p>
    <w:p w14:paraId="3F912E7D" w14:textId="77777777" w:rsidR="0019485D" w:rsidRPr="0098201D" w:rsidRDefault="0019485D" w:rsidP="0098201D">
      <w:pPr>
        <w:pStyle w:val="APA"/>
        <w:numPr>
          <w:ilvl w:val="1"/>
          <w:numId w:val="118"/>
        </w:numPr>
        <w:rPr>
          <w:lang w:val="es-CR"/>
        </w:rPr>
      </w:pPr>
      <w:r w:rsidRPr="0098201D">
        <w:rPr>
          <w:lang w:val="es-CR"/>
        </w:rPr>
        <w:t>Integración de plataformas como Asana para gestión de tareas, BIM 360 para control de modelos y documentación, y tableros Power BI para seguimiento de KPIs.</w:t>
      </w:r>
    </w:p>
    <w:p w14:paraId="6922A84E" w14:textId="6B9AE799" w:rsidR="00EB79DA" w:rsidRPr="0098201D" w:rsidRDefault="0019485D" w:rsidP="0098201D">
      <w:pPr>
        <w:pStyle w:val="APA"/>
        <w:numPr>
          <w:ilvl w:val="1"/>
          <w:numId w:val="118"/>
        </w:numPr>
        <w:rPr>
          <w:lang w:val="es-CR"/>
        </w:rPr>
      </w:pPr>
      <w:r w:rsidRPr="0098201D">
        <w:rPr>
          <w:lang w:val="es-CR"/>
        </w:rPr>
        <w:t>Automatización de reportes de avance y alarmas de desviación mediante herramientas de análisis de datos</w:t>
      </w:r>
      <w:r w:rsidR="008825AE">
        <w:rPr>
          <w:lang w:val="es-CR"/>
        </w:rPr>
        <w:t>.</w:t>
      </w:r>
    </w:p>
    <w:p w14:paraId="46527369" w14:textId="2C0D80B3" w:rsidR="00EB79DA" w:rsidRPr="00B22FCC" w:rsidRDefault="00B22FCC" w:rsidP="00B22FCC">
      <w:pPr>
        <w:pStyle w:val="Ttulo2"/>
        <w:numPr>
          <w:ilvl w:val="2"/>
          <w:numId w:val="113"/>
        </w:numPr>
      </w:pPr>
      <w:r w:rsidRPr="00B22FCC">
        <w:t xml:space="preserve"> </w:t>
      </w:r>
      <w:bookmarkStart w:id="101" w:name="_Toc212406386"/>
      <w:r w:rsidR="00EB79DA" w:rsidRPr="00B22FCC">
        <w:t>Fases de ejecución e indicadores para el seguimiento y medición del éxito</w:t>
      </w:r>
      <w:r w:rsidR="005D4E6E" w:rsidRPr="00B22FCC">
        <w:t>.</w:t>
      </w:r>
      <w:bookmarkEnd w:id="101"/>
    </w:p>
    <w:p w14:paraId="19DFCF1B" w14:textId="77777777" w:rsidR="005D4E6E" w:rsidRPr="0098201D" w:rsidRDefault="005D4E6E" w:rsidP="0098201D">
      <w:pPr>
        <w:pStyle w:val="APA"/>
        <w:rPr>
          <w:lang w:val="es-CR"/>
        </w:rPr>
      </w:pPr>
      <w:r w:rsidRPr="0098201D">
        <w:rPr>
          <w:lang w:val="es-CR"/>
        </w:rPr>
        <w:t>El plan se desarrollará en cinco fases consecutivas, cada una con entregables específicos:</w:t>
      </w:r>
    </w:p>
    <w:p w14:paraId="3A18FCA0" w14:textId="77777777" w:rsidR="005D4E6E" w:rsidRPr="0098201D" w:rsidRDefault="005D4E6E" w:rsidP="0098201D">
      <w:pPr>
        <w:pStyle w:val="APA"/>
        <w:numPr>
          <w:ilvl w:val="1"/>
          <w:numId w:val="120"/>
        </w:numPr>
        <w:rPr>
          <w:lang w:val="es-CR"/>
        </w:rPr>
      </w:pPr>
      <w:r w:rsidRPr="0098201D">
        <w:rPr>
          <w:b/>
          <w:bCs/>
          <w:lang w:val="es-CR"/>
        </w:rPr>
        <w:t>Preparación interna:</w:t>
      </w:r>
      <w:r w:rsidRPr="0098201D">
        <w:rPr>
          <w:lang w:val="es-CR"/>
        </w:rPr>
        <w:t xml:space="preserve"> conformación de la PMO, capacitación inicial, definición de KPIs y preparación de plantillas de trabajo.</w:t>
      </w:r>
    </w:p>
    <w:p w14:paraId="6BA05A58" w14:textId="50393F7A" w:rsidR="005D4E6E" w:rsidRPr="0098201D" w:rsidRDefault="005D4E6E" w:rsidP="0098201D">
      <w:pPr>
        <w:pStyle w:val="APA"/>
        <w:numPr>
          <w:ilvl w:val="1"/>
          <w:numId w:val="120"/>
        </w:numPr>
        <w:rPr>
          <w:lang w:val="es-CR"/>
        </w:rPr>
      </w:pPr>
      <w:r w:rsidRPr="0098201D">
        <w:rPr>
          <w:b/>
          <w:bCs/>
          <w:lang w:val="es-CR"/>
        </w:rPr>
        <w:t>Integración de herramientas:</w:t>
      </w:r>
      <w:r w:rsidRPr="0098201D">
        <w:rPr>
          <w:lang w:val="es-CR"/>
        </w:rPr>
        <w:t xml:space="preserve"> configuración de Asana, BIM 360 y tableros de control, además de la adaptación de </w:t>
      </w:r>
      <w:r w:rsidRPr="005D4E6E">
        <w:t>Last Planner System</w:t>
      </w:r>
      <w:r w:rsidRPr="0098201D">
        <w:rPr>
          <w:lang w:val="es-CR"/>
        </w:rPr>
        <w:t xml:space="preserve"> y </w:t>
      </w:r>
      <w:r w:rsidRPr="005D4E6E">
        <w:t>Target Value Design</w:t>
      </w:r>
      <w:r w:rsidRPr="0098201D">
        <w:rPr>
          <w:lang w:val="es-CR"/>
        </w:rPr>
        <w:t xml:space="preserve"> al contexto de la empresa.</w:t>
      </w:r>
    </w:p>
    <w:p w14:paraId="01B6C21B" w14:textId="77777777" w:rsidR="005D4E6E" w:rsidRPr="0098201D" w:rsidRDefault="005D4E6E" w:rsidP="0098201D">
      <w:pPr>
        <w:pStyle w:val="APA"/>
        <w:numPr>
          <w:ilvl w:val="1"/>
          <w:numId w:val="120"/>
        </w:numPr>
        <w:rPr>
          <w:lang w:val="es-CR"/>
        </w:rPr>
      </w:pPr>
      <w:r w:rsidRPr="0098201D">
        <w:rPr>
          <w:b/>
          <w:bCs/>
          <w:lang w:val="es-CR"/>
        </w:rPr>
        <w:t>Proyecto piloto:</w:t>
      </w:r>
      <w:r w:rsidRPr="0098201D">
        <w:rPr>
          <w:lang w:val="es-CR"/>
        </w:rPr>
        <w:t xml:space="preserve"> aplicación controlada en un caso representativo para evaluar la efectividad del flujo de trabajo y las herramientas propuestas.</w:t>
      </w:r>
    </w:p>
    <w:p w14:paraId="5B413B15" w14:textId="77777777" w:rsidR="005D4E6E" w:rsidRPr="0098201D" w:rsidRDefault="005D4E6E" w:rsidP="0098201D">
      <w:pPr>
        <w:pStyle w:val="APA"/>
        <w:numPr>
          <w:ilvl w:val="1"/>
          <w:numId w:val="120"/>
        </w:numPr>
        <w:rPr>
          <w:lang w:val="es-CR"/>
        </w:rPr>
      </w:pPr>
      <w:r w:rsidRPr="0098201D">
        <w:rPr>
          <w:b/>
          <w:bCs/>
          <w:lang w:val="es-CR"/>
        </w:rPr>
        <w:t>Evaluación y ajustes:</w:t>
      </w:r>
      <w:r w:rsidRPr="0098201D">
        <w:rPr>
          <w:lang w:val="es-CR"/>
        </w:rPr>
        <w:t xml:space="preserve"> análisis de desempeño, entrevistas con stakeholders y mejoras basadas en retroalimentación.</w:t>
      </w:r>
    </w:p>
    <w:p w14:paraId="081C78BA" w14:textId="17934978" w:rsidR="00BB6EA7" w:rsidRPr="00BB6EA7" w:rsidRDefault="005D4E6E" w:rsidP="0098201D">
      <w:pPr>
        <w:pStyle w:val="APA"/>
        <w:numPr>
          <w:ilvl w:val="1"/>
          <w:numId w:val="120"/>
        </w:numPr>
        <w:rPr>
          <w:lang w:val="es-CR"/>
        </w:rPr>
      </w:pPr>
      <w:r w:rsidRPr="0098201D">
        <w:rPr>
          <w:b/>
          <w:bCs/>
          <w:lang w:val="es-CR"/>
        </w:rPr>
        <w:t>Escalamiento:</w:t>
      </w:r>
      <w:r w:rsidRPr="0098201D">
        <w:rPr>
          <w:lang w:val="es-CR"/>
        </w:rPr>
        <w:t xml:space="preserve"> implementación masiva en todos los proyectos Design &amp; Build.</w:t>
      </w:r>
    </w:p>
    <w:p w14:paraId="475028F3" w14:textId="7E0C6275" w:rsidR="00BB6EA7" w:rsidRPr="00BB6EA7" w:rsidRDefault="00BB6EA7" w:rsidP="00BB6EA7">
      <w:pPr>
        <w:pStyle w:val="APA"/>
        <w:rPr>
          <w:lang w:val="es-CR"/>
        </w:rPr>
      </w:pPr>
      <w:r w:rsidRPr="00BB6EA7">
        <w:rPr>
          <w:lang w:val="es-CR"/>
        </w:rPr>
        <w:t xml:space="preserve">Para evaluar </w:t>
      </w:r>
      <w:r>
        <w:rPr>
          <w:lang w:val="es-CR"/>
        </w:rPr>
        <w:t xml:space="preserve">los indicadores de seguimiento y </w:t>
      </w:r>
      <w:r w:rsidRPr="00BB6EA7">
        <w:rPr>
          <w:lang w:val="es-CR"/>
        </w:rPr>
        <w:t>la efectividad del plan de implementación propuesto, se establecieron indicadores clave de desempeño</w:t>
      </w:r>
      <w:r>
        <w:rPr>
          <w:lang w:val="es-CR"/>
        </w:rPr>
        <w:t>,</w:t>
      </w:r>
      <w:r w:rsidRPr="00BB6EA7">
        <w:rPr>
          <w:lang w:val="es-CR"/>
        </w:rPr>
        <w:t xml:space="preserve"> que permiten medir el grado de cumplimiento de los objetivos en términos de tiempo, costo y calidad. Según Parmenter (2019), los KPI son métricas cuantificables que ayudan a las organizaciones a evaluar su progreso hacia metas específicas y facilitan la toma de decisiones basada en datos.</w:t>
      </w:r>
    </w:p>
    <w:p w14:paraId="693FC0A6" w14:textId="77777777" w:rsidR="00BB6EA7" w:rsidRPr="00BB6EA7" w:rsidRDefault="00BB6EA7" w:rsidP="0098201D">
      <w:pPr>
        <w:pStyle w:val="APA"/>
        <w:ind w:firstLine="0"/>
        <w:rPr>
          <w:lang w:val="es-CR"/>
        </w:rPr>
      </w:pPr>
      <w:r w:rsidRPr="00BB6EA7">
        <w:rPr>
          <w:lang w:val="es-CR"/>
        </w:rPr>
        <w:t>En este proyecto, se definieron los siguientes indicadores:</w:t>
      </w:r>
    </w:p>
    <w:p w14:paraId="4DCEA05B" w14:textId="77777777" w:rsidR="00BB6EA7" w:rsidRPr="00BB6EA7" w:rsidRDefault="00BB6EA7" w:rsidP="00BB6EA7">
      <w:pPr>
        <w:pStyle w:val="APA"/>
        <w:numPr>
          <w:ilvl w:val="0"/>
          <w:numId w:val="123"/>
        </w:numPr>
        <w:rPr>
          <w:lang w:val="es-CR"/>
        </w:rPr>
      </w:pPr>
      <w:r w:rsidRPr="00BB6EA7">
        <w:rPr>
          <w:b/>
          <w:bCs/>
          <w:lang w:val="es-CR"/>
        </w:rPr>
        <w:lastRenderedPageBreak/>
        <w:t>Porcentaje de cumplimiento de hitos</w:t>
      </w:r>
      <w:r w:rsidRPr="00BB6EA7">
        <w:rPr>
          <w:lang w:val="es-CR"/>
        </w:rPr>
        <w:br/>
        <w:t>Mide la proporción de hitos planificados (entregas, fases o actividades críticas) que se completan en las fechas previstas. Un alto porcentaje indica un control efectivo del cronograma y una correcta secuencia de actividades (Kerzner, 2022).</w:t>
      </w:r>
    </w:p>
    <w:p w14:paraId="0AEAAD29" w14:textId="77777777" w:rsidR="00BB6EA7" w:rsidRPr="00BB6EA7" w:rsidRDefault="00BB6EA7" w:rsidP="00BB6EA7">
      <w:pPr>
        <w:pStyle w:val="APA"/>
        <w:numPr>
          <w:ilvl w:val="0"/>
          <w:numId w:val="123"/>
        </w:numPr>
        <w:rPr>
          <w:lang w:val="es-CR"/>
        </w:rPr>
      </w:pPr>
      <w:r w:rsidRPr="00BB6EA7">
        <w:rPr>
          <w:b/>
          <w:bCs/>
          <w:lang w:val="es-CR"/>
        </w:rPr>
        <w:t>Reducción de reprocesos (%)</w:t>
      </w:r>
      <w:r w:rsidRPr="00BB6EA7">
        <w:rPr>
          <w:lang w:val="es-CR"/>
        </w:rPr>
        <w:br/>
        <w:t>Evalúa la disminución de trabajos repetidos debido a errores, omisiones o cambios no planificados. La reducción de reprocesos refleja una mayor precisión en la planificación y coordinación entre diseño y construcción, contribuyendo a la optimización de recursos.</w:t>
      </w:r>
    </w:p>
    <w:p w14:paraId="6801B929" w14:textId="77777777" w:rsidR="00BB6EA7" w:rsidRPr="00BB6EA7" w:rsidRDefault="00BB6EA7" w:rsidP="00BB6EA7">
      <w:pPr>
        <w:pStyle w:val="APA"/>
        <w:numPr>
          <w:ilvl w:val="0"/>
          <w:numId w:val="123"/>
        </w:numPr>
        <w:rPr>
          <w:lang w:val="es-CR"/>
        </w:rPr>
      </w:pPr>
      <w:r w:rsidRPr="00BB6EA7">
        <w:rPr>
          <w:b/>
          <w:bCs/>
          <w:lang w:val="es-CR"/>
        </w:rPr>
        <w:t>Variación presupuestaria (%)</w:t>
      </w:r>
      <w:r w:rsidRPr="00BB6EA7">
        <w:rPr>
          <w:lang w:val="es-CR"/>
        </w:rPr>
        <w:br/>
        <w:t>Compara el presupuesto inicial del proyecto con el gasto real, permitiendo identificar desviaciones. Una baja variación presupuestaria indica que el control de costos y la previsión financiera son adecuados (PMI, 2021).</w:t>
      </w:r>
    </w:p>
    <w:p w14:paraId="25294DBC" w14:textId="77777777" w:rsidR="00BB6EA7" w:rsidRPr="00BB6EA7" w:rsidRDefault="00BB6EA7" w:rsidP="00BB6EA7">
      <w:pPr>
        <w:pStyle w:val="APA"/>
        <w:numPr>
          <w:ilvl w:val="0"/>
          <w:numId w:val="123"/>
        </w:numPr>
        <w:rPr>
          <w:lang w:val="es-CR"/>
        </w:rPr>
      </w:pPr>
      <w:r w:rsidRPr="00BB6EA7">
        <w:rPr>
          <w:b/>
          <w:bCs/>
          <w:lang w:val="es-CR"/>
        </w:rPr>
        <w:t>Nivel de satisfacción del cliente</w:t>
      </w:r>
      <w:r w:rsidRPr="00BB6EA7">
        <w:rPr>
          <w:lang w:val="es-CR"/>
        </w:rPr>
        <w:br/>
        <w:t>Se determina mediante encuestas estructuradas al finalizar el proyecto, midiendo la percepción del cliente respecto a la calidad del diseño, la ejecución y la atención recibida. Este indicador está directamente relacionado con la fidelización y la reputación organizacional.</w:t>
      </w:r>
    </w:p>
    <w:p w14:paraId="3C97F818" w14:textId="77777777" w:rsidR="00BB6EA7" w:rsidRPr="00BB6EA7" w:rsidRDefault="00BB6EA7" w:rsidP="00BB6EA7">
      <w:pPr>
        <w:pStyle w:val="APA"/>
        <w:numPr>
          <w:ilvl w:val="0"/>
          <w:numId w:val="123"/>
        </w:numPr>
        <w:rPr>
          <w:lang w:val="es-CR"/>
        </w:rPr>
      </w:pPr>
      <w:r w:rsidRPr="00BB6EA7">
        <w:rPr>
          <w:b/>
          <w:bCs/>
          <w:lang w:val="es-CR"/>
        </w:rPr>
        <w:t>Tiempo promedio de respuesta ante cambios</w:t>
      </w:r>
      <w:r w:rsidRPr="00BB6EA7">
        <w:rPr>
          <w:lang w:val="es-CR"/>
        </w:rPr>
        <w:br/>
        <w:t>Mide el lapso transcurrido entre la solicitud de un cambio por parte del cliente y la implementación de la solución acordada. Un menor tiempo de respuesta refleja agilidad, coordinación interna y orientación al servicio.</w:t>
      </w:r>
    </w:p>
    <w:p w14:paraId="408EEB58" w14:textId="0A9D219A" w:rsidR="00B63A15" w:rsidRPr="0098201D" w:rsidRDefault="00BB6EA7" w:rsidP="0098201D">
      <w:pPr>
        <w:pStyle w:val="APA"/>
      </w:pPr>
      <w:r w:rsidRPr="0098201D">
        <w:t>El seguimiento periódico de estos indicadores permitirá no solo medir el impacto de las mejoras implementadas, sino también retroalimentar el proceso para su ajuste continuo, asegurando que la metodología adoptada se mantenga alineada con los objetivos estratégicos de Contract Workplaces.</w:t>
      </w:r>
    </w:p>
    <w:p w14:paraId="59E4A63A" w14:textId="569B7E77" w:rsidR="00D87210" w:rsidRDefault="00D27BB9" w:rsidP="00237B6D">
      <w:pPr>
        <w:pStyle w:val="Ttulo2"/>
        <w:numPr>
          <w:ilvl w:val="1"/>
          <w:numId w:val="113"/>
        </w:numPr>
      </w:pPr>
      <w:bookmarkStart w:id="102" w:name="_Toc212406387"/>
      <w:r w:rsidRPr="005D4E6E">
        <w:lastRenderedPageBreak/>
        <w:t>Comparar los procesos actuales con las propuestas de mejora desarrolladas, para identificar sus principales diferencias y beneficios en la gestión de proyectos “Design &amp; Build” en Contract Workplaces</w:t>
      </w:r>
      <w:bookmarkEnd w:id="102"/>
      <w:r w:rsidRPr="0098201D" w:rsidDel="00D27BB9">
        <w:t xml:space="preserve"> </w:t>
      </w:r>
    </w:p>
    <w:p w14:paraId="73096988" w14:textId="264F7359" w:rsidR="00D87210" w:rsidRDefault="00D87210">
      <w:pPr>
        <w:pStyle w:val="Ttulo3"/>
        <w:numPr>
          <w:ilvl w:val="2"/>
          <w:numId w:val="113"/>
        </w:numPr>
      </w:pPr>
      <w:bookmarkStart w:id="103" w:name="_Toc206077720"/>
      <w:bookmarkStart w:id="104" w:name="_Toc206141403"/>
      <w:bookmarkStart w:id="105" w:name="_Toc209379457"/>
      <w:bookmarkStart w:id="106" w:name="_Toc209971794"/>
      <w:bookmarkStart w:id="107" w:name="_Toc209971907"/>
      <w:bookmarkStart w:id="108" w:name="_Toc212406388"/>
      <w:bookmarkEnd w:id="103"/>
      <w:bookmarkEnd w:id="104"/>
      <w:bookmarkEnd w:id="105"/>
      <w:bookmarkEnd w:id="106"/>
      <w:bookmarkEnd w:id="107"/>
      <w:r w:rsidRPr="0098201D">
        <w:t>Comparación entre el proceso actual y el proceso propuesto</w:t>
      </w:r>
      <w:bookmarkEnd w:id="108"/>
    </w:p>
    <w:p w14:paraId="4CB6ADF0" w14:textId="56AB3130" w:rsidR="001D3BEF" w:rsidRDefault="001D3BEF">
      <w:pPr>
        <w:pStyle w:val="APA"/>
      </w:pPr>
      <w:r w:rsidRPr="001D3BEF">
        <w:t>E</w:t>
      </w:r>
      <w:r>
        <w:t>ste</w:t>
      </w:r>
      <w:r w:rsidRPr="001D3BEF">
        <w:t xml:space="preserve"> análisis comparativo fue una parte esencial para valorar la efectividad de las mejoras planteadas en este proyecto. </w:t>
      </w:r>
      <w:r>
        <w:t>S</w:t>
      </w:r>
      <w:r w:rsidRPr="001D3BEF">
        <w:t>e revisaron tres referentes: el flujo de trabajo que actualmente utiliza Contract Workplaces, el flujo propuesto a partir de la investigación y diseño de mejoras. Esta revisión permitió reconocer diferencias importantes, áreas con potencial de mejora y prácticas exitosas que pueden adaptarse a la realidad de la empresa, con el fin de optimizar la gestión de proyectos Design &amp; Build y lograr mejores resultados en tiempo, costo y calidad.</w:t>
      </w:r>
    </w:p>
    <w:p w14:paraId="4673B8C4" w14:textId="50183969" w:rsidR="00F212FE" w:rsidRDefault="00F212FE">
      <w:r>
        <w:br w:type="page"/>
      </w:r>
    </w:p>
    <w:p w14:paraId="4C5F5878" w14:textId="77777777" w:rsidR="002A5A75" w:rsidRDefault="002A5A75" w:rsidP="0098201D">
      <w:pPr>
        <w:pStyle w:val="APA"/>
      </w:pPr>
    </w:p>
    <w:p w14:paraId="738C44B3" w14:textId="6657ADE2" w:rsidR="00795FC2" w:rsidRDefault="00795FC2" w:rsidP="00795FC2">
      <w:pPr>
        <w:pBdr>
          <w:top w:val="nil"/>
          <w:left w:val="nil"/>
          <w:bottom w:val="nil"/>
          <w:right w:val="nil"/>
          <w:between w:val="nil"/>
        </w:pBdr>
        <w:spacing w:after="200"/>
        <w:ind w:firstLine="0"/>
        <w:rPr>
          <w:b/>
          <w:color w:val="000000"/>
        </w:rPr>
      </w:pPr>
      <w:bookmarkStart w:id="109" w:name="_Toc210425796"/>
      <w:r w:rsidRPr="0098201D">
        <w:rPr>
          <w:b/>
          <w:color w:val="000000"/>
        </w:rPr>
        <w:t xml:space="preserve">Tabla </w:t>
      </w:r>
      <w:r w:rsidRPr="0098201D">
        <w:rPr>
          <w:b/>
          <w:color w:val="000000"/>
        </w:rPr>
        <w:fldChar w:fldCharType="begin"/>
      </w:r>
      <w:r w:rsidRPr="0098201D">
        <w:rPr>
          <w:b/>
          <w:color w:val="000000"/>
        </w:rPr>
        <w:instrText xml:space="preserve"> SEQ Tabla \* ARABIC </w:instrText>
      </w:r>
      <w:r w:rsidRPr="0098201D">
        <w:rPr>
          <w:b/>
          <w:color w:val="000000"/>
        </w:rPr>
        <w:fldChar w:fldCharType="separate"/>
      </w:r>
      <w:r w:rsidRPr="0098201D">
        <w:rPr>
          <w:b/>
          <w:color w:val="000000"/>
        </w:rPr>
        <w:t>9</w:t>
      </w:r>
      <w:bookmarkEnd w:id="109"/>
      <w:r w:rsidRPr="0098201D">
        <w:rPr>
          <w:b/>
          <w:color w:val="000000"/>
        </w:rPr>
        <w:fldChar w:fldCharType="end"/>
      </w:r>
    </w:p>
    <w:p w14:paraId="6A6F9A3B" w14:textId="3D1C09F4" w:rsidR="001D3BEF" w:rsidRPr="0098201D" w:rsidRDefault="00B13FB5" w:rsidP="0098201D">
      <w:pPr>
        <w:pBdr>
          <w:top w:val="nil"/>
          <w:left w:val="nil"/>
          <w:bottom w:val="nil"/>
          <w:right w:val="nil"/>
          <w:between w:val="nil"/>
        </w:pBdr>
        <w:spacing w:after="200"/>
        <w:ind w:firstLine="0"/>
        <w:rPr>
          <w:bCs/>
          <w:i/>
          <w:iCs/>
          <w:color w:val="000000"/>
        </w:rPr>
      </w:pPr>
      <w:r w:rsidRPr="0098201D">
        <w:rPr>
          <w:bCs/>
          <w:i/>
          <w:iCs/>
          <w:color w:val="000000"/>
        </w:rPr>
        <w:t xml:space="preserve">Tabla </w:t>
      </w:r>
      <w:r>
        <w:rPr>
          <w:bCs/>
          <w:i/>
          <w:iCs/>
          <w:color w:val="000000"/>
        </w:rPr>
        <w:t>c</w:t>
      </w:r>
      <w:r w:rsidRPr="0098201D">
        <w:rPr>
          <w:bCs/>
          <w:i/>
          <w:iCs/>
          <w:color w:val="000000"/>
        </w:rPr>
        <w:t>omparativa de procesos CWP</w:t>
      </w:r>
    </w:p>
    <w:tbl>
      <w:tblPr>
        <w:tblStyle w:val="Tablaconcuadrcula"/>
        <w:tblpPr w:leftFromText="141" w:rightFromText="141" w:vertAnchor="text" w:horzAnchor="margin" w:tblpY="-361"/>
        <w:tblW w:w="0" w:type="auto"/>
        <w:tblLook w:val="04A0" w:firstRow="1" w:lastRow="0" w:firstColumn="1" w:lastColumn="0" w:noHBand="0" w:noVBand="1"/>
      </w:tblPr>
      <w:tblGrid>
        <w:gridCol w:w="2338"/>
        <w:gridCol w:w="2338"/>
        <w:gridCol w:w="2338"/>
        <w:gridCol w:w="2338"/>
      </w:tblGrid>
      <w:tr w:rsidR="00795FC2" w14:paraId="60E3FDB1" w14:textId="77777777" w:rsidTr="00795FC2">
        <w:tc>
          <w:tcPr>
            <w:tcW w:w="2338" w:type="dxa"/>
            <w:shd w:val="clear" w:color="auto" w:fill="D0CECE" w:themeFill="background2" w:themeFillShade="E6"/>
          </w:tcPr>
          <w:p w14:paraId="7C1C8051" w14:textId="77777777" w:rsidR="00C32564" w:rsidRPr="0098201D" w:rsidRDefault="00C32564" w:rsidP="00795FC2">
            <w:pPr>
              <w:ind w:firstLine="0"/>
              <w:rPr>
                <w:sz w:val="20"/>
                <w:szCs w:val="20"/>
              </w:rPr>
            </w:pPr>
          </w:p>
        </w:tc>
        <w:tc>
          <w:tcPr>
            <w:tcW w:w="2338" w:type="dxa"/>
            <w:shd w:val="clear" w:color="auto" w:fill="D0CECE" w:themeFill="background2" w:themeFillShade="E6"/>
          </w:tcPr>
          <w:p w14:paraId="6C73B10A" w14:textId="77777777" w:rsidR="00C32564" w:rsidRPr="0098201D" w:rsidRDefault="00C32564" w:rsidP="0098201D">
            <w:pPr>
              <w:ind w:firstLine="0"/>
              <w:jc w:val="center"/>
              <w:rPr>
                <w:b/>
                <w:bCs/>
                <w:sz w:val="20"/>
                <w:szCs w:val="20"/>
              </w:rPr>
            </w:pPr>
            <w:r w:rsidRPr="0098201D">
              <w:rPr>
                <w:b/>
                <w:bCs/>
                <w:sz w:val="20"/>
                <w:szCs w:val="20"/>
              </w:rPr>
              <w:t>Proceso actual</w:t>
            </w:r>
          </w:p>
        </w:tc>
        <w:tc>
          <w:tcPr>
            <w:tcW w:w="2338" w:type="dxa"/>
            <w:shd w:val="clear" w:color="auto" w:fill="D0CECE" w:themeFill="background2" w:themeFillShade="E6"/>
          </w:tcPr>
          <w:p w14:paraId="2D5BB22A" w14:textId="2D3ECBBB" w:rsidR="00C32564" w:rsidRPr="0098201D" w:rsidRDefault="00C32564" w:rsidP="0098201D">
            <w:pPr>
              <w:ind w:firstLine="0"/>
              <w:jc w:val="center"/>
              <w:rPr>
                <w:b/>
                <w:bCs/>
                <w:sz w:val="20"/>
                <w:szCs w:val="20"/>
              </w:rPr>
            </w:pPr>
            <w:r w:rsidRPr="0098201D">
              <w:rPr>
                <w:b/>
                <w:bCs/>
                <w:sz w:val="20"/>
                <w:szCs w:val="20"/>
              </w:rPr>
              <w:t>Proceso Propuesto</w:t>
            </w:r>
          </w:p>
        </w:tc>
        <w:tc>
          <w:tcPr>
            <w:tcW w:w="2338" w:type="dxa"/>
            <w:shd w:val="clear" w:color="auto" w:fill="D0CECE" w:themeFill="background2" w:themeFillShade="E6"/>
          </w:tcPr>
          <w:p w14:paraId="31CEAD88" w14:textId="77777777" w:rsidR="00C32564" w:rsidRPr="0098201D" w:rsidRDefault="00C32564" w:rsidP="0098201D">
            <w:pPr>
              <w:ind w:firstLine="0"/>
              <w:jc w:val="center"/>
              <w:rPr>
                <w:b/>
                <w:bCs/>
                <w:sz w:val="20"/>
                <w:szCs w:val="20"/>
              </w:rPr>
            </w:pPr>
            <w:r w:rsidRPr="0098201D">
              <w:rPr>
                <w:b/>
                <w:bCs/>
                <w:sz w:val="20"/>
                <w:szCs w:val="20"/>
              </w:rPr>
              <w:t>Beneficio Esperado</w:t>
            </w:r>
          </w:p>
        </w:tc>
      </w:tr>
      <w:tr w:rsidR="002312C8" w14:paraId="30F92C5D" w14:textId="77777777" w:rsidTr="002312C8">
        <w:tc>
          <w:tcPr>
            <w:tcW w:w="2338" w:type="dxa"/>
            <w:shd w:val="clear" w:color="auto" w:fill="D0CECE" w:themeFill="background2" w:themeFillShade="E6"/>
          </w:tcPr>
          <w:p w14:paraId="25884D7D" w14:textId="77777777" w:rsidR="00C32564" w:rsidRPr="0098201D" w:rsidRDefault="00C32564" w:rsidP="0098201D">
            <w:pPr>
              <w:spacing w:line="276" w:lineRule="auto"/>
              <w:ind w:firstLine="0"/>
              <w:jc w:val="center"/>
              <w:rPr>
                <w:b/>
                <w:bCs/>
                <w:sz w:val="20"/>
                <w:szCs w:val="20"/>
              </w:rPr>
            </w:pPr>
            <w:r w:rsidRPr="0098201D">
              <w:rPr>
                <w:b/>
                <w:bCs/>
                <w:sz w:val="20"/>
                <w:szCs w:val="20"/>
              </w:rPr>
              <w:t>Planificación</w:t>
            </w:r>
          </w:p>
        </w:tc>
        <w:tc>
          <w:tcPr>
            <w:tcW w:w="2338" w:type="dxa"/>
          </w:tcPr>
          <w:p w14:paraId="7911743F" w14:textId="77777777" w:rsidR="00C32564" w:rsidRPr="0098201D" w:rsidRDefault="00C32564" w:rsidP="0098201D">
            <w:pPr>
              <w:spacing w:line="360" w:lineRule="auto"/>
              <w:ind w:firstLine="0"/>
              <w:rPr>
                <w:sz w:val="20"/>
                <w:szCs w:val="20"/>
              </w:rPr>
            </w:pPr>
            <w:r w:rsidRPr="0098201D">
              <w:rPr>
                <w:sz w:val="20"/>
                <w:szCs w:val="20"/>
              </w:rPr>
              <w:t xml:space="preserve">Cronogramas independientes por disciplina </w:t>
            </w:r>
          </w:p>
        </w:tc>
        <w:tc>
          <w:tcPr>
            <w:tcW w:w="2338" w:type="dxa"/>
          </w:tcPr>
          <w:p w14:paraId="2DA58BCD" w14:textId="28C886E6" w:rsidR="00C32564" w:rsidRPr="0098201D" w:rsidRDefault="00C32564" w:rsidP="0098201D">
            <w:pPr>
              <w:spacing w:line="360" w:lineRule="auto"/>
              <w:ind w:firstLine="0"/>
              <w:rPr>
                <w:sz w:val="20"/>
                <w:szCs w:val="20"/>
              </w:rPr>
            </w:pPr>
            <w:r w:rsidRPr="0098201D">
              <w:rPr>
                <w:sz w:val="20"/>
                <w:szCs w:val="20"/>
              </w:rPr>
              <w:t xml:space="preserve">Cronograma maestro integrado con </w:t>
            </w:r>
            <w:r w:rsidRPr="0098201D">
              <w:rPr>
                <w:sz w:val="20"/>
                <w:szCs w:val="20"/>
                <w:lang w:val="es-CR"/>
              </w:rPr>
              <w:t>Last Planner System y Target Value Design.</w:t>
            </w:r>
          </w:p>
        </w:tc>
        <w:tc>
          <w:tcPr>
            <w:tcW w:w="2338" w:type="dxa"/>
          </w:tcPr>
          <w:p w14:paraId="42F0F524" w14:textId="77777777" w:rsidR="00C32564" w:rsidRPr="0098201D" w:rsidRDefault="00C32564" w:rsidP="0098201D">
            <w:pPr>
              <w:spacing w:line="360" w:lineRule="auto"/>
              <w:ind w:firstLine="0"/>
              <w:rPr>
                <w:sz w:val="20"/>
                <w:szCs w:val="20"/>
              </w:rPr>
            </w:pPr>
            <w:r w:rsidRPr="0098201D">
              <w:rPr>
                <w:sz w:val="20"/>
                <w:szCs w:val="20"/>
              </w:rPr>
              <w:t>Mayor coherencia entre disciplinas y reducción de conflictos.</w:t>
            </w:r>
          </w:p>
        </w:tc>
      </w:tr>
      <w:tr w:rsidR="002312C8" w14:paraId="0B847EFC" w14:textId="77777777" w:rsidTr="002312C8">
        <w:tc>
          <w:tcPr>
            <w:tcW w:w="2338" w:type="dxa"/>
            <w:shd w:val="clear" w:color="auto" w:fill="D0CECE" w:themeFill="background2" w:themeFillShade="E6"/>
          </w:tcPr>
          <w:p w14:paraId="6227ADCC" w14:textId="77777777" w:rsidR="00C32564" w:rsidRPr="0098201D" w:rsidRDefault="00C32564" w:rsidP="0098201D">
            <w:pPr>
              <w:spacing w:line="276" w:lineRule="auto"/>
              <w:ind w:firstLine="0"/>
              <w:jc w:val="center"/>
              <w:rPr>
                <w:b/>
                <w:bCs/>
                <w:sz w:val="20"/>
                <w:szCs w:val="20"/>
              </w:rPr>
            </w:pPr>
            <w:r w:rsidRPr="0098201D">
              <w:rPr>
                <w:b/>
                <w:bCs/>
                <w:sz w:val="20"/>
                <w:szCs w:val="20"/>
              </w:rPr>
              <w:t>Control</w:t>
            </w:r>
          </w:p>
        </w:tc>
        <w:tc>
          <w:tcPr>
            <w:tcW w:w="2338" w:type="dxa"/>
          </w:tcPr>
          <w:p w14:paraId="274345ED" w14:textId="77777777" w:rsidR="00C32564" w:rsidRPr="0098201D" w:rsidRDefault="00C32564" w:rsidP="0098201D">
            <w:pPr>
              <w:spacing w:line="360" w:lineRule="auto"/>
              <w:ind w:firstLine="0"/>
              <w:rPr>
                <w:sz w:val="20"/>
                <w:szCs w:val="20"/>
              </w:rPr>
            </w:pPr>
            <w:r w:rsidRPr="0098201D">
              <w:rPr>
                <w:sz w:val="20"/>
                <w:szCs w:val="20"/>
              </w:rPr>
              <w:t>Seguimiento no unificado, sin tablero de indicadores central.</w:t>
            </w:r>
          </w:p>
        </w:tc>
        <w:tc>
          <w:tcPr>
            <w:tcW w:w="2338" w:type="dxa"/>
          </w:tcPr>
          <w:p w14:paraId="5ADE4E44" w14:textId="77777777" w:rsidR="00C32564" w:rsidRPr="0098201D" w:rsidRDefault="00C32564" w:rsidP="0098201D">
            <w:pPr>
              <w:spacing w:line="360" w:lineRule="auto"/>
              <w:ind w:firstLine="0"/>
              <w:rPr>
                <w:sz w:val="20"/>
                <w:szCs w:val="20"/>
              </w:rPr>
            </w:pPr>
            <w:r w:rsidRPr="0098201D">
              <w:rPr>
                <w:sz w:val="20"/>
                <w:szCs w:val="20"/>
              </w:rPr>
              <w:t>KPIs centralizados y seguimiento visual en tablero digital.</w:t>
            </w:r>
          </w:p>
        </w:tc>
        <w:tc>
          <w:tcPr>
            <w:tcW w:w="2338" w:type="dxa"/>
          </w:tcPr>
          <w:p w14:paraId="1D6D773F" w14:textId="77777777" w:rsidR="00C32564" w:rsidRPr="0098201D" w:rsidRDefault="00C32564" w:rsidP="0098201D">
            <w:pPr>
              <w:spacing w:line="360" w:lineRule="auto"/>
              <w:ind w:firstLine="0"/>
              <w:rPr>
                <w:sz w:val="20"/>
                <w:szCs w:val="20"/>
              </w:rPr>
            </w:pPr>
            <w:r w:rsidRPr="0098201D">
              <w:rPr>
                <w:sz w:val="20"/>
                <w:szCs w:val="20"/>
              </w:rPr>
              <w:t>Mayor transparencia y control del desempeño.</w:t>
            </w:r>
          </w:p>
        </w:tc>
      </w:tr>
      <w:tr w:rsidR="002312C8" w14:paraId="71FF3E82" w14:textId="77777777" w:rsidTr="002312C8">
        <w:tc>
          <w:tcPr>
            <w:tcW w:w="2338" w:type="dxa"/>
            <w:shd w:val="clear" w:color="auto" w:fill="D0CECE" w:themeFill="background2" w:themeFillShade="E6"/>
          </w:tcPr>
          <w:p w14:paraId="75084DE1" w14:textId="77777777" w:rsidR="00C32564" w:rsidRPr="0098201D" w:rsidRDefault="00C32564" w:rsidP="0098201D">
            <w:pPr>
              <w:spacing w:line="276" w:lineRule="auto"/>
              <w:ind w:firstLine="0"/>
              <w:jc w:val="center"/>
              <w:rPr>
                <w:b/>
                <w:bCs/>
                <w:sz w:val="20"/>
                <w:szCs w:val="20"/>
              </w:rPr>
            </w:pPr>
            <w:r w:rsidRPr="0098201D">
              <w:rPr>
                <w:b/>
                <w:bCs/>
                <w:sz w:val="20"/>
                <w:szCs w:val="20"/>
              </w:rPr>
              <w:t>Integración entre equipos</w:t>
            </w:r>
          </w:p>
        </w:tc>
        <w:tc>
          <w:tcPr>
            <w:tcW w:w="2338" w:type="dxa"/>
          </w:tcPr>
          <w:p w14:paraId="5AA0A3C0" w14:textId="77777777" w:rsidR="00C32564" w:rsidRPr="0098201D" w:rsidRDefault="00C32564" w:rsidP="0098201D">
            <w:pPr>
              <w:spacing w:line="360" w:lineRule="auto"/>
              <w:ind w:firstLine="0"/>
              <w:rPr>
                <w:sz w:val="20"/>
                <w:szCs w:val="20"/>
              </w:rPr>
            </w:pPr>
            <w:r w:rsidRPr="0098201D">
              <w:rPr>
                <w:sz w:val="20"/>
                <w:szCs w:val="20"/>
              </w:rPr>
              <w:t>Coordinación reactiva con reuniones esporádicas.</w:t>
            </w:r>
          </w:p>
        </w:tc>
        <w:tc>
          <w:tcPr>
            <w:tcW w:w="2338" w:type="dxa"/>
          </w:tcPr>
          <w:p w14:paraId="5FB6F60F" w14:textId="77777777" w:rsidR="00C32564" w:rsidRPr="0098201D" w:rsidRDefault="00C32564" w:rsidP="0098201D">
            <w:pPr>
              <w:spacing w:line="360" w:lineRule="auto"/>
              <w:ind w:firstLine="0"/>
              <w:rPr>
                <w:sz w:val="20"/>
                <w:szCs w:val="20"/>
              </w:rPr>
            </w:pPr>
            <w:r w:rsidRPr="0098201D">
              <w:rPr>
                <w:sz w:val="20"/>
                <w:szCs w:val="20"/>
              </w:rPr>
              <w:t>Coordinación proactiva con reuniones programadas y revisión BIM.</w:t>
            </w:r>
          </w:p>
        </w:tc>
        <w:tc>
          <w:tcPr>
            <w:tcW w:w="2338" w:type="dxa"/>
          </w:tcPr>
          <w:p w14:paraId="090A7A37" w14:textId="77777777" w:rsidR="00C32564" w:rsidRPr="0098201D" w:rsidRDefault="00C32564" w:rsidP="0098201D">
            <w:pPr>
              <w:spacing w:line="360" w:lineRule="auto"/>
              <w:ind w:firstLine="0"/>
              <w:rPr>
                <w:sz w:val="20"/>
                <w:szCs w:val="20"/>
              </w:rPr>
            </w:pPr>
            <w:r w:rsidRPr="0098201D">
              <w:rPr>
                <w:sz w:val="20"/>
                <w:szCs w:val="20"/>
              </w:rPr>
              <w:t>Mejora en la comunicación y reducción de errores.</w:t>
            </w:r>
          </w:p>
        </w:tc>
      </w:tr>
      <w:tr w:rsidR="002312C8" w14:paraId="1D8BF843" w14:textId="77777777" w:rsidTr="002312C8">
        <w:tc>
          <w:tcPr>
            <w:tcW w:w="2338" w:type="dxa"/>
            <w:shd w:val="clear" w:color="auto" w:fill="D0CECE" w:themeFill="background2" w:themeFillShade="E6"/>
          </w:tcPr>
          <w:p w14:paraId="680DF9B6" w14:textId="77777777" w:rsidR="00C32564" w:rsidRPr="0098201D" w:rsidRDefault="00C32564" w:rsidP="0098201D">
            <w:pPr>
              <w:spacing w:line="276" w:lineRule="auto"/>
              <w:ind w:firstLine="0"/>
              <w:jc w:val="center"/>
              <w:rPr>
                <w:b/>
                <w:bCs/>
                <w:sz w:val="20"/>
                <w:szCs w:val="20"/>
              </w:rPr>
            </w:pPr>
            <w:r w:rsidRPr="0098201D">
              <w:rPr>
                <w:b/>
                <w:bCs/>
                <w:sz w:val="20"/>
                <w:szCs w:val="20"/>
              </w:rPr>
              <w:t>Tiempo</w:t>
            </w:r>
          </w:p>
        </w:tc>
        <w:tc>
          <w:tcPr>
            <w:tcW w:w="2338" w:type="dxa"/>
          </w:tcPr>
          <w:p w14:paraId="7B3197F3" w14:textId="77777777" w:rsidR="00C32564" w:rsidRPr="0098201D" w:rsidRDefault="00C32564" w:rsidP="0098201D">
            <w:pPr>
              <w:spacing w:line="360" w:lineRule="auto"/>
              <w:ind w:firstLine="0"/>
              <w:rPr>
                <w:sz w:val="20"/>
                <w:szCs w:val="20"/>
              </w:rPr>
            </w:pPr>
            <w:r w:rsidRPr="0098201D">
              <w:rPr>
                <w:sz w:val="20"/>
                <w:szCs w:val="20"/>
              </w:rPr>
              <w:t>Retrasos frecuentes por falta de integración temprana.</w:t>
            </w:r>
          </w:p>
        </w:tc>
        <w:tc>
          <w:tcPr>
            <w:tcW w:w="2338" w:type="dxa"/>
          </w:tcPr>
          <w:p w14:paraId="389F4781" w14:textId="77777777" w:rsidR="00C32564" w:rsidRPr="0098201D" w:rsidRDefault="00C32564" w:rsidP="0098201D">
            <w:pPr>
              <w:spacing w:line="360" w:lineRule="auto"/>
              <w:ind w:firstLine="0"/>
              <w:rPr>
                <w:sz w:val="20"/>
                <w:szCs w:val="20"/>
              </w:rPr>
            </w:pPr>
            <w:r w:rsidRPr="0098201D">
              <w:rPr>
                <w:sz w:val="20"/>
                <w:szCs w:val="20"/>
              </w:rPr>
              <w:t>Reducción de retrasos gracias a planificación inversa y control temprano.</w:t>
            </w:r>
          </w:p>
          <w:p w14:paraId="5186EE03" w14:textId="77777777" w:rsidR="00C32564" w:rsidRPr="0098201D" w:rsidRDefault="00C32564" w:rsidP="0098201D">
            <w:pPr>
              <w:spacing w:line="360" w:lineRule="auto"/>
              <w:jc w:val="center"/>
              <w:rPr>
                <w:sz w:val="20"/>
                <w:szCs w:val="20"/>
              </w:rPr>
            </w:pPr>
          </w:p>
        </w:tc>
        <w:tc>
          <w:tcPr>
            <w:tcW w:w="2338" w:type="dxa"/>
          </w:tcPr>
          <w:p w14:paraId="4065D43D" w14:textId="77777777" w:rsidR="00C32564" w:rsidRPr="0098201D" w:rsidRDefault="00C32564" w:rsidP="0098201D">
            <w:pPr>
              <w:spacing w:line="360" w:lineRule="auto"/>
              <w:ind w:firstLine="0"/>
              <w:rPr>
                <w:sz w:val="20"/>
                <w:szCs w:val="20"/>
              </w:rPr>
            </w:pPr>
            <w:r w:rsidRPr="0098201D">
              <w:rPr>
                <w:sz w:val="20"/>
                <w:szCs w:val="20"/>
              </w:rPr>
              <w:t>Cumplimiento de plazos y mayor previsibilidad.</w:t>
            </w:r>
          </w:p>
        </w:tc>
      </w:tr>
      <w:tr w:rsidR="002312C8" w14:paraId="2183D52B" w14:textId="77777777" w:rsidTr="002312C8">
        <w:tc>
          <w:tcPr>
            <w:tcW w:w="2338" w:type="dxa"/>
            <w:shd w:val="clear" w:color="auto" w:fill="D0CECE" w:themeFill="background2" w:themeFillShade="E6"/>
          </w:tcPr>
          <w:p w14:paraId="1DBFDC7D" w14:textId="77777777" w:rsidR="00C32564" w:rsidRPr="0098201D" w:rsidRDefault="00C32564" w:rsidP="0098201D">
            <w:pPr>
              <w:spacing w:line="276" w:lineRule="auto"/>
              <w:ind w:firstLine="0"/>
              <w:jc w:val="center"/>
              <w:rPr>
                <w:b/>
                <w:bCs/>
                <w:sz w:val="20"/>
                <w:szCs w:val="20"/>
              </w:rPr>
            </w:pPr>
            <w:r w:rsidRPr="0098201D">
              <w:rPr>
                <w:b/>
                <w:bCs/>
                <w:sz w:val="20"/>
                <w:szCs w:val="20"/>
              </w:rPr>
              <w:t>Costo</w:t>
            </w:r>
          </w:p>
        </w:tc>
        <w:tc>
          <w:tcPr>
            <w:tcW w:w="2338" w:type="dxa"/>
          </w:tcPr>
          <w:p w14:paraId="647A5916" w14:textId="77777777" w:rsidR="00C32564" w:rsidRPr="0098201D" w:rsidRDefault="00C32564" w:rsidP="0098201D">
            <w:pPr>
              <w:spacing w:line="360" w:lineRule="auto"/>
              <w:ind w:firstLine="0"/>
              <w:rPr>
                <w:sz w:val="20"/>
                <w:szCs w:val="20"/>
              </w:rPr>
            </w:pPr>
            <w:r w:rsidRPr="0098201D">
              <w:rPr>
                <w:sz w:val="20"/>
                <w:szCs w:val="20"/>
              </w:rPr>
              <w:t>Sobrecostos por cambios no planificados y reprocesos.</w:t>
            </w:r>
          </w:p>
        </w:tc>
        <w:tc>
          <w:tcPr>
            <w:tcW w:w="2338" w:type="dxa"/>
          </w:tcPr>
          <w:p w14:paraId="44B88B3E" w14:textId="77777777" w:rsidR="00C32564" w:rsidRPr="0098201D" w:rsidRDefault="00C32564" w:rsidP="0098201D">
            <w:pPr>
              <w:spacing w:line="360" w:lineRule="auto"/>
              <w:ind w:firstLine="0"/>
              <w:rPr>
                <w:sz w:val="20"/>
                <w:szCs w:val="20"/>
              </w:rPr>
            </w:pPr>
            <w:r w:rsidRPr="0098201D">
              <w:rPr>
                <w:sz w:val="20"/>
                <w:szCs w:val="20"/>
              </w:rPr>
              <w:t>Disminución de sobrecostos por control estricto de cambios y compras anticipadas.</w:t>
            </w:r>
          </w:p>
        </w:tc>
        <w:tc>
          <w:tcPr>
            <w:tcW w:w="2338" w:type="dxa"/>
          </w:tcPr>
          <w:p w14:paraId="76C292BA" w14:textId="77777777" w:rsidR="00C32564" w:rsidRPr="0098201D" w:rsidRDefault="00C32564" w:rsidP="0098201D">
            <w:pPr>
              <w:spacing w:line="360" w:lineRule="auto"/>
              <w:ind w:firstLine="0"/>
              <w:rPr>
                <w:sz w:val="20"/>
                <w:szCs w:val="20"/>
              </w:rPr>
            </w:pPr>
            <w:r w:rsidRPr="0098201D">
              <w:rPr>
                <w:sz w:val="20"/>
                <w:szCs w:val="20"/>
              </w:rPr>
              <w:t>Optimización de recursos y reducción de gastos imprevistos.</w:t>
            </w:r>
          </w:p>
        </w:tc>
      </w:tr>
      <w:tr w:rsidR="002312C8" w14:paraId="28E2EA0A" w14:textId="77777777" w:rsidTr="002312C8">
        <w:tc>
          <w:tcPr>
            <w:tcW w:w="2338" w:type="dxa"/>
            <w:shd w:val="clear" w:color="auto" w:fill="D0CECE" w:themeFill="background2" w:themeFillShade="E6"/>
          </w:tcPr>
          <w:p w14:paraId="5995A62A" w14:textId="77777777" w:rsidR="00C32564" w:rsidRPr="0098201D" w:rsidRDefault="00C32564" w:rsidP="0098201D">
            <w:pPr>
              <w:spacing w:line="276" w:lineRule="auto"/>
              <w:ind w:firstLine="0"/>
              <w:jc w:val="center"/>
              <w:rPr>
                <w:b/>
                <w:bCs/>
                <w:sz w:val="20"/>
                <w:szCs w:val="20"/>
              </w:rPr>
            </w:pPr>
            <w:r w:rsidRPr="0098201D">
              <w:rPr>
                <w:b/>
                <w:bCs/>
                <w:sz w:val="20"/>
                <w:szCs w:val="20"/>
              </w:rPr>
              <w:t>Calidad</w:t>
            </w:r>
          </w:p>
        </w:tc>
        <w:tc>
          <w:tcPr>
            <w:tcW w:w="2338" w:type="dxa"/>
          </w:tcPr>
          <w:p w14:paraId="5D148767" w14:textId="77777777" w:rsidR="00C32564" w:rsidRPr="0098201D" w:rsidRDefault="00C32564" w:rsidP="0098201D">
            <w:pPr>
              <w:spacing w:line="360" w:lineRule="auto"/>
              <w:ind w:firstLine="0"/>
              <w:rPr>
                <w:sz w:val="20"/>
                <w:szCs w:val="20"/>
              </w:rPr>
            </w:pPr>
            <w:r w:rsidRPr="0098201D">
              <w:rPr>
                <w:sz w:val="20"/>
                <w:szCs w:val="20"/>
              </w:rPr>
              <w:t>Problemas de calidad por revisiones tardías y cambios en obra.</w:t>
            </w:r>
          </w:p>
        </w:tc>
        <w:tc>
          <w:tcPr>
            <w:tcW w:w="2338" w:type="dxa"/>
          </w:tcPr>
          <w:p w14:paraId="779B54B4" w14:textId="77777777" w:rsidR="00C32564" w:rsidRPr="0098201D" w:rsidRDefault="00C32564" w:rsidP="0098201D">
            <w:pPr>
              <w:spacing w:line="360" w:lineRule="auto"/>
              <w:ind w:firstLine="0"/>
              <w:rPr>
                <w:sz w:val="20"/>
                <w:szCs w:val="20"/>
              </w:rPr>
            </w:pPr>
            <w:r w:rsidRPr="0098201D">
              <w:rPr>
                <w:sz w:val="20"/>
                <w:szCs w:val="20"/>
              </w:rPr>
              <w:t>Mejora de calidad con validación temprana y control de calidad integrado.</w:t>
            </w:r>
          </w:p>
        </w:tc>
        <w:tc>
          <w:tcPr>
            <w:tcW w:w="2338" w:type="dxa"/>
          </w:tcPr>
          <w:p w14:paraId="1D0D78E0" w14:textId="77777777" w:rsidR="00C32564" w:rsidRPr="0098201D" w:rsidRDefault="00C32564" w:rsidP="0098201D">
            <w:pPr>
              <w:spacing w:line="360" w:lineRule="auto"/>
              <w:ind w:firstLine="0"/>
              <w:rPr>
                <w:sz w:val="20"/>
                <w:szCs w:val="20"/>
              </w:rPr>
            </w:pPr>
            <w:r w:rsidRPr="0098201D">
              <w:rPr>
                <w:sz w:val="20"/>
                <w:szCs w:val="20"/>
              </w:rPr>
              <w:t>Mayor satisfacción del cliente y reducción de</w:t>
            </w:r>
          </w:p>
        </w:tc>
      </w:tr>
    </w:tbl>
    <w:p w14:paraId="333D6635" w14:textId="278942E4" w:rsidR="00A24A58" w:rsidRDefault="00626A16" w:rsidP="00A75958">
      <w:pPr>
        <w:ind w:firstLine="0"/>
      </w:pPr>
      <w:r w:rsidRPr="00626A16">
        <w:rPr>
          <w:i/>
          <w:iCs/>
        </w:rPr>
        <w:t>Nota</w:t>
      </w:r>
      <w:r>
        <w:rPr>
          <w:i/>
          <w:iCs/>
        </w:rPr>
        <w:t>:</w:t>
      </w:r>
      <w:r w:rsidRPr="00626A16">
        <w:rPr>
          <w:i/>
          <w:iCs/>
        </w:rPr>
        <w:t xml:space="preserve"> Fuente: Elaboración propia.</w:t>
      </w:r>
      <w:r w:rsidRPr="00626A16">
        <w:br/>
        <w:t xml:space="preserve">La información se obtuvo a partir del diagnóstico de procesos de </w:t>
      </w:r>
      <w:r w:rsidRPr="00626A16">
        <w:rPr>
          <w:i/>
          <w:iCs/>
        </w:rPr>
        <w:t>Contract Workplaces</w:t>
      </w:r>
      <w:r w:rsidRPr="00626A16">
        <w:t xml:space="preserve"> y de la propuesta de mejora desarrollada.</w:t>
      </w:r>
      <w:r>
        <w:t xml:space="preserve"> </w:t>
      </w:r>
    </w:p>
    <w:p w14:paraId="3B577CDB" w14:textId="77777777" w:rsidR="002A5A75" w:rsidRDefault="002A5A75" w:rsidP="00A75958">
      <w:pPr>
        <w:ind w:firstLine="0"/>
      </w:pPr>
    </w:p>
    <w:p w14:paraId="0358477E" w14:textId="77777777" w:rsidR="00F212FE" w:rsidRDefault="00F212FE" w:rsidP="00A75958">
      <w:pPr>
        <w:ind w:firstLine="0"/>
      </w:pPr>
    </w:p>
    <w:p w14:paraId="53F92574" w14:textId="77777777" w:rsidR="00A75958" w:rsidRDefault="00A75958" w:rsidP="00F0136C">
      <w:pPr>
        <w:ind w:firstLine="0"/>
      </w:pPr>
    </w:p>
    <w:p w14:paraId="7390076C" w14:textId="77777777" w:rsidR="00A75958" w:rsidRDefault="00A75958" w:rsidP="00A75958">
      <w:pPr>
        <w:pStyle w:val="APA"/>
        <w:rPr>
          <w:lang w:val="es-CR"/>
        </w:rPr>
      </w:pPr>
      <w:r w:rsidRPr="00A75958">
        <w:rPr>
          <w:lang w:val="es-CR"/>
        </w:rPr>
        <w:t xml:space="preserve">En </w:t>
      </w:r>
      <w:r>
        <w:rPr>
          <w:lang w:val="es-CR"/>
        </w:rPr>
        <w:t xml:space="preserve">este </w:t>
      </w:r>
      <w:r w:rsidRPr="00A75958">
        <w:rPr>
          <w:lang w:val="es-CR"/>
        </w:rPr>
        <w:t>análisis se consideraron tres referencias principales</w:t>
      </w:r>
      <w:r>
        <w:rPr>
          <w:lang w:val="es-CR"/>
        </w:rPr>
        <w:t>:</w:t>
      </w:r>
    </w:p>
    <w:p w14:paraId="72F22EFF" w14:textId="1591D694" w:rsidR="00A75958" w:rsidRDefault="00A75958" w:rsidP="00A75958">
      <w:pPr>
        <w:pStyle w:val="APA"/>
        <w:numPr>
          <w:ilvl w:val="0"/>
          <w:numId w:val="134"/>
        </w:numPr>
        <w:rPr>
          <w:lang w:val="es-CR"/>
        </w:rPr>
      </w:pPr>
      <w:r>
        <w:rPr>
          <w:lang w:val="es-CR"/>
        </w:rPr>
        <w:t>E</w:t>
      </w:r>
      <w:r w:rsidRPr="00A75958">
        <w:rPr>
          <w:lang w:val="es-CR"/>
        </w:rPr>
        <w:t>l flujo de trabajo actual de Contract Workplaces, que abarca los procesos de planificación, control e integración utilizados en los proyectos Design &amp; Build, junto con las herramientas, metodologías y roles que intervienen en cada etapa.</w:t>
      </w:r>
    </w:p>
    <w:p w14:paraId="7D7B8A28" w14:textId="6499C0C4" w:rsidR="00A75958" w:rsidRDefault="00A75958" w:rsidP="00A75958">
      <w:pPr>
        <w:pStyle w:val="APA"/>
        <w:numPr>
          <w:ilvl w:val="0"/>
          <w:numId w:val="134"/>
        </w:numPr>
        <w:rPr>
          <w:lang w:val="es-CR"/>
        </w:rPr>
      </w:pPr>
      <w:r>
        <w:rPr>
          <w:lang w:val="es-CR"/>
        </w:rPr>
        <w:t>E</w:t>
      </w:r>
      <w:r w:rsidRPr="00A75958">
        <w:rPr>
          <w:lang w:val="es-CR"/>
        </w:rPr>
        <w:t>l flujo de trabajo mejorado propuesto en este proyecto, diseñado a partir de la revisión de buenas prácticas e incorporando metodologías como Last Planner System y Target Value Design, apoyadas en tableros digitales para el seguimiento visual y en mecanismos de integración temprana entre diseño y construcción.</w:t>
      </w:r>
    </w:p>
    <w:p w14:paraId="74F0871C" w14:textId="46351DBB" w:rsidR="00A75958" w:rsidRPr="00A75958" w:rsidRDefault="00A75958" w:rsidP="0098201D">
      <w:pPr>
        <w:pStyle w:val="APA"/>
        <w:numPr>
          <w:ilvl w:val="0"/>
          <w:numId w:val="134"/>
        </w:numPr>
        <w:rPr>
          <w:lang w:val="es-CR"/>
        </w:rPr>
      </w:pPr>
      <w:r>
        <w:rPr>
          <w:lang w:val="es-CR"/>
        </w:rPr>
        <w:t>M</w:t>
      </w:r>
      <w:r w:rsidRPr="00A75958">
        <w:rPr>
          <w:lang w:val="es-CR"/>
        </w:rPr>
        <w:t>odelos de planificación y control documentados en estudios de caso y experiencias de empresas del sector en otros países, seleccionados por sus resultados positivos en tiempo, costo y calidad.</w:t>
      </w:r>
    </w:p>
    <w:p w14:paraId="360DF776" w14:textId="389953CD" w:rsidR="00A75958" w:rsidRDefault="00A75958" w:rsidP="0098201D">
      <w:pPr>
        <w:pStyle w:val="APA"/>
        <w:ind w:firstLine="0"/>
        <w:rPr>
          <w:lang w:val="es-CR"/>
        </w:rPr>
      </w:pPr>
      <w:r w:rsidRPr="00A75958">
        <w:rPr>
          <w:lang w:val="es-CR"/>
        </w:rPr>
        <w:t xml:space="preserve">A partir de esta comparación se identificaron </w:t>
      </w:r>
      <w:r w:rsidR="00AA17ED">
        <w:rPr>
          <w:lang w:val="es-CR"/>
        </w:rPr>
        <w:t>diferencias</w:t>
      </w:r>
      <w:r w:rsidRPr="00A75958">
        <w:rPr>
          <w:lang w:val="es-CR"/>
        </w:rPr>
        <w:t xml:space="preserve"> clave</w:t>
      </w:r>
      <w:r w:rsidR="00AA17ED">
        <w:rPr>
          <w:lang w:val="es-CR"/>
        </w:rPr>
        <w:t>s</w:t>
      </w:r>
      <w:r w:rsidRPr="00A75958">
        <w:rPr>
          <w:lang w:val="es-CR"/>
        </w:rPr>
        <w:t xml:space="preserve"> en tres áreas</w:t>
      </w:r>
      <w:r>
        <w:rPr>
          <w:lang w:val="es-CR"/>
        </w:rPr>
        <w:t>:</w:t>
      </w:r>
    </w:p>
    <w:p w14:paraId="7102A433" w14:textId="50C29DBE" w:rsidR="00A75958" w:rsidRDefault="00AA17ED" w:rsidP="0098201D">
      <w:pPr>
        <w:pStyle w:val="APA"/>
        <w:numPr>
          <w:ilvl w:val="0"/>
          <w:numId w:val="136"/>
        </w:numPr>
        <w:rPr>
          <w:lang w:val="es-CR"/>
        </w:rPr>
      </w:pPr>
      <w:r w:rsidRPr="0098201D">
        <w:rPr>
          <w:b/>
          <w:bCs/>
          <w:lang w:val="es-CR"/>
        </w:rPr>
        <w:t>I</w:t>
      </w:r>
      <w:r w:rsidR="00A75958" w:rsidRPr="00AA17ED">
        <w:rPr>
          <w:b/>
          <w:bCs/>
          <w:lang w:val="es-CR"/>
        </w:rPr>
        <w:t>ntegración de procesos</w:t>
      </w:r>
      <w:r w:rsidRPr="0098201D">
        <w:rPr>
          <w:b/>
          <w:bCs/>
          <w:lang w:val="es-CR"/>
        </w:rPr>
        <w:t>:</w:t>
      </w:r>
      <w:r>
        <w:rPr>
          <w:lang w:val="es-CR"/>
        </w:rPr>
        <w:t xml:space="preserve"> </w:t>
      </w:r>
      <w:r w:rsidR="00A75958" w:rsidRPr="00A75958">
        <w:rPr>
          <w:lang w:val="es-CR"/>
        </w:rPr>
        <w:t>se evidenció que la coordinación temprana entre diseño y construcción es limitada, lo que ocasiona retrasos y reprocesos en obra.</w:t>
      </w:r>
    </w:p>
    <w:p w14:paraId="61556676" w14:textId="6FB5D7AE" w:rsidR="00A75958" w:rsidRDefault="00AA17ED" w:rsidP="0098201D">
      <w:pPr>
        <w:pStyle w:val="APA"/>
        <w:numPr>
          <w:ilvl w:val="0"/>
          <w:numId w:val="135"/>
        </w:numPr>
        <w:rPr>
          <w:lang w:val="es-CR"/>
        </w:rPr>
      </w:pPr>
      <w:r w:rsidRPr="0098201D">
        <w:rPr>
          <w:b/>
          <w:bCs/>
          <w:lang w:val="es-CR"/>
        </w:rPr>
        <w:t>U</w:t>
      </w:r>
      <w:r w:rsidR="00A75958" w:rsidRPr="00AA17ED">
        <w:rPr>
          <w:b/>
          <w:bCs/>
          <w:lang w:val="es-CR"/>
        </w:rPr>
        <w:t>so de herramientas</w:t>
      </w:r>
      <w:r>
        <w:rPr>
          <w:lang w:val="es-CR"/>
        </w:rPr>
        <w:t>:</w:t>
      </w:r>
      <w:r w:rsidR="00A75958" w:rsidRPr="00A75958">
        <w:rPr>
          <w:lang w:val="es-CR"/>
        </w:rPr>
        <w:t xml:space="preserve"> el modelo actual carece de un sistema unificado de seguimiento, mientras que la propuesta incorpora plataformas colaborativas y métricas centralizadas.</w:t>
      </w:r>
    </w:p>
    <w:p w14:paraId="4A7C2D30" w14:textId="7A4B8B73" w:rsidR="00A75958" w:rsidRPr="00A75958" w:rsidRDefault="00AA17ED" w:rsidP="0098201D">
      <w:pPr>
        <w:pStyle w:val="APA"/>
        <w:numPr>
          <w:ilvl w:val="0"/>
          <w:numId w:val="135"/>
        </w:numPr>
        <w:rPr>
          <w:lang w:val="es-CR"/>
        </w:rPr>
      </w:pPr>
      <w:r w:rsidRPr="0098201D">
        <w:rPr>
          <w:b/>
          <w:bCs/>
          <w:lang w:val="es-CR"/>
        </w:rPr>
        <w:t>G</w:t>
      </w:r>
      <w:r w:rsidR="00A75958" w:rsidRPr="00AA17ED">
        <w:rPr>
          <w:b/>
          <w:bCs/>
          <w:lang w:val="es-CR"/>
        </w:rPr>
        <w:t>estión de la comunicación</w:t>
      </w:r>
      <w:r>
        <w:rPr>
          <w:lang w:val="es-CR"/>
        </w:rPr>
        <w:t>:</w:t>
      </w:r>
      <w:r w:rsidR="00A75958" w:rsidRPr="00A75958">
        <w:rPr>
          <w:lang w:val="es-CR"/>
        </w:rPr>
        <w:t xml:space="preserve"> se observó que esta tiende a ser reactiva, a diferencia de los modelos internacionales que promueven una comunicación planificada y proactiva desde el inicio del proyecto.</w:t>
      </w:r>
    </w:p>
    <w:p w14:paraId="5C46F6C6" w14:textId="4E24FE13" w:rsidR="00C32564" w:rsidRPr="0098201D" w:rsidRDefault="00A75958" w:rsidP="0098201D">
      <w:pPr>
        <w:pStyle w:val="APA"/>
        <w:rPr>
          <w:lang w:val="es-CR"/>
        </w:rPr>
      </w:pPr>
      <w:r w:rsidRPr="00A75958">
        <w:rPr>
          <w:lang w:val="es-CR"/>
        </w:rPr>
        <w:lastRenderedPageBreak/>
        <w:t>Este contraste permitió confirmar que es factible adaptar y aplicar buenas prácticas internacionales al contexto de Contract Workplaces, manteniendo la coherencia con los estándares globales y atendiendo a las particularidades operativas de la empresa.</w:t>
      </w:r>
    </w:p>
    <w:p w14:paraId="743B03FC" w14:textId="2EF3CF88" w:rsidR="00D87210" w:rsidRDefault="0046720B">
      <w:pPr>
        <w:pStyle w:val="Ttulo3"/>
        <w:numPr>
          <w:ilvl w:val="2"/>
          <w:numId w:val="113"/>
        </w:numPr>
      </w:pPr>
      <w:r w:rsidRPr="0098201D">
        <w:t xml:space="preserve"> </w:t>
      </w:r>
      <w:bookmarkStart w:id="110" w:name="_Toc212406389"/>
      <w:r w:rsidR="00D87210" w:rsidRPr="0098201D">
        <w:t>Identificación de diferencias clave en planificación, control e integración</w:t>
      </w:r>
      <w:bookmarkEnd w:id="110"/>
    </w:p>
    <w:p w14:paraId="1B618BF4" w14:textId="6DFFAA8D" w:rsidR="00B13FB5" w:rsidRPr="0098201D" w:rsidRDefault="00AA17ED" w:rsidP="0098201D">
      <w:pPr>
        <w:pStyle w:val="APA"/>
      </w:pPr>
      <w:r>
        <w:t xml:space="preserve">Este </w:t>
      </w:r>
      <w:r w:rsidR="00B13FB5" w:rsidRPr="0098201D">
        <w:t>análisis permitió evidenciar que en la planificación y el proceso actual se caracteriza por la elaboración de cronogramas independientes por disciplina, lo que dificulta la alineación entre diseño, ingeniería y construcción. E</w:t>
      </w:r>
      <w:r>
        <w:t>ste</w:t>
      </w:r>
      <w:r w:rsidR="00B13FB5" w:rsidRPr="0098201D">
        <w:t xml:space="preserve"> modelo propuesto plantea un cronograma integrado, apoyado en metodologías como Last Planner System y Target Value Design, que favorecen la coordinación temprana y la detección oportuna de restricciones.</w:t>
      </w:r>
    </w:p>
    <w:p w14:paraId="0842CBD0" w14:textId="6D2119CC" w:rsidR="00B13FB5" w:rsidRPr="0098201D" w:rsidRDefault="00B13FB5" w:rsidP="0098201D">
      <w:pPr>
        <w:pStyle w:val="APA"/>
      </w:pPr>
      <w:r w:rsidRPr="0098201D">
        <w:t>En cuanto al control, se identificó que el sistema vigente no dispone de un tablero centralizado de indicadores, generando retrasos en la toma de decisiones. La propuesta incorpora un sistema de indicadores clave de desempeño (KPI) unificado, accesible para todos los miembros del equipo a través de plataformas digitales como ASANA, permitiendo un seguimiento en tiempo real del avance, costos y calidad.</w:t>
      </w:r>
    </w:p>
    <w:p w14:paraId="5B44817E" w14:textId="7F64A7AB" w:rsidR="00B13FB5" w:rsidRPr="0098201D" w:rsidRDefault="00B13FB5" w:rsidP="0098201D">
      <w:pPr>
        <w:pStyle w:val="APA"/>
      </w:pPr>
      <w:r w:rsidRPr="0098201D">
        <w:t>En la integración de equipos, la práctica actual es mayoritariamente reactiva, con reuniones no planificadas para resolver conflictos surgidos durante la ejecución. El nuevo modelo plantea una integración proactiva desde las fases iniciales del proyecto, mediante sesiones de coordinación programadas, revisión colaborativa de modelos BIM y uso de herramientas digitales compartidas, lo que mejora la comunicación y la alineación de objetivos entre todas las partes involucradas.</w:t>
      </w:r>
    </w:p>
    <w:p w14:paraId="7BDB21BA" w14:textId="75AC66AA" w:rsidR="001C3130" w:rsidRDefault="00D87210">
      <w:pPr>
        <w:pStyle w:val="Ttulo3"/>
        <w:numPr>
          <w:ilvl w:val="2"/>
          <w:numId w:val="113"/>
        </w:numPr>
      </w:pPr>
      <w:bookmarkStart w:id="111" w:name="_Toc212406390"/>
      <w:r w:rsidRPr="0098201D">
        <w:t>Análisis de beneficios potenciales en tiempo, costo y calida</w:t>
      </w:r>
      <w:r w:rsidR="00D8594D" w:rsidRPr="0098201D">
        <w:t>d</w:t>
      </w:r>
      <w:bookmarkEnd w:id="111"/>
    </w:p>
    <w:p w14:paraId="7BC8BFEE" w14:textId="71728264" w:rsidR="00B13FB5" w:rsidRPr="00B13FB5" w:rsidRDefault="00B13FB5" w:rsidP="0098201D">
      <w:pPr>
        <w:pStyle w:val="APA"/>
        <w:rPr>
          <w:lang w:val="es-CR"/>
        </w:rPr>
      </w:pPr>
      <w:r w:rsidRPr="00B13FB5">
        <w:rPr>
          <w:lang w:val="es-CR"/>
        </w:rPr>
        <w:t>La implementación del modelo propuesto presenta beneficios que impactan directamente</w:t>
      </w:r>
      <w:r w:rsidR="00F23BD2">
        <w:rPr>
          <w:lang w:val="es-CR"/>
        </w:rPr>
        <w:t xml:space="preserve"> al</w:t>
      </w:r>
      <w:r w:rsidRPr="00B13FB5">
        <w:rPr>
          <w:lang w:val="es-CR"/>
        </w:rPr>
        <w:t>:</w:t>
      </w:r>
    </w:p>
    <w:p w14:paraId="5F78051F" w14:textId="1944D3B2" w:rsidR="00B13FB5" w:rsidRPr="00B13FB5" w:rsidRDefault="00B13FB5" w:rsidP="00B13FB5">
      <w:pPr>
        <w:numPr>
          <w:ilvl w:val="0"/>
          <w:numId w:val="128"/>
        </w:numPr>
        <w:rPr>
          <w:lang w:val="es-CR"/>
        </w:rPr>
      </w:pPr>
      <w:r w:rsidRPr="00B13FB5">
        <w:rPr>
          <w:b/>
          <w:bCs/>
          <w:lang w:val="es-CR"/>
        </w:rPr>
        <w:lastRenderedPageBreak/>
        <w:t>Tiempo</w:t>
      </w:r>
      <w:r w:rsidRPr="00B13FB5">
        <w:rPr>
          <w:lang w:val="es-CR"/>
        </w:rPr>
        <w:t xml:space="preserve">: se </w:t>
      </w:r>
      <w:r w:rsidR="00F23BD2">
        <w:rPr>
          <w:lang w:val="es-CR"/>
        </w:rPr>
        <w:t>espera</w:t>
      </w:r>
      <w:r w:rsidRPr="00B13FB5">
        <w:rPr>
          <w:lang w:val="es-CR"/>
        </w:rPr>
        <w:t xml:space="preserve"> una reducción significativa de retrasos gracias a la planificación del </w:t>
      </w:r>
      <w:r w:rsidR="00F23BD2" w:rsidRPr="008B17A9">
        <w:t>Last Planner System</w:t>
      </w:r>
      <w:r w:rsidRPr="00B13FB5">
        <w:rPr>
          <w:lang w:val="es-CR"/>
        </w:rPr>
        <w:t>, la identificación temprana de restricciones y el seguimiento continuo de hitos mediante herramientas digitales. Esto permite aumentar la confiabilidad del cronograma y mejorar la previsibilidad en las entregas.</w:t>
      </w:r>
    </w:p>
    <w:p w14:paraId="1A695340" w14:textId="54DF3867" w:rsidR="00B13FB5" w:rsidRPr="00B13FB5" w:rsidRDefault="00B13FB5" w:rsidP="00B13FB5">
      <w:pPr>
        <w:numPr>
          <w:ilvl w:val="0"/>
          <w:numId w:val="128"/>
        </w:numPr>
        <w:rPr>
          <w:lang w:val="es-CR"/>
        </w:rPr>
      </w:pPr>
      <w:r w:rsidRPr="00B13FB5">
        <w:rPr>
          <w:b/>
          <w:bCs/>
          <w:lang w:val="es-CR"/>
        </w:rPr>
        <w:t>Costo</w:t>
      </w:r>
      <w:r w:rsidRPr="00B13FB5">
        <w:rPr>
          <w:lang w:val="es-CR"/>
        </w:rPr>
        <w:t xml:space="preserve">: la integración temprana de equipos y la aplicación de </w:t>
      </w:r>
      <w:r w:rsidR="00F23BD2" w:rsidRPr="008B17A9">
        <w:t>Target Value Design</w:t>
      </w:r>
      <w:r w:rsidRPr="00B13FB5">
        <w:rPr>
          <w:lang w:val="es-CR"/>
        </w:rPr>
        <w:t xml:space="preserve"> contribuyen a evitar sobrecostos, ya que los requerimientos técnicos, el diseño y las soluciones constructivas se definen en etapas iniciales. Esto reduce modificaciones durante la ejecución y optimiza la asignación de recursos, generando ahorros tanto directos como indirectos.</w:t>
      </w:r>
    </w:p>
    <w:p w14:paraId="184788DC" w14:textId="11C8B92E" w:rsidR="00E46AED" w:rsidRPr="00E46AED" w:rsidRDefault="00B13FB5" w:rsidP="00E46AED">
      <w:pPr>
        <w:numPr>
          <w:ilvl w:val="0"/>
          <w:numId w:val="128"/>
        </w:numPr>
        <w:rPr>
          <w:lang w:val="es-CR"/>
        </w:rPr>
      </w:pPr>
      <w:r w:rsidRPr="00B13FB5">
        <w:rPr>
          <w:b/>
          <w:bCs/>
          <w:lang w:val="es-CR"/>
        </w:rPr>
        <w:t>Calidad</w:t>
      </w:r>
      <w:r w:rsidRPr="00B13FB5">
        <w:rPr>
          <w:lang w:val="es-CR"/>
        </w:rPr>
        <w:t>: el control centralizado mediante indicadores y la validación temprana de los entregables favorecen la reducción de errores y reprocesos, aumentando la satisfacción del cliente y asegurando que el producto final cumpla con los estándares establecidos. Además, la retroalimentación post-proyecto incorporada en el modelo fomenta la mejora continua y la transferencia de lecciones aprendidas a futuros proyectos.</w:t>
      </w:r>
    </w:p>
    <w:p w14:paraId="424CC333" w14:textId="77777777" w:rsidR="0055381F" w:rsidRDefault="00B13FB5" w:rsidP="00F212FE">
      <w:pPr>
        <w:rPr>
          <w:lang w:val="es-CR"/>
        </w:rPr>
      </w:pPr>
      <w:r w:rsidRPr="00E46AED">
        <w:rPr>
          <w:lang w:val="es-CR"/>
        </w:rPr>
        <w:t>En conjunto, estos beneficios posicionan el modelo propuesto como una herramienta estratégica para fortalecer la competitividad de Contract Workplaces en el mercado de diseño y construcción de oficinas corporativas bajo el enfoque Design &amp; Build.</w:t>
      </w:r>
    </w:p>
    <w:p w14:paraId="22813FB3" w14:textId="77777777" w:rsidR="00F212FE" w:rsidRDefault="00F212FE" w:rsidP="00F212FE">
      <w:pPr>
        <w:rPr>
          <w:lang w:val="es-CR"/>
        </w:rPr>
      </w:pPr>
    </w:p>
    <w:p w14:paraId="0AC28451" w14:textId="77777777" w:rsidR="00F212FE" w:rsidRDefault="00F212FE" w:rsidP="00F212FE">
      <w:pPr>
        <w:rPr>
          <w:lang w:val="es-CR"/>
        </w:rPr>
      </w:pPr>
    </w:p>
    <w:p w14:paraId="57A9EAD8" w14:textId="16A2F4B4" w:rsidR="00F212FE" w:rsidRDefault="00F212FE" w:rsidP="00F212FE">
      <w:pPr>
        <w:rPr>
          <w:lang w:val="es-CR"/>
        </w:rPr>
      </w:pPr>
      <w:r>
        <w:rPr>
          <w:lang w:val="es-CR"/>
        </w:rPr>
        <w:br w:type="page"/>
      </w:r>
    </w:p>
    <w:p w14:paraId="2FA27022" w14:textId="77777777" w:rsidR="00626A16" w:rsidRPr="0046720B" w:rsidRDefault="00626A16" w:rsidP="00626A16">
      <w:pPr>
        <w:pStyle w:val="Ttulo1"/>
        <w:numPr>
          <w:ilvl w:val="0"/>
          <w:numId w:val="0"/>
        </w:numPr>
        <w:jc w:val="center"/>
      </w:pPr>
    </w:p>
    <w:p w14:paraId="05B498FA" w14:textId="77777777" w:rsidR="00626A16" w:rsidRPr="002C3AEB" w:rsidRDefault="00626A16" w:rsidP="00626A16">
      <w:pPr>
        <w:pStyle w:val="Ttulo1"/>
        <w:ind w:left="360"/>
        <w:jc w:val="center"/>
        <w:rPr>
          <w:lang w:val="es-CR"/>
        </w:rPr>
      </w:pPr>
      <w:bookmarkStart w:id="112" w:name="_Toc212406391"/>
      <w:r w:rsidRPr="0098201D">
        <w:rPr>
          <w:lang w:val="es-CR"/>
        </w:rPr>
        <w:t>Conclusiones</w:t>
      </w:r>
      <w:bookmarkEnd w:id="112"/>
    </w:p>
    <w:p w14:paraId="7C5D7360" w14:textId="77777777" w:rsidR="00626A16" w:rsidRPr="009F44CC" w:rsidRDefault="00626A16" w:rsidP="00626A16">
      <w:pPr>
        <w:pStyle w:val="APA"/>
        <w:numPr>
          <w:ilvl w:val="1"/>
          <w:numId w:val="176"/>
        </w:numPr>
        <w:rPr>
          <w:lang w:val="es-CR" w:eastAsia="es-CR"/>
        </w:rPr>
      </w:pPr>
      <w:r w:rsidRPr="009F44CC">
        <w:rPr>
          <w:lang w:val="es-CR" w:eastAsia="es-CR"/>
        </w:rPr>
        <w:t xml:space="preserve">En relación </w:t>
      </w:r>
      <w:r>
        <w:rPr>
          <w:lang w:val="es-CR" w:eastAsia="es-CR"/>
        </w:rPr>
        <w:t xml:space="preserve">con el </w:t>
      </w:r>
      <w:r w:rsidRPr="009F44CC">
        <w:rPr>
          <w:lang w:val="es-CR" w:eastAsia="es-CR"/>
        </w:rPr>
        <w:t xml:space="preserve">objetivo 1, se identificó que los análisis de los procesos actuales de planificación y control en Contract Workplaces presentaron debilidades significativas en la integración entre las etapas de diseño y ejecución. Estas limitaciones se tradujeron en variaciones en costo, tiempo y calidad, además de provocar reprocesos y pérdida de información clave entre los equipos. Esto evidenció la ausencia de un sistema unificado que integrara las decisiones tempranas del diseño con la ejecución constructiva. </w:t>
      </w:r>
      <w:r w:rsidRPr="00C16C45">
        <w:rPr>
          <w:lang w:eastAsia="es-CR"/>
        </w:rPr>
        <w:t>Por tanto, se concluyó que la organización requería con urgencia establecer un modelo de gestión integral que fomentara la coordinación temprana de los actores del proyecto, la transparencia en la comunicación y la reducción de la duplicidad de esfuerzos</w:t>
      </w:r>
      <w:r>
        <w:rPr>
          <w:lang w:eastAsia="es-CR"/>
        </w:rPr>
        <w:t>.</w:t>
      </w:r>
    </w:p>
    <w:p w14:paraId="282031CC" w14:textId="77777777" w:rsidR="00626A16" w:rsidRPr="009F44CC" w:rsidRDefault="00626A16" w:rsidP="00626A16">
      <w:pPr>
        <w:pStyle w:val="APA"/>
        <w:numPr>
          <w:ilvl w:val="1"/>
          <w:numId w:val="176"/>
        </w:numPr>
        <w:rPr>
          <w:lang w:val="es-CR" w:eastAsia="es-CR"/>
        </w:rPr>
      </w:pPr>
      <w:r w:rsidRPr="009F44CC">
        <w:rPr>
          <w:lang w:val="es-CR" w:eastAsia="es-CR"/>
        </w:rPr>
        <w:t xml:space="preserve">En relación </w:t>
      </w:r>
      <w:r>
        <w:rPr>
          <w:lang w:val="es-CR" w:eastAsia="es-CR"/>
        </w:rPr>
        <w:t xml:space="preserve">con el </w:t>
      </w:r>
      <w:r w:rsidRPr="009F44CC">
        <w:rPr>
          <w:lang w:val="es-CR" w:eastAsia="es-CR"/>
        </w:rPr>
        <w:t>objetivo 2, que consistió en determinar las necesidades de integración entre diseño y ejecución para fortalecer la toma de decisiones durante la ejecución del proyecto, se concluyó que las principales necesidades detectadas estuvieron asociadas a la falta de coordinación temprana entre los equipos de diseño y obra, así como a la limitada disponibilidad de información en tiempo real para la gestión del proyecto. Estas carencias generaron retrasos y sobrecostos que impactaron en la eficiencia de los procesos y en la calidad de las decisiones tomadas durante la ejecución. Se determinó además que la aplicación de metodologías colaborativas como Lean Construction e Integrated Project Delivery (IPD) constituyó una alternativa viable para atender dichas necesidades, ya que promovieron la planificación conjunta, la comunicación permanente y la toma de decisiones compartidas en fases críticas del proyecto.</w:t>
      </w:r>
    </w:p>
    <w:p w14:paraId="762325C4" w14:textId="77777777" w:rsidR="00626A16" w:rsidRPr="009F44CC" w:rsidRDefault="00626A16" w:rsidP="00626A16">
      <w:pPr>
        <w:pStyle w:val="APA"/>
        <w:numPr>
          <w:ilvl w:val="1"/>
          <w:numId w:val="176"/>
        </w:numPr>
        <w:rPr>
          <w:lang w:val="es-CR" w:eastAsia="es-CR"/>
        </w:rPr>
      </w:pPr>
      <w:r w:rsidRPr="009F44CC">
        <w:rPr>
          <w:lang w:val="es-CR" w:eastAsia="es-CR"/>
        </w:rPr>
        <w:lastRenderedPageBreak/>
        <w:t xml:space="preserve">En relación </w:t>
      </w:r>
      <w:r>
        <w:rPr>
          <w:lang w:val="es-CR" w:eastAsia="es-CR"/>
        </w:rPr>
        <w:t xml:space="preserve">con el </w:t>
      </w:r>
      <w:r w:rsidRPr="009F44CC">
        <w:rPr>
          <w:lang w:val="es-CR" w:eastAsia="es-CR"/>
        </w:rPr>
        <w:t>objetivo 3, se diseñó un flujo de trabajo propuesto que integró fases, responsables y herramientas de control bajo el esquema Design &amp; Build. Este flujo abarcó actividades desde la concepción inicial del proyecto hasta la entrega final, promoviendo mayor trazabilidad en las decisiones, estandarización de procesos y homogeneidad en los entregables. De igual manera, facilitó la identificación temprana de riesgos y la implementación de acciones preventivas, lo cual contribuyó a minimizar reprocesos y disputas contractuales. Se concluyó que este flujo de trabajo representó una herramienta práctica y aplicable que podía convertirse en un marco de referencia institucional para la gestión de proyectos futuros.</w:t>
      </w:r>
    </w:p>
    <w:p w14:paraId="3D6CB50F" w14:textId="77777777" w:rsidR="00626A16" w:rsidRPr="009F44CC" w:rsidRDefault="00626A16" w:rsidP="00626A16">
      <w:pPr>
        <w:pStyle w:val="APA"/>
        <w:numPr>
          <w:ilvl w:val="1"/>
          <w:numId w:val="176"/>
        </w:numPr>
        <w:rPr>
          <w:lang w:val="es-CR" w:eastAsia="es-CR"/>
        </w:rPr>
      </w:pPr>
      <w:r w:rsidRPr="009F44CC">
        <w:rPr>
          <w:lang w:val="es-CR" w:eastAsia="es-CR"/>
        </w:rPr>
        <w:t xml:space="preserve">En relación </w:t>
      </w:r>
      <w:r>
        <w:rPr>
          <w:lang w:val="es-CR" w:eastAsia="es-CR"/>
        </w:rPr>
        <w:t xml:space="preserve">con el </w:t>
      </w:r>
      <w:r w:rsidRPr="009F44CC">
        <w:rPr>
          <w:lang w:val="es-CR" w:eastAsia="es-CR"/>
        </w:rPr>
        <w:t>objetivo 4, se desarrolló un plan de implementación gradual que consideró tres dimensiones clave: la organizativa, la tecnológica y la de capacitación del personal. El plan propuso fases de corto, mediano y largo plazo que permitieron gestionar el cambio de forma progresiva y reducir la resistencia interna. Asimismo, se enfatizó la importancia del compromiso de la alta dirección en la asignación de recursos y en el seguimiento de indicadores de desempeño. Se concluyó que la implementación escalonada constituyó una estrategia realista y sostenible para garantizar que las mejoras propuestas se integraran efectivamente en la cultura organizacional y no se limitaran a esfuerzos aislados.</w:t>
      </w:r>
    </w:p>
    <w:p w14:paraId="0E6AC6CF" w14:textId="77777777" w:rsidR="00626A16" w:rsidRPr="009F44CC" w:rsidRDefault="00626A16" w:rsidP="00626A16">
      <w:pPr>
        <w:pStyle w:val="APA"/>
        <w:numPr>
          <w:ilvl w:val="1"/>
          <w:numId w:val="176"/>
        </w:numPr>
        <w:rPr>
          <w:lang w:val="es-CR" w:eastAsia="es-CR"/>
        </w:rPr>
      </w:pPr>
      <w:r w:rsidRPr="009F44CC">
        <w:rPr>
          <w:lang w:val="es-CR" w:eastAsia="es-CR"/>
        </w:rPr>
        <w:t xml:space="preserve">En relación </w:t>
      </w:r>
      <w:r>
        <w:rPr>
          <w:lang w:val="es-CR" w:eastAsia="es-CR"/>
        </w:rPr>
        <w:t xml:space="preserve">con el </w:t>
      </w:r>
      <w:r w:rsidRPr="009F44CC">
        <w:rPr>
          <w:lang w:val="es-CR" w:eastAsia="es-CR"/>
        </w:rPr>
        <w:t xml:space="preserve">objetivo 5, se validó la utilidad de las propuestas de mejora mediante un análisis comparativo entre el proceso actual y el proceso propuesto. Los resultados de la validación mostraron que el modelo planteado contribuyó de manera concreta a mejorar los indicadores de desempeño en costo, tiempo y calidad, al mismo tiempo que reforzó la satisfacción del cliente y la imagen corporativa de la empresa. Se concluyó que Contract Workplaces se encontraba </w:t>
      </w:r>
      <w:r w:rsidRPr="009F44CC">
        <w:rPr>
          <w:lang w:val="es-CR" w:eastAsia="es-CR"/>
        </w:rPr>
        <w:lastRenderedPageBreak/>
        <w:t>en condiciones de consolidarse como un referente en Costa Rica en la gestión de proyectos bajo el esquema Design &amp; Build, siempre que aplicara con rigor las propuestas formuladas y mantuviera un sistema de retroalimentación continua.</w:t>
      </w:r>
    </w:p>
    <w:p w14:paraId="3159BC2E" w14:textId="77777777" w:rsidR="00626A16" w:rsidRPr="003C4928" w:rsidRDefault="00626A16" w:rsidP="00626A16">
      <w:pPr>
        <w:rPr>
          <w:lang w:val="es-CR"/>
        </w:rPr>
      </w:pPr>
      <w:r>
        <w:rPr>
          <w:lang w:val="es-CR"/>
        </w:rPr>
        <w:br w:type="page"/>
      </w:r>
    </w:p>
    <w:p w14:paraId="5A950767" w14:textId="77777777" w:rsidR="00626A16" w:rsidRPr="00B60126" w:rsidRDefault="00626A16" w:rsidP="00626A16">
      <w:pPr>
        <w:pStyle w:val="Ttulo1"/>
        <w:ind w:left="360"/>
        <w:jc w:val="center"/>
        <w:rPr>
          <w:lang w:val="es-CR"/>
        </w:rPr>
      </w:pPr>
      <w:bookmarkStart w:id="113" w:name="_Toc212406392"/>
      <w:r w:rsidRPr="008B17A9">
        <w:rPr>
          <w:lang w:val="es-CR"/>
        </w:rPr>
        <w:lastRenderedPageBreak/>
        <w:t>Recomendaciones</w:t>
      </w:r>
      <w:bookmarkEnd w:id="113"/>
    </w:p>
    <w:p w14:paraId="2249DA54" w14:textId="77777777" w:rsidR="00626A16" w:rsidRPr="0052636C" w:rsidRDefault="00626A16" w:rsidP="00626A16">
      <w:pPr>
        <w:pStyle w:val="APA"/>
        <w:numPr>
          <w:ilvl w:val="0"/>
          <w:numId w:val="175"/>
        </w:numPr>
        <w:rPr>
          <w:lang w:val="es-CR" w:eastAsia="es-CR"/>
        </w:rPr>
      </w:pPr>
      <w:r w:rsidRPr="0052636C">
        <w:rPr>
          <w:lang w:val="es-CR" w:eastAsia="es-CR"/>
        </w:rPr>
        <w:t>Alineada con el objetivo 1, dirigido a la Dirección de Proyectos y al área de Planificación, se recomendó elaborar y aplicar manuales estandarizados de procesos de planificación y control, acompañados de programas de capacitación para los Project Managers. La creación de estos manuales permitió unificar criterios metodológicos entre las áreas de diseño y construcción, asegurando que ambas trabajaran bajo los mismos lineamientos técnicos y organizativos. Asimismo, la capacitación garantizó que los responsables comprendieran y aplicaran de forma uniforme las mejores prácticas, lo que redujo la duplicidad de esfuerzos, los reprocesos y los atrasos en los cronogramas. Con ello, la empresa consolidó una base documental institucionalizada que sirvió como referente para proyectos futuros y fortaleció la trazabilidad en las decisiones.</w:t>
      </w:r>
    </w:p>
    <w:p w14:paraId="06498F2D" w14:textId="77777777" w:rsidR="00626A16" w:rsidRPr="0052636C" w:rsidRDefault="00626A16" w:rsidP="00626A16">
      <w:pPr>
        <w:pStyle w:val="APA"/>
        <w:numPr>
          <w:ilvl w:val="0"/>
          <w:numId w:val="175"/>
        </w:numPr>
        <w:rPr>
          <w:lang w:val="es-CR" w:eastAsia="es-CR"/>
        </w:rPr>
      </w:pPr>
      <w:r w:rsidRPr="0052636C">
        <w:rPr>
          <w:lang w:val="es-CR" w:eastAsia="es-CR"/>
        </w:rPr>
        <w:t>Alineada con el objetivo 2, dirigido a la Dirección de Construcción y a la Dirección de Diseño, se recomendó implementar un sistema formal de comunicación interdepartamental, que contemplara reuniones de coordinación obligatorias en fases críticas del proyecto (inicio, planificación ejecutiva y ejecución de obra). Dichas reuniones se apoyaron en plataformas colaborativas digitales como BIM, Asana y Last Planner, lo que permitió mantener un flujo de información actualizado, accesible y transparente entre los equipos. Esta medida fomentó una retroalimentación oportuna, redujo los riesgos derivados de la falta de coordinación y facilitó una toma de decisiones más ágil y fundamentada. A largo plazo, este sistema de comunicación contribuyó a construir una cultura organizacional basada en la colaboración, la confianza y la responsabilidad compartida.</w:t>
      </w:r>
    </w:p>
    <w:p w14:paraId="4F066FD6" w14:textId="77777777" w:rsidR="00626A16" w:rsidRPr="0052636C" w:rsidRDefault="00626A16" w:rsidP="00626A16">
      <w:pPr>
        <w:pStyle w:val="APA"/>
        <w:numPr>
          <w:ilvl w:val="0"/>
          <w:numId w:val="175"/>
        </w:numPr>
        <w:rPr>
          <w:lang w:val="es-CR" w:eastAsia="es-CR"/>
        </w:rPr>
      </w:pPr>
      <w:r w:rsidRPr="0052636C">
        <w:rPr>
          <w:lang w:val="es-CR" w:eastAsia="es-CR"/>
        </w:rPr>
        <w:lastRenderedPageBreak/>
        <w:t>Alineada con el objetivo 3, dirigido a la Gerencia General, se recomendó crear una Oficina de Gestión de Proyectos (PMO) en la sede de Costa Rica, con el propósito de centralizar y estandarizar los procesos de planificación y control de los proyectos Design &amp; Build. La PMO asumió funciones de supervisión metodológica, capacitación continua, consolidación de métricas de desempeño (KPIs) y coordinación transversal entre las áreas de diseño, planificación y construcción. Su creación permitió implementar de manera uniforme las metodologías híbridas propuestas, promover la estandarización de entregables y velar por la correcta integración entre las fases de los proyectos. Adicionalmente, la PMO contribuyó a fortalecer la madurez organizacional en la gestión de proyectos, posicionando a la sede de Costa Rica como un referente regional en eficiencia y buenas prácticas.</w:t>
      </w:r>
    </w:p>
    <w:p w14:paraId="44FD5150" w14:textId="77777777" w:rsidR="00626A16" w:rsidRPr="0052636C" w:rsidRDefault="00626A16" w:rsidP="00626A16">
      <w:pPr>
        <w:pStyle w:val="APA"/>
        <w:numPr>
          <w:ilvl w:val="0"/>
          <w:numId w:val="175"/>
        </w:numPr>
        <w:rPr>
          <w:lang w:val="es-CR" w:eastAsia="es-CR"/>
        </w:rPr>
      </w:pPr>
      <w:r w:rsidRPr="0052636C">
        <w:rPr>
          <w:lang w:val="es-CR" w:eastAsia="es-CR"/>
        </w:rPr>
        <w:t>Alineada con el objetivo 4, dirigido a la Dirección General y al área de Desarrollo de Proyectos, se recomendó aplicar las mejoras propuestas mediante un proyecto piloto de mediana escala, liderado por la Dirección de Proyectos. Este piloto permitió evaluar la factibilidad de los cambios planteados, medir los beneficios en términos de costo, tiempo y calidad, y detectar posibles áreas de ajuste antes de su implementación general. Para garantizar el éxito de esta fase inicial, la Dirección General aseguró los recursos tecnológicos, humanos y financieros necesarios, además de establecer un sistema de seguimiento con indicadores claros. La validación mediante un piloto redujo la resistencia al cambio, fortaleció la confianza de los equipos y brindó evidencia empírica sobre la efectividad de las mejoras.</w:t>
      </w:r>
    </w:p>
    <w:p w14:paraId="45254B78" w14:textId="77777777" w:rsidR="00626A16" w:rsidRPr="0052636C" w:rsidRDefault="00626A16" w:rsidP="00626A16">
      <w:pPr>
        <w:pStyle w:val="APA"/>
        <w:numPr>
          <w:ilvl w:val="0"/>
          <w:numId w:val="175"/>
        </w:numPr>
        <w:rPr>
          <w:lang w:val="es-CR" w:eastAsia="es-CR"/>
        </w:rPr>
      </w:pPr>
      <w:r w:rsidRPr="0052636C">
        <w:rPr>
          <w:lang w:val="es-CR" w:eastAsia="es-CR"/>
        </w:rPr>
        <w:t xml:space="preserve">Alineada con el objetivo 5, dirigido a la Dirección Financiera y a la Dirección de Proyectos, se recomendó diseñar e implementar un sistema de indicadores </w:t>
      </w:r>
      <w:r w:rsidRPr="0052636C">
        <w:rPr>
          <w:lang w:val="es-CR" w:eastAsia="es-CR"/>
        </w:rPr>
        <w:lastRenderedPageBreak/>
        <w:t>clave de desempeño (KPIs) que permitiera medir de forma periódica la eficiencia de los procesos de planificación y control. La Dirección de Proyectos recopiló los datos operativos relacionados con cronogramas, costos, calidad y satisfacción del cliente, mientras que la Dirección Financiera consolidó esta información en reportes estratégicos. Este sistema facilitó la toma de decisiones basada en evidencia, permitió realizar ajustes oportunos, evaluar tendencias y garantizó que las mejoras implementadas se mantuvieran en el tiempo. De esta forma, se contribuyó al establecimiento de una cultura de mejora continua y a la consolidación de la competitividad de Contract Workplaces en el mercado costarricense.</w:t>
      </w:r>
    </w:p>
    <w:p w14:paraId="42CD1987" w14:textId="77777777" w:rsidR="00626A16" w:rsidRDefault="00626A16" w:rsidP="00626A16">
      <w:r>
        <w:br w:type="page"/>
      </w:r>
    </w:p>
    <w:p w14:paraId="1285CC7D" w14:textId="77777777" w:rsidR="00626A16" w:rsidRDefault="00626A16" w:rsidP="00F212FE">
      <w:pPr>
        <w:rPr>
          <w:lang w:val="es-CR"/>
        </w:rPr>
      </w:pPr>
    </w:p>
    <w:p w14:paraId="52796FC5" w14:textId="77777777" w:rsidR="00F212FE" w:rsidRPr="00B60126" w:rsidRDefault="00F212FE" w:rsidP="00626A16">
      <w:pPr>
        <w:pStyle w:val="Ttulo1"/>
        <w:ind w:left="360"/>
        <w:jc w:val="center"/>
        <w:rPr>
          <w:lang w:val="es-CR"/>
        </w:rPr>
      </w:pPr>
      <w:bookmarkStart w:id="114" w:name="_Toc209378601"/>
      <w:bookmarkStart w:id="115" w:name="_Toc212406393"/>
      <w:r>
        <w:rPr>
          <w:lang w:val="es-CR"/>
        </w:rPr>
        <w:t>Validación del trabajo en el campo del desarrollo regenerativo y/o sostenible</w:t>
      </w:r>
      <w:bookmarkEnd w:id="114"/>
      <w:bookmarkEnd w:id="115"/>
    </w:p>
    <w:p w14:paraId="17C1C3F1" w14:textId="77777777" w:rsidR="00F212FE" w:rsidRPr="00D23DCD" w:rsidRDefault="00F212FE" w:rsidP="00F212FE">
      <w:pPr>
        <w:pStyle w:val="APA"/>
      </w:pPr>
      <w:r w:rsidRPr="00D23DCD">
        <w:t>Hoy es cada vez más importante que los proyectos no solo busquen cumplir con sus objetivos técnicos o económicos, sino que también consideren cómo impactan al ambiente, a las personas y a la economía local. Por eso han surgido dos enfoques clave en la gestión de proyectos: el desarrollo sostenible y el desarrollo regenerativo.</w:t>
      </w:r>
    </w:p>
    <w:p w14:paraId="7F86B330" w14:textId="77777777" w:rsidR="00F212FE" w:rsidRPr="00D23DCD" w:rsidRDefault="00F212FE" w:rsidP="00F212FE">
      <w:pPr>
        <w:pStyle w:val="APA"/>
      </w:pPr>
      <w:r w:rsidRPr="00D23DCD">
        <w:t>El desarrollo sostenible busca encontrar un equilibrio entre lo social, lo ambiental y lo económico. La idea principal es que las decisiones que tomemos hoy no deben afectar negativamente a las generaciones futuras (García-Sánchez &amp; Arauzo-Carod, 2018). Este enfoque promueve el uso eficiente de los recursos, el respeto a los derechos humanos y la generación de valor económico justo. Además, está alineado con los Objetivos de Desarrollo Sostenible propuestos por las Naciones Unidas (ONU, 2019).</w:t>
      </w:r>
    </w:p>
    <w:p w14:paraId="6D9532F1" w14:textId="77777777" w:rsidR="00F212FE" w:rsidRPr="00D23DCD" w:rsidRDefault="00F212FE" w:rsidP="00F212FE">
      <w:pPr>
        <w:pStyle w:val="APA"/>
      </w:pPr>
      <w:r w:rsidRPr="00D23DCD">
        <w:t xml:space="preserve">Por su parte, el desarrollo regenerativo va más allá. No se conforma con reducir los impactos negativos, sino que busca que los proyectos ayuden a restaurar y mejorar los ecosistemas y comunidades donde se desarrollan (Mang &amp; Haggard, 2016; Pedersen Zari, 2018). </w:t>
      </w:r>
      <w:r>
        <w:t>B</w:t>
      </w:r>
      <w:r w:rsidRPr="00D23DCD">
        <w:t>usca dejar una huella positiva en el entorno.</w:t>
      </w:r>
    </w:p>
    <w:p w14:paraId="0FD04728" w14:textId="77777777" w:rsidR="00F212FE" w:rsidRPr="00D23DCD" w:rsidRDefault="00F212FE" w:rsidP="00F212FE">
      <w:pPr>
        <w:pStyle w:val="APA"/>
      </w:pPr>
      <w:r w:rsidRPr="00D23DCD">
        <w:t>Incluir estos enfoques en la gestión de proyectos es fundamental. Según Silvius et al. (2017), pensar en sostenibilidad desde el inicio del proyecto permite tomar mejores decisiones en cada fase. Y si se aplica un enfoque regenerativo, se pueden diseñar soluciones que además de ser funcionales, generen bienestar y resiliencia en las personas y el medio ambiente.</w:t>
      </w:r>
    </w:p>
    <w:p w14:paraId="444689E5" w14:textId="77777777" w:rsidR="00F212FE" w:rsidRPr="0033018D" w:rsidRDefault="00F212FE" w:rsidP="00F212FE">
      <w:pPr>
        <w:pStyle w:val="APA"/>
        <w:rPr>
          <w:lang w:val="es-CR" w:eastAsia="es-CR"/>
        </w:rPr>
      </w:pPr>
      <w:r w:rsidRPr="00D23DCD">
        <w:t>Cada vez más, gobiernos, empresas e inversionistas exigen que los proyectos se desarrollen de forma ética y responsable. No basta con cumplir plazos o presupuestos; también se espera que los proyectos aporten</w:t>
      </w:r>
      <w:r w:rsidRPr="003501AA">
        <w:rPr>
          <w:lang w:val="es-CR" w:eastAsia="es-CR"/>
        </w:rPr>
        <w:t xml:space="preserve"> a construir una sociedad más justa y un planeta más sano (Martens &amp; Carvalho, 2017).</w:t>
      </w:r>
    </w:p>
    <w:p w14:paraId="6124F127" w14:textId="4CD6B386" w:rsidR="00F212FE" w:rsidRPr="004C631A" w:rsidRDefault="00F212FE" w:rsidP="00971534">
      <w:pPr>
        <w:pStyle w:val="Ttulo3"/>
        <w:numPr>
          <w:ilvl w:val="1"/>
          <w:numId w:val="179"/>
        </w:numPr>
      </w:pPr>
      <w:bookmarkStart w:id="116" w:name="_Toc200286377"/>
      <w:bookmarkStart w:id="117" w:name="_Toc201774701"/>
      <w:bookmarkStart w:id="118" w:name="_Toc209378602"/>
      <w:bookmarkStart w:id="119" w:name="_Toc212406394"/>
      <w:r w:rsidRPr="00971534">
        <w:lastRenderedPageBreak/>
        <w:t>Relación del proyecto con los objetivos de Desarrollo Sostenible</w:t>
      </w:r>
      <w:bookmarkEnd w:id="116"/>
      <w:bookmarkEnd w:id="117"/>
      <w:bookmarkEnd w:id="118"/>
      <w:bookmarkEnd w:id="119"/>
    </w:p>
    <w:p w14:paraId="614452A3" w14:textId="77777777" w:rsidR="00F212FE" w:rsidRPr="00154032" w:rsidRDefault="00F212FE" w:rsidP="00F212FE">
      <w:pPr>
        <w:pStyle w:val="APA"/>
        <w:rPr>
          <w:lang w:val="es-CR" w:eastAsia="es-CR"/>
        </w:rPr>
      </w:pPr>
      <w:r w:rsidRPr="00154032">
        <w:rPr>
          <w:lang w:val="es-CR" w:eastAsia="es-CR"/>
        </w:rPr>
        <w:t>Los Objetivos de Desarrollo Sostenible constituyen una iniciativa impulsada por la Organización de las Naciones Unidas desde el año 2015, como parte de la Agenda 2030 para el Desarrollo Sostenible. Esta agenda establece 17 objetivos orientad</w:t>
      </w:r>
      <w:r>
        <w:rPr>
          <w:lang w:val="es-CR" w:eastAsia="es-CR"/>
        </w:rPr>
        <w:t>o</w:t>
      </w:r>
      <w:r w:rsidRPr="00154032">
        <w:rPr>
          <w:lang w:val="es-CR" w:eastAsia="es-CR"/>
        </w:rPr>
        <w:t>s a erradicar la pobreza, proteger el planeta y mejorar la vida de todas las personas, sin dejar a nadie atrás. Los ODS abarcan dimensiones económicas, sociales y ambientales del desarrollo, y están dirigidos tanto a países desarrollados como en vías de desarrollo. Además, promueven una acción conjunta entre gobiernos, empresas, academia y sociedad civil para su cumplimiento.</w:t>
      </w:r>
    </w:p>
    <w:p w14:paraId="15231F85" w14:textId="77777777" w:rsidR="00F212FE" w:rsidRDefault="00F212FE" w:rsidP="00F212FE">
      <w:pPr>
        <w:pStyle w:val="APA"/>
        <w:rPr>
          <w:lang w:val="es-CR" w:eastAsia="es-CR"/>
        </w:rPr>
      </w:pPr>
      <w:r w:rsidRPr="00154032">
        <w:rPr>
          <w:lang w:val="es-CR" w:eastAsia="es-CR"/>
        </w:rPr>
        <w:t>El proyecto propuesto, enfocado en la mejora del proceso de planificación y control en proyectos Design &amp; Build ejecutados por Contract Workplaces en el sector de oficinas corporativas, guarda una relación directa con múltiples ODS, al fomentar prácticas de gestión más eficientes, sostenibles y equitativas. Esta propuesta busca optimizar la integración entre las fases de diseño y construcción, reducir desperdicios, aumentar la productividad y promover condiciones laborales más justas y responsables. A continuación, se describe cómo el proyecto se vincula con los ODS más relevantes.</w:t>
      </w:r>
    </w:p>
    <w:p w14:paraId="7F7CDECB" w14:textId="77777777" w:rsidR="00F212FE" w:rsidRPr="00D23DCD" w:rsidRDefault="00F212FE" w:rsidP="00F212FE">
      <w:pPr>
        <w:pStyle w:val="Figura1"/>
        <w:numPr>
          <w:ilvl w:val="0"/>
          <w:numId w:val="16"/>
        </w:numPr>
        <w:rPr>
          <w:b/>
          <w:bCs/>
          <w:szCs w:val="27"/>
          <w:lang w:eastAsia="es-CR"/>
        </w:rPr>
      </w:pPr>
      <w:r w:rsidRPr="00B27F5F">
        <w:rPr>
          <w:rStyle w:val="Textoennegrita"/>
        </w:rPr>
        <w:t>Fin de la pobreza:</w:t>
      </w:r>
      <w:r>
        <w:rPr>
          <w:b/>
          <w:bCs/>
          <w:szCs w:val="27"/>
          <w:lang w:eastAsia="es-CR"/>
        </w:rPr>
        <w:t xml:space="preserve"> </w:t>
      </w:r>
      <w:r>
        <w:t>El proyecto contribuye de forma indirecta, ya que la mejora del proceso de planificación y control promueve empleos formales y estables, generando ingresos dignos que contribuyen a reducir la pobreza, especialmente en la cadena de suministro del sector construcción.</w:t>
      </w:r>
    </w:p>
    <w:p w14:paraId="747C1BC3" w14:textId="77777777" w:rsidR="00F212FE" w:rsidRPr="00D23DCD" w:rsidRDefault="00F212FE" w:rsidP="00F212FE">
      <w:pPr>
        <w:pStyle w:val="Figura1"/>
        <w:numPr>
          <w:ilvl w:val="0"/>
          <w:numId w:val="16"/>
        </w:numPr>
        <w:rPr>
          <w:b/>
          <w:bCs/>
        </w:rPr>
      </w:pPr>
      <w:r w:rsidRPr="00B27F5F">
        <w:rPr>
          <w:rStyle w:val="Textoennegrita"/>
        </w:rPr>
        <w:t>Salud y bienestar:</w:t>
      </w:r>
      <w:r>
        <w:rPr>
          <w:b/>
          <w:bCs/>
        </w:rPr>
        <w:t xml:space="preserve"> </w:t>
      </w:r>
      <w:r>
        <w:t>La propuesta mejora el entorno de trabajo al fomentar espacios más seguros y saludables. La optimización en diseño permite mejor ventilación, iluminación y confort térmico, lo cual impacta positivamente en la salud física y mental del personal.</w:t>
      </w:r>
    </w:p>
    <w:p w14:paraId="5841F828" w14:textId="77777777" w:rsidR="00F212FE" w:rsidRPr="00D23DCD" w:rsidRDefault="00F212FE" w:rsidP="00F212FE">
      <w:pPr>
        <w:pStyle w:val="Figura1"/>
        <w:numPr>
          <w:ilvl w:val="0"/>
          <w:numId w:val="16"/>
        </w:numPr>
        <w:rPr>
          <w:b/>
          <w:bCs/>
        </w:rPr>
      </w:pPr>
      <w:r w:rsidRPr="00B27F5F">
        <w:rPr>
          <w:rStyle w:val="Textoennegrita"/>
        </w:rPr>
        <w:t>Educación de calidad:</w:t>
      </w:r>
      <w:r>
        <w:rPr>
          <w:b/>
          <w:bCs/>
        </w:rPr>
        <w:t xml:space="preserve"> </w:t>
      </w:r>
      <w:r>
        <w:t xml:space="preserve">Mediante la implementación de buenas prácticas y formación continua para equipos técnicos y operativos, se promueve el </w:t>
      </w:r>
      <w:r>
        <w:lastRenderedPageBreak/>
        <w:t>aprendizaje organizacional y el desarrollo profesional de los trabajadores involucrados.</w:t>
      </w:r>
    </w:p>
    <w:p w14:paraId="75D9FB28" w14:textId="77777777" w:rsidR="00F212FE" w:rsidRPr="00D23DCD" w:rsidRDefault="00F212FE" w:rsidP="00F212FE">
      <w:pPr>
        <w:pStyle w:val="Figura1"/>
        <w:numPr>
          <w:ilvl w:val="0"/>
          <w:numId w:val="16"/>
        </w:numPr>
        <w:rPr>
          <w:b/>
          <w:bCs/>
        </w:rPr>
      </w:pPr>
      <w:r w:rsidRPr="00B27F5F">
        <w:rPr>
          <w:rStyle w:val="Textoennegrita"/>
        </w:rPr>
        <w:t>Igualdad de género:</w:t>
      </w:r>
      <w:r>
        <w:rPr>
          <w:b/>
          <w:bCs/>
        </w:rPr>
        <w:t xml:space="preserve"> </w:t>
      </w:r>
      <w:r>
        <w:t>El proyecto fomenta la inclusión de mujeres en roles de liderazgo, diseño y ejecución, rompiendo barreras en un sector tradicionalmente masculinizado como el de la construcción.</w:t>
      </w:r>
    </w:p>
    <w:p w14:paraId="46852B90" w14:textId="77777777" w:rsidR="00F212FE" w:rsidRDefault="00F212FE" w:rsidP="00F212FE">
      <w:pPr>
        <w:pStyle w:val="Figura1"/>
        <w:numPr>
          <w:ilvl w:val="0"/>
          <w:numId w:val="16"/>
        </w:numPr>
      </w:pPr>
      <w:r w:rsidRPr="00B27F5F">
        <w:rPr>
          <w:rStyle w:val="Textoennegrita"/>
        </w:rPr>
        <w:t>Energía asequible y no contaminante</w:t>
      </w:r>
      <w:r w:rsidRPr="00D23DCD">
        <w:rPr>
          <w:b/>
          <w:bCs/>
        </w:rPr>
        <w:t>:</w:t>
      </w:r>
      <w:r>
        <w:t xml:space="preserve"> Se promueve la eficiencia energética desde el diseño arquitectónico, priorizando el uso de luz natural, ventilación cruzada y tecnologías de bajo consumo durante la operación de las oficinas.</w:t>
      </w:r>
    </w:p>
    <w:p w14:paraId="7DE4FADE" w14:textId="77777777" w:rsidR="00F212FE" w:rsidRPr="00D23DCD" w:rsidRDefault="00F212FE" w:rsidP="00F212FE">
      <w:pPr>
        <w:pStyle w:val="Figura1"/>
        <w:numPr>
          <w:ilvl w:val="0"/>
          <w:numId w:val="16"/>
        </w:numPr>
        <w:rPr>
          <w:b/>
          <w:bCs/>
        </w:rPr>
      </w:pPr>
      <w:r w:rsidRPr="00B27F5F">
        <w:rPr>
          <w:rStyle w:val="Textoennegrita"/>
        </w:rPr>
        <w:t>Trabajo decente y crecimiento económico:</w:t>
      </w:r>
      <w:r>
        <w:rPr>
          <w:b/>
          <w:bCs/>
        </w:rPr>
        <w:t xml:space="preserve"> </w:t>
      </w:r>
      <w:r>
        <w:t>El proyecto mejora la eficiencia en los procesos, generando condiciones laborales más dignas, seguras y formales. Esto incentiva el crecimiento económico responsable en el sector inmobiliario.</w:t>
      </w:r>
    </w:p>
    <w:p w14:paraId="54790265" w14:textId="77777777" w:rsidR="00F212FE" w:rsidRPr="00D23DCD" w:rsidRDefault="00F212FE" w:rsidP="00F212FE">
      <w:pPr>
        <w:pStyle w:val="Figura1"/>
        <w:numPr>
          <w:ilvl w:val="0"/>
          <w:numId w:val="16"/>
        </w:numPr>
        <w:rPr>
          <w:b/>
          <w:bCs/>
        </w:rPr>
      </w:pPr>
      <w:r w:rsidRPr="00B27F5F">
        <w:rPr>
          <w:rStyle w:val="Textoennegrita"/>
        </w:rPr>
        <w:t>Industria, innovación e infraestructura</w:t>
      </w:r>
      <w:r>
        <w:rPr>
          <w:rStyle w:val="Textoennegrita"/>
        </w:rPr>
        <w:t>:</w:t>
      </w:r>
      <w:r>
        <w:rPr>
          <w:b/>
          <w:bCs/>
        </w:rPr>
        <w:t xml:space="preserve"> </w:t>
      </w:r>
      <w:r>
        <w:t>La mejora propuesta incentiva la innovación metodológica y tecnológica en diseño y construcción, promoviendo una infraestructura moderna, sostenible y resiliente.</w:t>
      </w:r>
    </w:p>
    <w:p w14:paraId="415DBE53" w14:textId="77777777" w:rsidR="00F212FE" w:rsidRPr="00D23DCD" w:rsidRDefault="00F212FE" w:rsidP="00F212FE">
      <w:pPr>
        <w:pStyle w:val="Figura1"/>
        <w:numPr>
          <w:ilvl w:val="0"/>
          <w:numId w:val="16"/>
        </w:numPr>
        <w:rPr>
          <w:b/>
          <w:bCs/>
        </w:rPr>
      </w:pPr>
      <w:r w:rsidRPr="00B27F5F">
        <w:rPr>
          <w:rStyle w:val="Textoennegrita"/>
        </w:rPr>
        <w:t>Reducción de las desigualdades</w:t>
      </w:r>
      <w:r>
        <w:rPr>
          <w:b/>
          <w:bCs/>
        </w:rPr>
        <w:t xml:space="preserve">: </w:t>
      </w:r>
      <w:r>
        <w:t>Al establecer procesos más transparentes y equitativos, se abren oportunidades a proveedores y trabajadores diversos, favoreciendo la inclusión en la cadena de valor.</w:t>
      </w:r>
    </w:p>
    <w:p w14:paraId="445B43A1" w14:textId="77777777" w:rsidR="00F212FE" w:rsidRPr="00D23DCD" w:rsidRDefault="00F212FE" w:rsidP="00F212FE">
      <w:pPr>
        <w:pStyle w:val="Figura1"/>
        <w:numPr>
          <w:ilvl w:val="0"/>
          <w:numId w:val="16"/>
        </w:numPr>
        <w:rPr>
          <w:b/>
          <w:bCs/>
        </w:rPr>
      </w:pPr>
      <w:r w:rsidRPr="00B27F5F">
        <w:rPr>
          <w:rStyle w:val="Textoennegrita"/>
        </w:rPr>
        <w:t>Ciudades y comunidades sostenibles:</w:t>
      </w:r>
      <w:r>
        <w:rPr>
          <w:b/>
          <w:bCs/>
        </w:rPr>
        <w:t xml:space="preserve"> </w:t>
      </w:r>
      <w:r>
        <w:t>El diseño de oficinas eficientes y accesibles contribuye a ciudades más habitables, sostenibles y con mejor calidad de vida para las personas usuarias.</w:t>
      </w:r>
    </w:p>
    <w:p w14:paraId="7C3E4A48" w14:textId="77777777" w:rsidR="00F212FE" w:rsidRDefault="00F212FE" w:rsidP="00F212FE">
      <w:pPr>
        <w:pStyle w:val="Figura1"/>
        <w:numPr>
          <w:ilvl w:val="0"/>
          <w:numId w:val="16"/>
        </w:numPr>
      </w:pPr>
      <w:r w:rsidRPr="00B27F5F">
        <w:rPr>
          <w:rStyle w:val="Textoennegrita"/>
        </w:rPr>
        <w:t>Producción y consumo responsables:</w:t>
      </w:r>
      <w:r>
        <w:t xml:space="preserve"> Se promueve una planificación consciente que reduce desperdicios de materiales y recursos, tanto en la etapa de diseño como en la ejecución y mantenimiento de los espacios.</w:t>
      </w:r>
    </w:p>
    <w:p w14:paraId="7CB4A157" w14:textId="77777777" w:rsidR="00F212FE" w:rsidRDefault="00F212FE" w:rsidP="00F212FE">
      <w:pPr>
        <w:pStyle w:val="Figura1"/>
        <w:numPr>
          <w:ilvl w:val="0"/>
          <w:numId w:val="16"/>
        </w:numPr>
      </w:pPr>
      <w:r w:rsidRPr="00B27F5F">
        <w:rPr>
          <w:rStyle w:val="Textoennegrita"/>
        </w:rPr>
        <w:lastRenderedPageBreak/>
        <w:t>Acción por el clima</w:t>
      </w:r>
      <w:r w:rsidRPr="00D23DCD">
        <w:rPr>
          <w:b/>
          <w:bCs/>
        </w:rPr>
        <w:t>:</w:t>
      </w:r>
      <w:r>
        <w:t xml:space="preserve"> La propuesta reduce la huella ambiental de los proyectos mediante procesos optimizados y materiales sostenibles, alineándose con estrategias de mitigación del cambio climático.</w:t>
      </w:r>
    </w:p>
    <w:p w14:paraId="389E8A1B" w14:textId="77777777" w:rsidR="00F212FE" w:rsidRDefault="00F212FE" w:rsidP="00F212FE">
      <w:pPr>
        <w:pStyle w:val="Figura1"/>
        <w:numPr>
          <w:ilvl w:val="0"/>
          <w:numId w:val="16"/>
        </w:numPr>
      </w:pPr>
      <w:r w:rsidRPr="00B27F5F">
        <w:rPr>
          <w:rStyle w:val="Textoennegrita"/>
        </w:rPr>
        <w:t>Paz, justicia e instituciones sólidas</w:t>
      </w:r>
      <w:r w:rsidRPr="00D23DCD">
        <w:rPr>
          <w:b/>
          <w:bCs/>
        </w:rPr>
        <w:t>:</w:t>
      </w:r>
      <w:r>
        <w:t xml:space="preserve"> El fortalecimiento de la transparencia, la ética profesional y el cumplimiento normativo en los procesos de contratación y ejecución respalda este objetivo.</w:t>
      </w:r>
    </w:p>
    <w:p w14:paraId="3524FF42" w14:textId="77777777" w:rsidR="00F212FE" w:rsidRDefault="00F212FE" w:rsidP="00F212FE">
      <w:pPr>
        <w:pStyle w:val="Figura1"/>
        <w:numPr>
          <w:ilvl w:val="0"/>
          <w:numId w:val="16"/>
        </w:numPr>
      </w:pPr>
      <w:r w:rsidRPr="00D23DCD">
        <w:rPr>
          <w:rStyle w:val="Textoennegrita"/>
        </w:rPr>
        <w:t>Alianzas para lograr los objetivos</w:t>
      </w:r>
      <w:r w:rsidRPr="00B27F5F">
        <w:rPr>
          <w:bCs/>
        </w:rPr>
        <w:t>:</w:t>
      </w:r>
      <w:r>
        <w:t xml:space="preserve"> La articulación con clientes, aliados estratégicos y proveedores bajo principios de sostenibilidad refuerza el trabajo colaborativo en pro de los ODS.</w:t>
      </w:r>
    </w:p>
    <w:p w14:paraId="67614B75" w14:textId="77777777" w:rsidR="00F212FE" w:rsidRPr="00A53C01" w:rsidRDefault="00F212FE" w:rsidP="00F212FE">
      <w:pPr>
        <w:pStyle w:val="Figura1"/>
        <w:rPr>
          <w:lang w:val="es-CR"/>
        </w:rPr>
      </w:pPr>
      <w:r w:rsidRPr="00A53C01">
        <w:rPr>
          <w:b/>
          <w:bCs/>
          <w:lang w:val="es-CR"/>
        </w:rPr>
        <w:t>ODS con relación indirecta:</w:t>
      </w:r>
    </w:p>
    <w:p w14:paraId="1A98C875" w14:textId="77777777" w:rsidR="00F212FE" w:rsidRPr="00A53C01" w:rsidRDefault="00F212FE" w:rsidP="00F212FE">
      <w:pPr>
        <w:pStyle w:val="Figura1"/>
        <w:numPr>
          <w:ilvl w:val="0"/>
          <w:numId w:val="16"/>
        </w:numPr>
        <w:rPr>
          <w:lang w:val="es-CR"/>
        </w:rPr>
      </w:pPr>
      <w:r w:rsidRPr="00A53C01">
        <w:rPr>
          <w:lang w:val="es-CR"/>
        </w:rPr>
        <w:t>Si bien algunos ODS no están directamente vinculados al sector construcción, el proyecto puede aportar beneficios indirectos que apoyen su cumplimiento:</w:t>
      </w:r>
    </w:p>
    <w:p w14:paraId="724EFB21" w14:textId="77777777" w:rsidR="00F212FE" w:rsidRPr="00A53C01" w:rsidRDefault="00F212FE" w:rsidP="00F212FE">
      <w:pPr>
        <w:pStyle w:val="Figura1"/>
        <w:numPr>
          <w:ilvl w:val="0"/>
          <w:numId w:val="16"/>
        </w:numPr>
        <w:rPr>
          <w:lang w:val="es-CR"/>
        </w:rPr>
      </w:pPr>
      <w:r w:rsidRPr="00A53C01">
        <w:rPr>
          <w:b/>
          <w:bCs/>
          <w:lang w:val="es-CR"/>
        </w:rPr>
        <w:t>Hambre Cero:</w:t>
      </w:r>
      <w:r w:rsidRPr="00A53C01">
        <w:rPr>
          <w:lang w:val="es-CR"/>
        </w:rPr>
        <w:t xml:space="preserve"> Aunque no se abordan directamente temas alimentarios, el fomento del empleo estable y la mejora del ingreso de trabajadores y proveedores puede contribuir a mejorar su acceso a la alimentación.</w:t>
      </w:r>
    </w:p>
    <w:p w14:paraId="5B051DE4" w14:textId="77777777" w:rsidR="00F212FE" w:rsidRPr="00A53C01" w:rsidRDefault="00F212FE" w:rsidP="00F212FE">
      <w:pPr>
        <w:pStyle w:val="Figura1"/>
        <w:numPr>
          <w:ilvl w:val="0"/>
          <w:numId w:val="16"/>
        </w:numPr>
        <w:rPr>
          <w:lang w:val="es-CR"/>
        </w:rPr>
      </w:pPr>
      <w:r w:rsidRPr="00A53C01">
        <w:rPr>
          <w:b/>
          <w:bCs/>
          <w:lang w:val="es-CR"/>
        </w:rPr>
        <w:t>Agua limpia y saneamiento:</w:t>
      </w:r>
      <w:r w:rsidRPr="00A53C01">
        <w:rPr>
          <w:lang w:val="es-CR"/>
        </w:rPr>
        <w:t xml:space="preserve"> Las prácticas de eficiencia hídrica propuestas en la fase constructiva y operativa del proyecto, como el uso de grifería eficiente y reutilización de aguas grises, apoyan el uso racional del recurso hídrico.</w:t>
      </w:r>
    </w:p>
    <w:p w14:paraId="6E58AC3C" w14:textId="77777777" w:rsidR="00F212FE" w:rsidRPr="00A53C01" w:rsidRDefault="00F212FE" w:rsidP="00F212FE">
      <w:pPr>
        <w:pStyle w:val="Figura1"/>
        <w:numPr>
          <w:ilvl w:val="0"/>
          <w:numId w:val="16"/>
        </w:numPr>
        <w:rPr>
          <w:lang w:val="es-CR"/>
        </w:rPr>
      </w:pPr>
      <w:r w:rsidRPr="00A53C01">
        <w:rPr>
          <w:b/>
          <w:bCs/>
          <w:lang w:val="es-CR"/>
        </w:rPr>
        <w:t>Vida submarina y Vida de ecosistemas terrestres:</w:t>
      </w:r>
      <w:r w:rsidRPr="00A53C01">
        <w:rPr>
          <w:lang w:val="es-CR"/>
        </w:rPr>
        <w:t xml:space="preserve"> La adopción de criterios de sostenibilidad, uso de materiales certificados y reducción de impactos sobre el entorno natural ayuda a prevenir contaminación que podría afectar ecosistemas, aun sin ser el objetivo central del proyecto. Además, el diseño regenerativo y la planificación ambiental responsable fomentan una cultura de respeto hacia la biodiversidad.</w:t>
      </w:r>
    </w:p>
    <w:p w14:paraId="5AD47607" w14:textId="77777777" w:rsidR="00F212FE" w:rsidRPr="00255610" w:rsidRDefault="00F212FE" w:rsidP="00F212FE">
      <w:pPr>
        <w:pStyle w:val="APA"/>
        <w:rPr>
          <w:lang w:val="es-CR"/>
        </w:rPr>
      </w:pPr>
      <w:r w:rsidRPr="00A53C01">
        <w:rPr>
          <w:lang w:val="es-CR"/>
        </w:rPr>
        <w:lastRenderedPageBreak/>
        <w:t>En conjunto, el proyecto contribuye a promover una cultura organizacional que prioriza la responsabilidad ambiental, la eficiencia de recursos y la equidad, elementos fundamentales para el cumplimiento integral de la Agenda 2030.</w:t>
      </w:r>
    </w:p>
    <w:p w14:paraId="23C0CAAE" w14:textId="77777777" w:rsidR="00F212FE" w:rsidRPr="0003613B" w:rsidRDefault="00F212FE" w:rsidP="00971534">
      <w:pPr>
        <w:pStyle w:val="Ttulo3"/>
        <w:numPr>
          <w:ilvl w:val="1"/>
          <w:numId w:val="179"/>
        </w:numPr>
      </w:pPr>
      <w:bookmarkStart w:id="120" w:name="_Toc200286378"/>
      <w:bookmarkStart w:id="121" w:name="_Toc201774702"/>
      <w:bookmarkStart w:id="122" w:name="_Toc209378603"/>
      <w:bookmarkStart w:id="123" w:name="_Toc212406395"/>
      <w:r w:rsidRPr="0003613B">
        <w:t>Análisis del proyecto de acuerdo con el Estándar P5</w:t>
      </w:r>
      <w:bookmarkEnd w:id="120"/>
      <w:bookmarkEnd w:id="121"/>
      <w:bookmarkEnd w:id="122"/>
      <w:bookmarkEnd w:id="123"/>
    </w:p>
    <w:p w14:paraId="362C2A69" w14:textId="77777777" w:rsidR="00F212FE" w:rsidRPr="00D23DCD" w:rsidRDefault="00F212FE" w:rsidP="00F212FE">
      <w:pPr>
        <w:pStyle w:val="APA"/>
        <w:rPr>
          <w:lang w:val="es-CR"/>
        </w:rPr>
      </w:pPr>
      <w:r w:rsidRPr="00D23DCD">
        <w:rPr>
          <w:lang w:val="es-CR"/>
        </w:rPr>
        <w:t>El Estándar P5, desarrollado por GPM Global, es una herramienta que permite evaluar de forma integral el impacto de los proyectos en la sostenibilidad. Su enfoque busca ampliar la visión tradicional del éxito en los proyectos, que comúnmente se mide en términos de costo, tiempo y calidad, incorporando nuevas dimensiones como el bienestar social, la protección del medio ambiente, la generación de valor económico, la eficiencia de los procesos y el alineamiento con un propósito ético.</w:t>
      </w:r>
    </w:p>
    <w:p w14:paraId="5763D6A2" w14:textId="77777777" w:rsidR="00F212FE" w:rsidRPr="00D23DCD" w:rsidRDefault="00F212FE" w:rsidP="00F212FE">
      <w:pPr>
        <w:pStyle w:val="APA"/>
        <w:rPr>
          <w:lang w:val="es-CR"/>
        </w:rPr>
      </w:pPr>
      <w:r w:rsidRPr="00D23DCD">
        <w:rPr>
          <w:lang w:val="es-CR"/>
        </w:rPr>
        <w:t>El análisis se basa en cinco categorías clave, conocidas como las 5P del desarrollo sostenible:</w:t>
      </w:r>
    </w:p>
    <w:p w14:paraId="2C2DF28C" w14:textId="77777777" w:rsidR="00F212FE" w:rsidRPr="00D23DCD" w:rsidRDefault="00F212FE" w:rsidP="00F212FE">
      <w:pPr>
        <w:pStyle w:val="Figura1"/>
        <w:numPr>
          <w:ilvl w:val="0"/>
          <w:numId w:val="21"/>
        </w:numPr>
        <w:rPr>
          <w:lang w:val="es-CR"/>
        </w:rPr>
      </w:pPr>
      <w:r w:rsidRPr="00D23DCD">
        <w:rPr>
          <w:b/>
          <w:lang w:val="es-CR"/>
        </w:rPr>
        <w:t>Personas:</w:t>
      </w:r>
      <w:r w:rsidRPr="00D23DCD">
        <w:rPr>
          <w:lang w:val="es-CR"/>
        </w:rPr>
        <w:t xml:space="preserve"> Considera los impactos sociales del proyecto, incluyendo la salud, la seguridad, la inclusión, la equidad y los derechos humanos.</w:t>
      </w:r>
    </w:p>
    <w:p w14:paraId="79BEBBB3" w14:textId="77777777" w:rsidR="00F212FE" w:rsidRPr="00D23DCD" w:rsidRDefault="00F212FE" w:rsidP="00F212FE">
      <w:pPr>
        <w:pStyle w:val="Figura1"/>
        <w:numPr>
          <w:ilvl w:val="0"/>
          <w:numId w:val="20"/>
        </w:numPr>
        <w:rPr>
          <w:lang w:val="es-CR"/>
        </w:rPr>
      </w:pPr>
      <w:r w:rsidRPr="00D23DCD">
        <w:rPr>
          <w:b/>
          <w:lang w:val="es-CR"/>
        </w:rPr>
        <w:t>Planeta:</w:t>
      </w:r>
      <w:r w:rsidRPr="00D23DCD">
        <w:rPr>
          <w:lang w:val="es-CR"/>
        </w:rPr>
        <w:t xml:space="preserve"> Evalúa el efecto ambiental del proyecto, como el uso de recursos naturales, emisiones, residuos, biodiversidad y contaminación.</w:t>
      </w:r>
    </w:p>
    <w:p w14:paraId="2533AFE0" w14:textId="77777777" w:rsidR="00F212FE" w:rsidRPr="00D23DCD" w:rsidRDefault="00F212FE" w:rsidP="00F212FE">
      <w:pPr>
        <w:pStyle w:val="Figura1"/>
        <w:numPr>
          <w:ilvl w:val="0"/>
          <w:numId w:val="19"/>
        </w:numPr>
        <w:rPr>
          <w:lang w:val="es-CR"/>
        </w:rPr>
      </w:pPr>
      <w:r w:rsidRPr="00D23DCD">
        <w:rPr>
          <w:b/>
          <w:lang w:val="es-CR"/>
        </w:rPr>
        <w:t>Prosperidad:</w:t>
      </w:r>
      <w:r w:rsidRPr="00D23DCD">
        <w:rPr>
          <w:lang w:val="es-CR"/>
        </w:rPr>
        <w:t xml:space="preserve"> Mide la generación de valor económico sostenible para las partes interesadas, incluyendo retornos sociales, financieros y comunitarios.</w:t>
      </w:r>
    </w:p>
    <w:p w14:paraId="4AEEE2F1" w14:textId="77777777" w:rsidR="00F212FE" w:rsidRPr="00D23DCD" w:rsidRDefault="00F212FE" w:rsidP="00F212FE">
      <w:pPr>
        <w:pStyle w:val="Figura1"/>
        <w:numPr>
          <w:ilvl w:val="0"/>
          <w:numId w:val="18"/>
        </w:numPr>
        <w:rPr>
          <w:lang w:val="es-CR"/>
        </w:rPr>
      </w:pPr>
      <w:r w:rsidRPr="00D23DCD">
        <w:rPr>
          <w:b/>
          <w:lang w:val="es-CR"/>
        </w:rPr>
        <w:t>Procesos:</w:t>
      </w:r>
      <w:r w:rsidRPr="00D23DCD">
        <w:rPr>
          <w:lang w:val="es-CR"/>
        </w:rPr>
        <w:t xml:space="preserve"> Revisa cómo se planifican y ejecutan los proyectos, considerando su eficiencia, control, transparencia y mejora continua.</w:t>
      </w:r>
    </w:p>
    <w:p w14:paraId="498504BA" w14:textId="77777777" w:rsidR="00F212FE" w:rsidRPr="00D23DCD" w:rsidRDefault="00F212FE" w:rsidP="00F212FE">
      <w:pPr>
        <w:pStyle w:val="Figura1"/>
        <w:numPr>
          <w:ilvl w:val="0"/>
          <w:numId w:val="17"/>
        </w:numPr>
        <w:rPr>
          <w:lang w:val="es-CR"/>
        </w:rPr>
      </w:pPr>
      <w:r w:rsidRPr="00D23DCD">
        <w:rPr>
          <w:b/>
          <w:lang w:val="es-CR"/>
        </w:rPr>
        <w:t>Propósito:</w:t>
      </w:r>
      <w:r w:rsidRPr="00D23DCD">
        <w:rPr>
          <w:lang w:val="es-CR"/>
        </w:rPr>
        <w:t xml:space="preserve"> Examina el alineamiento del proyecto con los valores éticos de la organización, su visión y su contribución a los Objetivos de Desarrollo Sostenible (ODS).</w:t>
      </w:r>
    </w:p>
    <w:p w14:paraId="0F1330DC" w14:textId="77777777" w:rsidR="00F212FE" w:rsidRPr="00D23DCD" w:rsidRDefault="00F212FE" w:rsidP="00F212FE">
      <w:pPr>
        <w:pStyle w:val="APA"/>
        <w:rPr>
          <w:lang w:val="es-CR"/>
        </w:rPr>
      </w:pPr>
      <w:r w:rsidRPr="00D23DCD">
        <w:rPr>
          <w:lang w:val="es-CR"/>
        </w:rPr>
        <w:t xml:space="preserve">Este enfoque permite identificar de manera anticipada los impactos potenciales del proyecto en cada una de estas áreas, ya sean positivos o negativos. A partir de ese análisis, se </w:t>
      </w:r>
      <w:r w:rsidRPr="00D23DCD">
        <w:rPr>
          <w:lang w:val="es-CR"/>
        </w:rPr>
        <w:lastRenderedPageBreak/>
        <w:t>pueden diseñar estrategias específicas para mitigar riesgos, maximizar beneficios y asegurar una ejecución más responsable y alineada con los principios del desarrollo sostenible y regenerativo.</w:t>
      </w:r>
    </w:p>
    <w:p w14:paraId="6E4620DD" w14:textId="77777777" w:rsidR="00F212FE" w:rsidRPr="00D23DCD" w:rsidRDefault="00F212FE" w:rsidP="00F212FE">
      <w:pPr>
        <w:pStyle w:val="APA"/>
        <w:rPr>
          <w:lang w:val="es-CR"/>
        </w:rPr>
      </w:pPr>
      <w:r w:rsidRPr="00D23DCD">
        <w:rPr>
          <w:b/>
          <w:lang w:val="es-CR"/>
        </w:rPr>
        <w:t>Criterios de evaluación y metodología de puntuación</w:t>
      </w:r>
      <w:r>
        <w:rPr>
          <w:b/>
          <w:lang w:val="es-CR"/>
        </w:rPr>
        <w:t xml:space="preserve">: </w:t>
      </w:r>
      <w:r w:rsidRPr="00D23DCD">
        <w:rPr>
          <w:lang w:val="es-CR"/>
        </w:rPr>
        <w:t>Para realizar el análisis P5, se utiliza una plantilla que agrupa los diferentes elementos según su categoría. A cada uno de estos elementos se les asigna un puntaje antes y después de aplicar una medida correctiva o de mejora. Esta evaluación se realiza siguiendo los siguientes pasos:</w:t>
      </w:r>
    </w:p>
    <w:p w14:paraId="1367C04A" w14:textId="77777777" w:rsidR="00F212FE" w:rsidRPr="00D23DCD" w:rsidRDefault="00F212FE" w:rsidP="00F212FE">
      <w:pPr>
        <w:pStyle w:val="APA"/>
        <w:rPr>
          <w:lang w:val="es-CR"/>
        </w:rPr>
      </w:pPr>
      <w:r w:rsidRPr="00D23DCD">
        <w:rPr>
          <w:b/>
          <w:lang w:val="es-CR"/>
        </w:rPr>
        <w:t>Identificación de la causa del impacto:</w:t>
      </w:r>
      <w:r w:rsidRPr="00D23DCD">
        <w:rPr>
          <w:lang w:val="es-CR"/>
        </w:rPr>
        <w:t xml:space="preserve"> Se describe de manera concreta qué aspecto del proyecto genera ese impacto. Puede ser una actividad específica, un material utilizado, una omisión en el diseño, etc.</w:t>
      </w:r>
    </w:p>
    <w:p w14:paraId="0E48900E" w14:textId="77777777" w:rsidR="00F212FE" w:rsidRPr="00D23DCD" w:rsidRDefault="00F212FE" w:rsidP="00F212FE">
      <w:pPr>
        <w:pStyle w:val="APA"/>
        <w:rPr>
          <w:lang w:val="es-CR"/>
        </w:rPr>
      </w:pPr>
      <w:r w:rsidRPr="00D23DCD">
        <w:rPr>
          <w:b/>
          <w:lang w:val="es-CR"/>
        </w:rPr>
        <w:t>Evaluación del impacto potencial:</w:t>
      </w:r>
      <w:r w:rsidRPr="00D23DCD">
        <w:rPr>
          <w:lang w:val="es-CR"/>
        </w:rPr>
        <w:t xml:space="preserve"> Se analiza cuál sería el efecto en la sostenibilidad si no se realiza ninguna intervención. Este impacto puede afectar de forma directa o indirecta a personas, comunidades, ecosistemas o sistemas económicos.</w:t>
      </w:r>
    </w:p>
    <w:p w14:paraId="10CB3345" w14:textId="77777777" w:rsidR="00F212FE" w:rsidRPr="00A53C01" w:rsidRDefault="00F212FE" w:rsidP="00F212FE">
      <w:pPr>
        <w:pStyle w:val="APA"/>
        <w:rPr>
          <w:lang w:val="es-CR"/>
        </w:rPr>
      </w:pPr>
      <w:r w:rsidRPr="00A53C01">
        <w:rPr>
          <w:b/>
          <w:lang w:val="es-CR"/>
        </w:rPr>
        <w:t>Puntuación inicial (antes):</w:t>
      </w:r>
      <w:r w:rsidRPr="00A53C01">
        <w:rPr>
          <w:lang w:val="es-CR"/>
        </w:rPr>
        <w:t xml:space="preserve"> A cada elemento evaluado se le asigna un puntaje inicial que representa el nivel del impacto antes de implementar cualquier medida correctiva. La escala utilizada va del 1 al 5, en donde:</w:t>
      </w:r>
    </w:p>
    <w:p w14:paraId="5E7A8ACC" w14:textId="77777777" w:rsidR="00F212FE" w:rsidRPr="00A53C01" w:rsidRDefault="00F212FE" w:rsidP="00F212FE">
      <w:pPr>
        <w:pStyle w:val="APA"/>
        <w:numPr>
          <w:ilvl w:val="0"/>
          <w:numId w:val="17"/>
        </w:numPr>
        <w:rPr>
          <w:lang w:val="es-CR"/>
        </w:rPr>
      </w:pPr>
      <w:r w:rsidRPr="00A53C01">
        <w:rPr>
          <w:lang w:val="es-CR"/>
        </w:rPr>
        <w:t>1 indica un impacto altamente negativo o crítico para la sostenibilidad,</w:t>
      </w:r>
    </w:p>
    <w:p w14:paraId="1E2B9ECF" w14:textId="77777777" w:rsidR="00F212FE" w:rsidRPr="00A53C01" w:rsidRDefault="00F212FE" w:rsidP="00F212FE">
      <w:pPr>
        <w:pStyle w:val="APA"/>
        <w:numPr>
          <w:ilvl w:val="0"/>
          <w:numId w:val="17"/>
        </w:numPr>
        <w:rPr>
          <w:lang w:val="es-CR"/>
        </w:rPr>
      </w:pPr>
      <w:r w:rsidRPr="00A53C01">
        <w:rPr>
          <w:lang w:val="es-CR"/>
        </w:rPr>
        <w:t>2 representa un impacto negativo moderado,</w:t>
      </w:r>
    </w:p>
    <w:p w14:paraId="0A7837DB" w14:textId="77777777" w:rsidR="00F212FE" w:rsidRPr="00A53C01" w:rsidRDefault="00F212FE" w:rsidP="00F212FE">
      <w:pPr>
        <w:pStyle w:val="APA"/>
        <w:numPr>
          <w:ilvl w:val="0"/>
          <w:numId w:val="17"/>
        </w:numPr>
        <w:rPr>
          <w:lang w:val="es-CR"/>
        </w:rPr>
      </w:pPr>
      <w:r w:rsidRPr="00A53C01">
        <w:rPr>
          <w:lang w:val="es-CR"/>
        </w:rPr>
        <w:t>refleja un impacto neutral o sin intervención significativa,</w:t>
      </w:r>
    </w:p>
    <w:p w14:paraId="41037911" w14:textId="77777777" w:rsidR="00F212FE" w:rsidRPr="00A53C01" w:rsidRDefault="00F212FE" w:rsidP="00F212FE">
      <w:pPr>
        <w:pStyle w:val="APA"/>
        <w:numPr>
          <w:ilvl w:val="0"/>
          <w:numId w:val="17"/>
        </w:numPr>
        <w:rPr>
          <w:lang w:val="es-CR"/>
        </w:rPr>
      </w:pPr>
      <w:r w:rsidRPr="00A53C01">
        <w:rPr>
          <w:lang w:val="es-CR"/>
        </w:rPr>
        <w:t>corresponde a un impacto positivo,</w:t>
      </w:r>
    </w:p>
    <w:p w14:paraId="3D4856F8" w14:textId="77777777" w:rsidR="00F212FE" w:rsidRPr="00A53C01" w:rsidRDefault="00F212FE" w:rsidP="00F212FE">
      <w:pPr>
        <w:pStyle w:val="APA"/>
        <w:numPr>
          <w:ilvl w:val="0"/>
          <w:numId w:val="17"/>
        </w:numPr>
        <w:rPr>
          <w:lang w:val="es-CR"/>
        </w:rPr>
      </w:pPr>
      <w:r w:rsidRPr="00A53C01">
        <w:rPr>
          <w:lang w:val="es-CR"/>
        </w:rPr>
        <w:t>señala un impacto muy positivo o altamente beneficioso.</w:t>
      </w:r>
    </w:p>
    <w:p w14:paraId="1B3D411C" w14:textId="77777777" w:rsidR="00F212FE" w:rsidRPr="00A53C01" w:rsidRDefault="00F212FE" w:rsidP="00F212FE">
      <w:pPr>
        <w:pStyle w:val="APA"/>
        <w:rPr>
          <w:lang w:val="es-CR"/>
        </w:rPr>
      </w:pPr>
      <w:r w:rsidRPr="00A53C01">
        <w:rPr>
          <w:lang w:val="es-CR"/>
        </w:rPr>
        <w:t>Este puntaje inicial permite establecer una línea base cuantitativa desde la cual se pueden valorar las mejoras posteriores que resulten de las acciones propuestas para mitigar los efectos negativos o potenciar los beneficios.</w:t>
      </w:r>
    </w:p>
    <w:p w14:paraId="17F7A0EC" w14:textId="77777777" w:rsidR="00F212FE" w:rsidRPr="00D23DCD" w:rsidRDefault="00F212FE" w:rsidP="00F212FE">
      <w:pPr>
        <w:pStyle w:val="Figura1"/>
        <w:rPr>
          <w:lang w:val="es-CR"/>
        </w:rPr>
      </w:pPr>
    </w:p>
    <w:p w14:paraId="11E537BB" w14:textId="77777777" w:rsidR="00F212FE" w:rsidRPr="00D23DCD" w:rsidRDefault="00F212FE" w:rsidP="00F212FE">
      <w:pPr>
        <w:pStyle w:val="APA"/>
        <w:rPr>
          <w:lang w:val="es-CR"/>
        </w:rPr>
      </w:pPr>
      <w:r w:rsidRPr="00D23DCD">
        <w:rPr>
          <w:b/>
          <w:lang w:val="es-CR"/>
        </w:rPr>
        <w:lastRenderedPageBreak/>
        <w:t>Definición de la respuesta propuesta:</w:t>
      </w:r>
      <w:r w:rsidRPr="00D23DCD">
        <w:rPr>
          <w:lang w:val="es-CR"/>
        </w:rPr>
        <w:t xml:space="preserve"> Se plantea una acción específica para mitigar un impacto negativo o potenciar uno positivo. Puede incluir el rediseño de procesos, la incorporación de prácticas sostenibles, el uso de tecnología más eficiente o actividades de compensación.</w:t>
      </w:r>
    </w:p>
    <w:p w14:paraId="2197CB0A" w14:textId="77777777" w:rsidR="00F212FE" w:rsidRPr="00D23DCD" w:rsidRDefault="00F212FE" w:rsidP="00F212FE">
      <w:pPr>
        <w:pStyle w:val="APA"/>
        <w:rPr>
          <w:lang w:val="es-CR"/>
        </w:rPr>
      </w:pPr>
      <w:r w:rsidRPr="00D23DCD">
        <w:rPr>
          <w:b/>
          <w:lang w:val="es-CR"/>
        </w:rPr>
        <w:t>Puntuación después de la intervención:</w:t>
      </w:r>
      <w:r w:rsidRPr="00D23DCD">
        <w:rPr>
          <w:lang w:val="es-CR"/>
        </w:rPr>
        <w:t xml:space="preserve"> Se vuelve a puntuar el impacto, tomando en cuenta la mejora prevista por la respuesta aplicada.</w:t>
      </w:r>
    </w:p>
    <w:p w14:paraId="57550AC2" w14:textId="77777777" w:rsidR="00F212FE" w:rsidRPr="00D23DCD" w:rsidRDefault="00F212FE" w:rsidP="00F212FE">
      <w:pPr>
        <w:pStyle w:val="APA"/>
        <w:rPr>
          <w:lang w:val="es-CR"/>
        </w:rPr>
      </w:pPr>
      <w:r w:rsidRPr="00D23DCD">
        <w:rPr>
          <w:b/>
          <w:lang w:val="es-CR"/>
        </w:rPr>
        <w:t>Análisis del cambio:</w:t>
      </w:r>
      <w:r w:rsidRPr="00D23DCD">
        <w:rPr>
          <w:lang w:val="es-CR"/>
        </w:rPr>
        <w:t xml:space="preserve"> Se compara la puntuación antes y después para evaluar el nivel de mejora logrado.</w:t>
      </w:r>
    </w:p>
    <w:p w14:paraId="748AA34B" w14:textId="77777777" w:rsidR="00F212FE" w:rsidRPr="00D23DCD" w:rsidRDefault="00F212FE" w:rsidP="00F212FE">
      <w:pPr>
        <w:pStyle w:val="APA"/>
        <w:rPr>
          <w:lang w:val="es-CR"/>
        </w:rPr>
      </w:pPr>
      <w:r w:rsidRPr="00D23DCD">
        <w:rPr>
          <w:b/>
          <w:lang w:val="es-CR"/>
        </w:rPr>
        <w:t>Resultado final:</w:t>
      </w:r>
      <w:r w:rsidRPr="00D23DCD">
        <w:rPr>
          <w:lang w:val="es-CR"/>
        </w:rPr>
        <w:t xml:space="preserve"> Se resume brevemente si la acción fue suficiente, qué efecto concreto se espera y si el impacto sigue presente, se redujo o se eliminó.</w:t>
      </w:r>
    </w:p>
    <w:p w14:paraId="05A766E4" w14:textId="77777777" w:rsidR="00F212FE" w:rsidRPr="00D23DCD" w:rsidRDefault="00F212FE" w:rsidP="00F212FE">
      <w:pPr>
        <w:pStyle w:val="APA"/>
        <w:rPr>
          <w:lang w:val="es-CR"/>
        </w:rPr>
      </w:pPr>
      <w:r w:rsidRPr="00D23DCD">
        <w:rPr>
          <w:lang w:val="es-CR"/>
        </w:rPr>
        <w:t>Este sistema es muy útil porque proporciona una visión cuantitativa del impacto de un proyecto, lo que facilita la toma de decisiones, el monitoreo de resultados y la comunicación con las partes interesadas. Además, permite dar seguimiento a compromisos asumidos en el área de responsabilidad social y sostenibilidad.</w:t>
      </w:r>
    </w:p>
    <w:p w14:paraId="0222E903" w14:textId="77777777" w:rsidR="00F212FE" w:rsidRPr="00D23DCD" w:rsidRDefault="00F212FE" w:rsidP="00F212FE">
      <w:pPr>
        <w:pStyle w:val="APA"/>
        <w:rPr>
          <w:lang w:val="es-CR"/>
        </w:rPr>
      </w:pPr>
      <w:r w:rsidRPr="00D23DCD">
        <w:rPr>
          <w:lang w:val="es-CR"/>
        </w:rPr>
        <w:t>El análisis con el Estándar P5 es relevante por varias razones. Primero, promueve una cultura organizacional basada en la responsabilidad, la ética y la transparencia. Al obligar a examinar los efectos del proyecto en múltiples dimensiones, se evita una visión limitada centrada únicamente en los beneficios económicos.</w:t>
      </w:r>
    </w:p>
    <w:p w14:paraId="1051C3B4" w14:textId="77777777" w:rsidR="00F212FE" w:rsidRPr="00D23DCD" w:rsidRDefault="00F212FE" w:rsidP="00F212FE">
      <w:pPr>
        <w:pStyle w:val="APA"/>
        <w:rPr>
          <w:lang w:val="es-CR"/>
        </w:rPr>
      </w:pPr>
      <w:r w:rsidRPr="00D23DCD">
        <w:rPr>
          <w:lang w:val="es-CR"/>
        </w:rPr>
        <w:t>En segundo lugar, es una herramienta que facilita el cumplimiento de estándares internacionales, como los ODS y principios de gobernanza ambiental, social y corporativa (ESG). También mejora la rendición de cuentas y la preparación de informes de sostenibilidad.</w:t>
      </w:r>
    </w:p>
    <w:p w14:paraId="2BCD78EE" w14:textId="77777777" w:rsidR="00F212FE" w:rsidRPr="00D23DCD" w:rsidRDefault="00F212FE" w:rsidP="00F212FE">
      <w:pPr>
        <w:pStyle w:val="APA"/>
        <w:rPr>
          <w:lang w:val="es-CR"/>
        </w:rPr>
      </w:pPr>
      <w:r w:rsidRPr="00D23DCD">
        <w:rPr>
          <w:lang w:val="es-CR"/>
        </w:rPr>
        <w:t xml:space="preserve">Por otro lado, contribuye a elevar la calidad de los proyectos, anticipando riesgos y proponiendo mejoras desde la fase de planificación. Esto ayuda a prevenir retrasos, sanciones, conflictos con comunidades o daños ambientales irreversibles. Finalmente, es una oportunidad </w:t>
      </w:r>
      <w:r w:rsidRPr="00D23DCD">
        <w:rPr>
          <w:lang w:val="es-CR"/>
        </w:rPr>
        <w:lastRenderedPageBreak/>
        <w:t>para agregar valor y diferenciar el proyecto en el mercado, mostrando un compromiso real con el desarrollo sostenible y regenerativo.</w:t>
      </w:r>
    </w:p>
    <w:p w14:paraId="04A51735" w14:textId="77777777" w:rsidR="00F212FE" w:rsidRPr="00D23DCD" w:rsidRDefault="00F212FE" w:rsidP="00F212FE">
      <w:pPr>
        <w:pStyle w:val="APA"/>
        <w:rPr>
          <w:lang w:val="es-CR"/>
        </w:rPr>
      </w:pPr>
      <w:r w:rsidRPr="00D23DCD">
        <w:rPr>
          <w:lang w:val="es-CR"/>
        </w:rPr>
        <w:t>Este análisis no solo mejora la sostenibilidad del proyecto actual, sino que también puede influir positivamente en futuros proyectos, creando un precedente de buenas prácticas dentro de la organización.</w:t>
      </w:r>
    </w:p>
    <w:p w14:paraId="4C781070" w14:textId="77777777" w:rsidR="00F212FE" w:rsidRDefault="00F212FE" w:rsidP="00F212FE">
      <w:pPr>
        <w:spacing w:line="240" w:lineRule="auto"/>
        <w:ind w:firstLine="0"/>
        <w:rPr>
          <w:rFonts w:ascii="Calibri" w:eastAsia="Times New Roman" w:hAnsi="Calibri" w:cs="Calibri"/>
          <w:color w:val="000000"/>
          <w:sz w:val="24"/>
          <w:lang w:val="es-CR" w:eastAsia="es-CR"/>
        </w:rPr>
        <w:sectPr w:rsidR="00F212FE" w:rsidSect="00F212FE">
          <w:headerReference w:type="default" r:id="rId22"/>
          <w:footerReference w:type="even" r:id="rId23"/>
          <w:footerReference w:type="default" r:id="rId24"/>
          <w:pgSz w:w="12242" w:h="15842"/>
          <w:pgMar w:top="1440" w:right="1440" w:bottom="1440" w:left="1440" w:header="709" w:footer="709" w:gutter="0"/>
          <w:cols w:space="720"/>
        </w:sectPr>
      </w:pPr>
    </w:p>
    <w:p w14:paraId="351B7DC4" w14:textId="77777777" w:rsidR="00F212FE" w:rsidRPr="00EC2CBD" w:rsidRDefault="00F212FE" w:rsidP="00F212FE">
      <w:pPr>
        <w:pBdr>
          <w:top w:val="nil"/>
          <w:left w:val="nil"/>
          <w:bottom w:val="nil"/>
          <w:right w:val="nil"/>
          <w:between w:val="nil"/>
        </w:pBdr>
        <w:spacing w:after="200"/>
        <w:ind w:firstLine="0"/>
        <w:rPr>
          <w:color w:val="000000"/>
        </w:rPr>
      </w:pPr>
      <w:bookmarkStart w:id="124" w:name="_Toc209378694"/>
      <w:bookmarkStart w:id="125" w:name="_Toc210425797"/>
      <w:r w:rsidRPr="00EC2CBD">
        <w:rPr>
          <w:b/>
          <w:color w:val="000000"/>
        </w:rPr>
        <w:lastRenderedPageBreak/>
        <w:t xml:space="preserve">Tabla </w:t>
      </w:r>
      <w:r w:rsidRPr="00EC2CBD">
        <w:rPr>
          <w:b/>
          <w:color w:val="000000"/>
        </w:rPr>
        <w:fldChar w:fldCharType="begin"/>
      </w:r>
      <w:r w:rsidRPr="00EC2CBD">
        <w:rPr>
          <w:b/>
          <w:color w:val="000000"/>
        </w:rPr>
        <w:instrText xml:space="preserve"> SEQ Tabla \* ARABIC </w:instrText>
      </w:r>
      <w:r w:rsidRPr="00EC2CBD">
        <w:rPr>
          <w:b/>
          <w:color w:val="000000"/>
        </w:rPr>
        <w:fldChar w:fldCharType="separate"/>
      </w:r>
      <w:r w:rsidRPr="00EC2CBD">
        <w:rPr>
          <w:b/>
          <w:color w:val="000000"/>
        </w:rPr>
        <w:t>10</w:t>
      </w:r>
      <w:bookmarkEnd w:id="124"/>
      <w:bookmarkEnd w:id="125"/>
      <w:r w:rsidRPr="00EC2CBD">
        <w:rPr>
          <w:b/>
          <w:color w:val="000000"/>
        </w:rPr>
        <w:fldChar w:fldCharType="end"/>
      </w:r>
    </w:p>
    <w:p w14:paraId="7AB4A350" w14:textId="77777777" w:rsidR="00F212FE" w:rsidRPr="00EC2CBD" w:rsidRDefault="00F212FE" w:rsidP="00F212FE">
      <w:pPr>
        <w:pStyle w:val="Ttulo5"/>
        <w:numPr>
          <w:ilvl w:val="0"/>
          <w:numId w:val="0"/>
        </w:numPr>
        <w:rPr>
          <w:i/>
        </w:rPr>
      </w:pPr>
      <w:r w:rsidRPr="00EC2CBD">
        <w:rPr>
          <w:b w:val="0"/>
          <w:i/>
        </w:rPr>
        <w:t>Análisis de Impacto</w:t>
      </w:r>
    </w:p>
    <w:tbl>
      <w:tblPr>
        <w:tblpPr w:leftFromText="141" w:rightFromText="141" w:vertAnchor="page" w:horzAnchor="margin" w:tblpY="2981"/>
        <w:tblW w:w="21924" w:type="dxa"/>
        <w:tblLayout w:type="fixed"/>
        <w:tblCellMar>
          <w:left w:w="70" w:type="dxa"/>
          <w:right w:w="70" w:type="dxa"/>
        </w:tblCellMar>
        <w:tblLook w:val="04A0" w:firstRow="1" w:lastRow="0" w:firstColumn="1" w:lastColumn="0" w:noHBand="0" w:noVBand="1"/>
      </w:tblPr>
      <w:tblGrid>
        <w:gridCol w:w="2076"/>
        <w:gridCol w:w="2035"/>
        <w:gridCol w:w="1701"/>
        <w:gridCol w:w="860"/>
        <w:gridCol w:w="2897"/>
        <w:gridCol w:w="2506"/>
        <w:gridCol w:w="1276"/>
        <w:gridCol w:w="2977"/>
        <w:gridCol w:w="966"/>
        <w:gridCol w:w="992"/>
        <w:gridCol w:w="3520"/>
        <w:gridCol w:w="118"/>
      </w:tblGrid>
      <w:tr w:rsidR="00F212FE" w:rsidRPr="00242EB4" w14:paraId="792BEEB9" w14:textId="77777777" w:rsidTr="0055381F">
        <w:trPr>
          <w:trHeight w:val="310"/>
        </w:trPr>
        <w:tc>
          <w:tcPr>
            <w:tcW w:w="21924" w:type="dxa"/>
            <w:gridSpan w:val="12"/>
            <w:tcBorders>
              <w:top w:val="nil"/>
              <w:left w:val="nil"/>
              <w:bottom w:val="single" w:sz="4" w:space="0" w:color="auto"/>
              <w:right w:val="nil"/>
            </w:tcBorders>
            <w:shd w:val="clear" w:color="000000" w:fill="FF6824"/>
            <w:noWrap/>
            <w:vAlign w:val="center"/>
            <w:hideMark/>
          </w:tcPr>
          <w:p w14:paraId="7EEA2F7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Impacto a las Personas</w:t>
            </w:r>
          </w:p>
        </w:tc>
      </w:tr>
      <w:tr w:rsidR="00F212FE" w:rsidRPr="00242EB4" w14:paraId="6884E125" w14:textId="77777777" w:rsidTr="0055381F">
        <w:trPr>
          <w:gridAfter w:val="1"/>
          <w:wAfter w:w="118" w:type="dxa"/>
          <w:trHeight w:val="310"/>
        </w:trPr>
        <w:tc>
          <w:tcPr>
            <w:tcW w:w="2076"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bottom"/>
            <w:hideMark/>
          </w:tcPr>
          <w:p w14:paraId="2572313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Categoría</w:t>
            </w:r>
          </w:p>
        </w:tc>
        <w:tc>
          <w:tcPr>
            <w:tcW w:w="2035" w:type="dxa"/>
            <w:tcBorders>
              <w:top w:val="nil"/>
              <w:left w:val="nil"/>
              <w:bottom w:val="single" w:sz="4" w:space="0" w:color="auto"/>
              <w:right w:val="nil"/>
            </w:tcBorders>
            <w:shd w:val="clear" w:color="000000" w:fill="F4B084"/>
            <w:noWrap/>
            <w:vAlign w:val="center"/>
            <w:hideMark/>
          </w:tcPr>
          <w:p w14:paraId="28D69DC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Prácticas Laborales y Trabajo Decente</w:t>
            </w:r>
          </w:p>
        </w:tc>
        <w:tc>
          <w:tcPr>
            <w:tcW w:w="1701" w:type="dxa"/>
            <w:vMerge w:val="restart"/>
            <w:tcBorders>
              <w:top w:val="nil"/>
              <w:left w:val="single" w:sz="4" w:space="0" w:color="auto"/>
              <w:bottom w:val="single" w:sz="4" w:space="0" w:color="auto"/>
              <w:right w:val="single" w:sz="4" w:space="0" w:color="auto"/>
            </w:tcBorders>
            <w:shd w:val="clear" w:color="000000" w:fill="F4B084"/>
            <w:noWrap/>
            <w:vAlign w:val="center"/>
            <w:hideMark/>
          </w:tcPr>
          <w:p w14:paraId="4C701890"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Lente</w:t>
            </w:r>
          </w:p>
        </w:tc>
        <w:tc>
          <w:tcPr>
            <w:tcW w:w="860" w:type="dxa"/>
            <w:vMerge w:val="restart"/>
            <w:tcBorders>
              <w:top w:val="nil"/>
              <w:left w:val="single" w:sz="4" w:space="0" w:color="auto"/>
              <w:bottom w:val="single" w:sz="4" w:space="0" w:color="auto"/>
              <w:right w:val="single" w:sz="4" w:space="0" w:color="auto"/>
            </w:tcBorders>
            <w:shd w:val="clear" w:color="000000" w:fill="F4B084"/>
            <w:vAlign w:val="center"/>
            <w:hideMark/>
          </w:tcPr>
          <w:p w14:paraId="036B1F69"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¿Calificado?</w:t>
            </w:r>
          </w:p>
        </w:tc>
        <w:tc>
          <w:tcPr>
            <w:tcW w:w="2897" w:type="dxa"/>
            <w:vMerge w:val="restart"/>
            <w:tcBorders>
              <w:top w:val="nil"/>
              <w:left w:val="single" w:sz="4" w:space="0" w:color="auto"/>
              <w:bottom w:val="single" w:sz="4" w:space="0" w:color="auto"/>
              <w:right w:val="single" w:sz="4" w:space="0" w:color="auto"/>
            </w:tcBorders>
            <w:shd w:val="clear" w:color="000000" w:fill="F4B084"/>
            <w:vAlign w:val="center"/>
            <w:hideMark/>
          </w:tcPr>
          <w:p w14:paraId="3FA0C37B"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Descripción (Causa)</w:t>
            </w:r>
          </w:p>
        </w:tc>
        <w:tc>
          <w:tcPr>
            <w:tcW w:w="2506" w:type="dxa"/>
            <w:vMerge w:val="restart"/>
            <w:tcBorders>
              <w:top w:val="nil"/>
              <w:left w:val="single" w:sz="4" w:space="0" w:color="auto"/>
              <w:bottom w:val="single" w:sz="4" w:space="0" w:color="000000"/>
              <w:right w:val="single" w:sz="4" w:space="0" w:color="auto"/>
            </w:tcBorders>
            <w:shd w:val="clear" w:color="000000" w:fill="F4B084"/>
            <w:vAlign w:val="center"/>
            <w:hideMark/>
          </w:tcPr>
          <w:p w14:paraId="15781257"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Impacto Potencial en la Sostenibilidad</w:t>
            </w:r>
          </w:p>
        </w:tc>
        <w:tc>
          <w:tcPr>
            <w:tcW w:w="1276" w:type="dxa"/>
            <w:vMerge w:val="restart"/>
            <w:tcBorders>
              <w:top w:val="nil"/>
              <w:left w:val="single" w:sz="4" w:space="0" w:color="auto"/>
              <w:bottom w:val="single" w:sz="4" w:space="0" w:color="auto"/>
              <w:right w:val="single" w:sz="4" w:space="0" w:color="auto"/>
            </w:tcBorders>
            <w:shd w:val="clear" w:color="000000" w:fill="F4B084"/>
            <w:vAlign w:val="center"/>
            <w:hideMark/>
          </w:tcPr>
          <w:p w14:paraId="3A64401D"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Puntaje Inicial del Impacto (Antes) </w:t>
            </w:r>
          </w:p>
        </w:tc>
        <w:tc>
          <w:tcPr>
            <w:tcW w:w="2977" w:type="dxa"/>
            <w:vMerge w:val="restart"/>
            <w:tcBorders>
              <w:top w:val="nil"/>
              <w:left w:val="single" w:sz="4" w:space="0" w:color="auto"/>
              <w:bottom w:val="single" w:sz="4" w:space="0" w:color="auto"/>
              <w:right w:val="single" w:sz="4" w:space="0" w:color="auto"/>
            </w:tcBorders>
            <w:shd w:val="clear" w:color="000000" w:fill="F4B084"/>
            <w:vAlign w:val="center"/>
            <w:hideMark/>
          </w:tcPr>
          <w:p w14:paraId="32FC6E54"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Respuesta Propuesta</w:t>
            </w:r>
          </w:p>
        </w:tc>
        <w:tc>
          <w:tcPr>
            <w:tcW w:w="966" w:type="dxa"/>
            <w:vMerge w:val="restart"/>
            <w:tcBorders>
              <w:top w:val="nil"/>
              <w:left w:val="single" w:sz="4" w:space="0" w:color="auto"/>
              <w:bottom w:val="single" w:sz="4" w:space="0" w:color="auto"/>
              <w:right w:val="single" w:sz="4" w:space="0" w:color="auto"/>
            </w:tcBorders>
            <w:shd w:val="clear" w:color="000000" w:fill="F4B084"/>
            <w:vAlign w:val="center"/>
            <w:hideMark/>
          </w:tcPr>
          <w:p w14:paraId="19216588"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Nuevo Puntaje del Impacto (Después)</w:t>
            </w:r>
          </w:p>
        </w:tc>
        <w:tc>
          <w:tcPr>
            <w:tcW w:w="992" w:type="dxa"/>
            <w:vMerge w:val="restart"/>
            <w:tcBorders>
              <w:top w:val="nil"/>
              <w:left w:val="single" w:sz="4" w:space="0" w:color="auto"/>
              <w:bottom w:val="single" w:sz="4" w:space="0" w:color="auto"/>
              <w:right w:val="single" w:sz="4" w:space="0" w:color="auto"/>
            </w:tcBorders>
            <w:shd w:val="clear" w:color="000000" w:fill="F4B084"/>
            <w:noWrap/>
            <w:vAlign w:val="center"/>
            <w:hideMark/>
          </w:tcPr>
          <w:p w14:paraId="3140E427"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Cambio</w:t>
            </w:r>
          </w:p>
        </w:tc>
        <w:tc>
          <w:tcPr>
            <w:tcW w:w="3520" w:type="dxa"/>
            <w:vMerge w:val="restart"/>
            <w:tcBorders>
              <w:top w:val="nil"/>
              <w:left w:val="single" w:sz="4" w:space="0" w:color="auto"/>
              <w:bottom w:val="single" w:sz="4" w:space="0" w:color="auto"/>
              <w:right w:val="single" w:sz="4" w:space="0" w:color="auto"/>
            </w:tcBorders>
            <w:shd w:val="clear" w:color="000000" w:fill="F4B084"/>
            <w:vAlign w:val="center"/>
            <w:hideMark/>
          </w:tcPr>
          <w:p w14:paraId="217D8C87"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Resultado</w:t>
            </w:r>
          </w:p>
        </w:tc>
      </w:tr>
      <w:tr w:rsidR="00F212FE" w:rsidRPr="00242EB4" w14:paraId="68920545" w14:textId="77777777" w:rsidTr="0055381F">
        <w:trPr>
          <w:gridAfter w:val="1"/>
          <w:wAfter w:w="118" w:type="dxa"/>
          <w:trHeight w:val="310"/>
        </w:trPr>
        <w:tc>
          <w:tcPr>
            <w:tcW w:w="2076"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bottom"/>
            <w:hideMark/>
          </w:tcPr>
          <w:p w14:paraId="4CBE3AE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bl>
            <w:tblPr>
              <w:tblW w:w="0" w:type="auto"/>
              <w:tblCellSpacing w:w="0" w:type="dxa"/>
              <w:tblLayout w:type="fixed"/>
              <w:tblCellMar>
                <w:left w:w="0" w:type="dxa"/>
                <w:right w:w="0" w:type="dxa"/>
              </w:tblCellMar>
              <w:tblLook w:val="04A0" w:firstRow="1" w:lastRow="0" w:firstColumn="1" w:lastColumn="0" w:noHBand="0" w:noVBand="1"/>
            </w:tblPr>
            <w:tblGrid>
              <w:gridCol w:w="1600"/>
            </w:tblGrid>
            <w:tr w:rsidR="00F212FE" w:rsidRPr="00242EB4" w14:paraId="2AA2B56F" w14:textId="77777777" w:rsidTr="0055381F">
              <w:trPr>
                <w:trHeight w:val="310"/>
                <w:tblCellSpacing w:w="0" w:type="dxa"/>
              </w:trPr>
              <w:tc>
                <w:tcPr>
                  <w:tcW w:w="1600" w:type="dxa"/>
                  <w:tcBorders>
                    <w:top w:val="nil"/>
                    <w:left w:val="single" w:sz="4" w:space="0" w:color="auto"/>
                    <w:bottom w:val="single" w:sz="4" w:space="0" w:color="auto"/>
                    <w:right w:val="single" w:sz="4" w:space="0" w:color="auto"/>
                  </w:tcBorders>
                  <w:shd w:val="clear" w:color="000000" w:fill="F8CBAD"/>
                  <w:noWrap/>
                  <w:vAlign w:val="center"/>
                  <w:hideMark/>
                </w:tcPr>
                <w:p w14:paraId="38E7AB48" w14:textId="77777777" w:rsidR="00F212FE" w:rsidRPr="00242EB4" w:rsidRDefault="00F212FE" w:rsidP="00217E41">
                  <w:pPr>
                    <w:framePr w:hSpace="141" w:wrap="around" w:vAnchor="page" w:hAnchor="margin" w:y="2981"/>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Elemento</w:t>
                  </w:r>
                </w:p>
              </w:tc>
            </w:tr>
          </w:tbl>
          <w:p w14:paraId="3F1739B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tcBorders>
              <w:top w:val="nil"/>
              <w:left w:val="single" w:sz="4" w:space="0" w:color="auto"/>
              <w:bottom w:val="single" w:sz="4" w:space="0" w:color="auto"/>
              <w:right w:val="single" w:sz="4" w:space="0" w:color="auto"/>
            </w:tcBorders>
            <w:shd w:val="clear" w:color="000000" w:fill="F8CBAD"/>
            <w:noWrap/>
            <w:vAlign w:val="center"/>
            <w:hideMark/>
          </w:tcPr>
          <w:p w14:paraId="790E0BE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Definición</w:t>
            </w:r>
          </w:p>
        </w:tc>
        <w:tc>
          <w:tcPr>
            <w:tcW w:w="1701" w:type="dxa"/>
            <w:vMerge/>
            <w:tcBorders>
              <w:top w:val="nil"/>
              <w:left w:val="single" w:sz="4" w:space="0" w:color="auto"/>
              <w:bottom w:val="single" w:sz="4" w:space="0" w:color="auto"/>
              <w:right w:val="single" w:sz="4" w:space="0" w:color="auto"/>
            </w:tcBorders>
            <w:vAlign w:val="center"/>
            <w:hideMark/>
          </w:tcPr>
          <w:p w14:paraId="2AEA8DE2"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860" w:type="dxa"/>
            <w:vMerge/>
            <w:tcBorders>
              <w:top w:val="nil"/>
              <w:left w:val="single" w:sz="4" w:space="0" w:color="auto"/>
              <w:bottom w:val="single" w:sz="4" w:space="0" w:color="auto"/>
              <w:right w:val="single" w:sz="4" w:space="0" w:color="auto"/>
            </w:tcBorders>
            <w:vAlign w:val="center"/>
            <w:hideMark/>
          </w:tcPr>
          <w:p w14:paraId="0351D42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897" w:type="dxa"/>
            <w:vMerge/>
            <w:tcBorders>
              <w:top w:val="nil"/>
              <w:left w:val="single" w:sz="4" w:space="0" w:color="auto"/>
              <w:bottom w:val="single" w:sz="4" w:space="0" w:color="auto"/>
              <w:right w:val="single" w:sz="4" w:space="0" w:color="auto"/>
            </w:tcBorders>
            <w:vAlign w:val="center"/>
            <w:hideMark/>
          </w:tcPr>
          <w:p w14:paraId="754550E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506" w:type="dxa"/>
            <w:vMerge/>
            <w:tcBorders>
              <w:top w:val="nil"/>
              <w:left w:val="single" w:sz="4" w:space="0" w:color="auto"/>
              <w:bottom w:val="single" w:sz="4" w:space="0" w:color="000000"/>
              <w:right w:val="single" w:sz="4" w:space="0" w:color="auto"/>
            </w:tcBorders>
            <w:vAlign w:val="center"/>
            <w:hideMark/>
          </w:tcPr>
          <w:p w14:paraId="7F3CD115"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1276" w:type="dxa"/>
            <w:vMerge/>
            <w:tcBorders>
              <w:top w:val="nil"/>
              <w:left w:val="single" w:sz="4" w:space="0" w:color="auto"/>
              <w:bottom w:val="single" w:sz="4" w:space="0" w:color="auto"/>
              <w:right w:val="single" w:sz="4" w:space="0" w:color="auto"/>
            </w:tcBorders>
            <w:vAlign w:val="center"/>
            <w:hideMark/>
          </w:tcPr>
          <w:p w14:paraId="5B2E0172"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977" w:type="dxa"/>
            <w:vMerge/>
            <w:tcBorders>
              <w:top w:val="nil"/>
              <w:left w:val="single" w:sz="4" w:space="0" w:color="auto"/>
              <w:bottom w:val="single" w:sz="4" w:space="0" w:color="auto"/>
              <w:right w:val="single" w:sz="4" w:space="0" w:color="auto"/>
            </w:tcBorders>
            <w:vAlign w:val="center"/>
            <w:hideMark/>
          </w:tcPr>
          <w:p w14:paraId="0EFA6522"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966" w:type="dxa"/>
            <w:vMerge/>
            <w:tcBorders>
              <w:top w:val="nil"/>
              <w:left w:val="single" w:sz="4" w:space="0" w:color="auto"/>
              <w:bottom w:val="single" w:sz="4" w:space="0" w:color="auto"/>
              <w:right w:val="single" w:sz="4" w:space="0" w:color="auto"/>
            </w:tcBorders>
            <w:vAlign w:val="center"/>
            <w:hideMark/>
          </w:tcPr>
          <w:p w14:paraId="3706805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992" w:type="dxa"/>
            <w:vMerge/>
            <w:tcBorders>
              <w:top w:val="nil"/>
              <w:left w:val="single" w:sz="4" w:space="0" w:color="auto"/>
              <w:bottom w:val="single" w:sz="4" w:space="0" w:color="auto"/>
              <w:right w:val="single" w:sz="4" w:space="0" w:color="auto"/>
            </w:tcBorders>
            <w:vAlign w:val="center"/>
            <w:hideMark/>
          </w:tcPr>
          <w:p w14:paraId="0F76BC9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3520" w:type="dxa"/>
            <w:vMerge/>
            <w:tcBorders>
              <w:top w:val="nil"/>
              <w:left w:val="single" w:sz="4" w:space="0" w:color="auto"/>
              <w:bottom w:val="single" w:sz="4" w:space="0" w:color="auto"/>
              <w:right w:val="single" w:sz="4" w:space="0" w:color="auto"/>
            </w:tcBorders>
            <w:vAlign w:val="center"/>
            <w:hideMark/>
          </w:tcPr>
          <w:p w14:paraId="592E843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r>
      <w:tr w:rsidR="00F212FE" w:rsidRPr="00242EB4" w14:paraId="7EB5A8CC" w14:textId="77777777" w:rsidTr="0055381F">
        <w:trPr>
          <w:gridAfter w:val="1"/>
          <w:wAfter w:w="118" w:type="dxa"/>
          <w:trHeight w:val="4650"/>
        </w:trPr>
        <w:tc>
          <w:tcPr>
            <w:tcW w:w="2076" w:type="dxa"/>
            <w:vMerge w:val="restart"/>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44E10E1E" w14:textId="77777777" w:rsidR="00F212FE" w:rsidRPr="00242EB4" w:rsidRDefault="00F212FE" w:rsidP="0055381F">
            <w:pPr>
              <w:spacing w:line="240" w:lineRule="auto"/>
              <w:ind w:firstLine="0"/>
              <w:rPr>
                <w:rFonts w:ascii="Calibri" w:eastAsia="Times New Roman" w:hAnsi="Calibri" w:cs="Calibri"/>
                <w:color w:val="E99226"/>
                <w:sz w:val="24"/>
                <w:lang w:val="es-CR" w:eastAsia="es-CR"/>
              </w:rPr>
            </w:pPr>
            <w:r w:rsidRPr="00242EB4">
              <w:rPr>
                <w:rFonts w:ascii="Calibri" w:eastAsia="Times New Roman" w:hAnsi="Calibri" w:cs="Calibri"/>
                <w:noProof/>
                <w:color w:val="000000"/>
                <w:sz w:val="24"/>
                <w:lang w:val="es-CR" w:eastAsia="es-CR"/>
              </w:rPr>
              <w:drawing>
                <wp:anchor distT="0" distB="0" distL="114300" distR="114300" simplePos="0" relativeHeight="251659264" behindDoc="0" locked="0" layoutInCell="1" allowOverlap="1" wp14:anchorId="5D95B471" wp14:editId="53382878">
                  <wp:simplePos x="0" y="0"/>
                  <wp:positionH relativeFrom="column">
                    <wp:posOffset>114300</wp:posOffset>
                  </wp:positionH>
                  <wp:positionV relativeFrom="paragraph">
                    <wp:posOffset>-401955</wp:posOffset>
                  </wp:positionV>
                  <wp:extent cx="946150" cy="990600"/>
                  <wp:effectExtent l="0" t="0" r="6350" b="0"/>
                  <wp:wrapNone/>
                  <wp:docPr id="3" name="Imagen 24">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000000-0008-0000-0300-000003000000}"/>
                              </a:ext>
                            </a:extLst>
                          </pic:cNvPr>
                          <pic:cNvPicPr>
                            <a:picLocks noChangeAspect="1"/>
                          </pic:cNvPicPr>
                        </pic:nvPicPr>
                        <pic:blipFill>
                          <a:blip r:embed="rId25"/>
                          <a:stretch>
                            <a:fillRect/>
                          </a:stretch>
                        </pic:blipFill>
                        <pic:spPr>
                          <a:xfrm>
                            <a:off x="0" y="0"/>
                            <a:ext cx="946150" cy="990600"/>
                          </a:xfrm>
                          <a:prstGeom prst="rect">
                            <a:avLst/>
                          </a:prstGeom>
                        </pic:spPr>
                      </pic:pic>
                    </a:graphicData>
                  </a:graphic>
                  <wp14:sizeRelH relativeFrom="page">
                    <wp14:pctWidth>0</wp14:pctWidth>
                  </wp14:sizeRelH>
                  <wp14:sizeRelV relativeFrom="page">
                    <wp14:pctHeight>0</wp14:pctHeight>
                  </wp14:sizeRelV>
                </wp:anchor>
              </w:drawing>
            </w:r>
          </w:p>
        </w:tc>
        <w:tc>
          <w:tcPr>
            <w:tcW w:w="2035" w:type="dxa"/>
            <w:vMerge w:val="restart"/>
            <w:tcBorders>
              <w:top w:val="nil"/>
              <w:left w:val="single" w:sz="4" w:space="0" w:color="auto"/>
              <w:bottom w:val="single" w:sz="4" w:space="0" w:color="auto"/>
              <w:right w:val="single" w:sz="4" w:space="0" w:color="auto"/>
            </w:tcBorders>
            <w:shd w:val="clear" w:color="000000" w:fill="F2F2F2"/>
            <w:vAlign w:val="center"/>
            <w:hideMark/>
          </w:tcPr>
          <w:p w14:paraId="08E77DE0"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r w:rsidRPr="00242EB4">
              <w:rPr>
                <w:rFonts w:ascii="Calibri" w:eastAsia="Times New Roman" w:hAnsi="Calibri" w:cs="Calibri"/>
                <w:color w:val="000000"/>
                <w:sz w:val="18"/>
                <w:szCs w:val="18"/>
                <w:lang w:val="es-CR" w:eastAsia="es-CR"/>
              </w:rPr>
              <w:t>Empleo y dotación de personal es el proceso de obtener el personal necesario para llevar a cabo el proyecto. Incluye identificar las habilidades requeridas para completar con éxito el proyecto, reclutar personas potenciales (interna o externamente), gestionar su tiempo y desempeño, capacitarlos cuando sea necesario y compensarlos en consecuencia.</w:t>
            </w:r>
          </w:p>
        </w:tc>
        <w:tc>
          <w:tcPr>
            <w:tcW w:w="1701" w:type="dxa"/>
            <w:tcBorders>
              <w:top w:val="nil"/>
              <w:left w:val="nil"/>
              <w:bottom w:val="single" w:sz="4" w:space="0" w:color="auto"/>
              <w:right w:val="single" w:sz="4" w:space="0" w:color="auto"/>
            </w:tcBorders>
            <w:shd w:val="clear" w:color="000000" w:fill="F2F2F2"/>
            <w:noWrap/>
            <w:vAlign w:val="center"/>
            <w:hideMark/>
          </w:tcPr>
          <w:p w14:paraId="33D4C03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Vida Útil</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3DE9630"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0D34564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La carga laboral del equipo suele ser excesiva debido a la falta de una planificación estructurada de personal. Las asignaciones se realizan de forma reactiva, sin estimar la carga de trabajo por fase ni considerar las capacidades disponibles. Esto conlleva a la saturación de ciertos roles técnicos durante fases críticas del proyecto y reduce la posibilidad de mantener un equipo estable y sostenible a largo plazo.</w:t>
            </w:r>
          </w:p>
        </w:tc>
        <w:tc>
          <w:tcPr>
            <w:tcW w:w="2506" w:type="dxa"/>
            <w:tcBorders>
              <w:top w:val="nil"/>
              <w:left w:val="nil"/>
              <w:bottom w:val="single" w:sz="4" w:space="0" w:color="auto"/>
              <w:right w:val="single" w:sz="4" w:space="0" w:color="auto"/>
            </w:tcBorders>
            <w:hideMark/>
          </w:tcPr>
          <w:p w14:paraId="2BDDB28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875A3F">
              <w:rPr>
                <w:rFonts w:ascii="Calibri" w:eastAsia="Times New Roman" w:hAnsi="Calibri" w:cs="Calibri"/>
                <w:color w:val="000000"/>
                <w:sz w:val="24"/>
                <w:lang w:eastAsia="es-CR"/>
              </w:rPr>
              <w:t>La sobrecarga continua genera agotamiento físico y mental, baja motivación y rotación del personal clave. Esto impide la retención del conocimiento técnico dentro de la organización, limita el aprendizaje organizacional y afecta la sostenibilidad del equipo humano en el tiempo.</w:t>
            </w:r>
          </w:p>
        </w:tc>
        <w:tc>
          <w:tcPr>
            <w:tcW w:w="1276" w:type="dxa"/>
            <w:tcBorders>
              <w:top w:val="nil"/>
              <w:left w:val="nil"/>
              <w:bottom w:val="single" w:sz="4" w:space="0" w:color="auto"/>
              <w:right w:val="single" w:sz="4" w:space="0" w:color="auto"/>
            </w:tcBorders>
            <w:noWrap/>
            <w:vAlign w:val="center"/>
            <w:hideMark/>
          </w:tcPr>
          <w:p w14:paraId="7317111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56F707E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Estandarizar el proceso de planificación de recursos humanos incorporando una herramienta que permita proyectar carga laboral por fase del proyecto, analizar capacidades internas disponibles y balancear la distribución de tareas desde el inicio. Incluir esta planificación dentro del cronograma general del proyecto y revisarla periódicamente.</w:t>
            </w:r>
          </w:p>
        </w:tc>
        <w:tc>
          <w:tcPr>
            <w:tcW w:w="966" w:type="dxa"/>
            <w:tcBorders>
              <w:top w:val="nil"/>
              <w:left w:val="nil"/>
              <w:bottom w:val="single" w:sz="4" w:space="0" w:color="auto"/>
              <w:right w:val="single" w:sz="4" w:space="0" w:color="auto"/>
            </w:tcBorders>
            <w:noWrap/>
            <w:vAlign w:val="center"/>
            <w:hideMark/>
          </w:tcPr>
          <w:p w14:paraId="5DF7087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690C1451"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0F7460E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Se diseñó e implementó una plantilla de planificación de recursos humanos que ya se aplica como piloto en tres proyectos Design &amp; Build. La herramienta permitió equilibrar la asignación de personal, reducir horas extra y mejorar la satisfacción del equipo según encuestas internas.</w:t>
            </w:r>
          </w:p>
        </w:tc>
      </w:tr>
      <w:tr w:rsidR="00F212FE" w:rsidRPr="00242EB4" w14:paraId="0C7C8215" w14:textId="77777777" w:rsidTr="0055381F">
        <w:trPr>
          <w:gridAfter w:val="1"/>
          <w:wAfter w:w="118" w:type="dxa"/>
          <w:trHeight w:val="3720"/>
        </w:trPr>
        <w:tc>
          <w:tcPr>
            <w:tcW w:w="2076" w:type="dxa"/>
            <w:vMerge/>
            <w:tcBorders>
              <w:top w:val="nil"/>
              <w:left w:val="single" w:sz="4" w:space="0" w:color="auto"/>
              <w:bottom w:val="single" w:sz="4" w:space="0" w:color="auto"/>
              <w:right w:val="single" w:sz="4" w:space="0" w:color="auto"/>
            </w:tcBorders>
            <w:shd w:val="clear" w:color="auto" w:fill="ED7D31" w:themeFill="accent2"/>
            <w:vAlign w:val="center"/>
            <w:hideMark/>
          </w:tcPr>
          <w:p w14:paraId="1A198D20" w14:textId="77777777" w:rsidR="00F212FE" w:rsidRPr="00242EB4" w:rsidRDefault="00F212FE" w:rsidP="0055381F">
            <w:pPr>
              <w:spacing w:line="240" w:lineRule="auto"/>
              <w:ind w:firstLine="0"/>
              <w:rPr>
                <w:rFonts w:ascii="Calibri" w:eastAsia="Times New Roman" w:hAnsi="Calibri" w:cs="Calibri"/>
                <w:color w:val="E99226"/>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6147D792"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1C25D8C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Mantenimiento</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2FB055D"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2309B94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No existe un sistema estructurado para el seguimiento continuo de las capacidades del personal ni para la actualización de competencias técnicas. La falta de planificación integrada de la formación y evaluación del equipo dificulta el mantenimiento del rendimiento profesional a lo largo del tiempo.</w:t>
            </w:r>
          </w:p>
        </w:tc>
        <w:tc>
          <w:tcPr>
            <w:tcW w:w="2506" w:type="dxa"/>
            <w:tcBorders>
              <w:top w:val="nil"/>
              <w:left w:val="nil"/>
              <w:bottom w:val="single" w:sz="4" w:space="0" w:color="auto"/>
              <w:right w:val="single" w:sz="4" w:space="0" w:color="auto"/>
            </w:tcBorders>
            <w:hideMark/>
          </w:tcPr>
          <w:p w14:paraId="471568E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875A3F">
              <w:rPr>
                <w:rFonts w:ascii="Calibri" w:eastAsia="Times New Roman" w:hAnsi="Calibri" w:cs="Calibri"/>
                <w:color w:val="000000"/>
                <w:sz w:val="24"/>
                <w:lang w:eastAsia="es-CR"/>
              </w:rPr>
              <w:t>Esta carencia reduce la capacidad de adaptación a nuevas tecnologías, estándares constructivos y exigencias de los clientes. También incrementa el riesgo de errores en obra, disminuye la calidad de las entregas y afecta la reputación de la empresa a largo plazo.</w:t>
            </w:r>
          </w:p>
        </w:tc>
        <w:tc>
          <w:tcPr>
            <w:tcW w:w="1276" w:type="dxa"/>
            <w:tcBorders>
              <w:top w:val="nil"/>
              <w:left w:val="nil"/>
              <w:bottom w:val="single" w:sz="4" w:space="0" w:color="auto"/>
              <w:right w:val="single" w:sz="4" w:space="0" w:color="auto"/>
            </w:tcBorders>
            <w:noWrap/>
            <w:vAlign w:val="center"/>
            <w:hideMark/>
          </w:tcPr>
          <w:p w14:paraId="1B6641C8"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2977" w:type="dxa"/>
            <w:tcBorders>
              <w:top w:val="nil"/>
              <w:left w:val="nil"/>
              <w:bottom w:val="single" w:sz="4" w:space="0" w:color="auto"/>
              <w:right w:val="single" w:sz="4" w:space="0" w:color="auto"/>
            </w:tcBorders>
            <w:hideMark/>
          </w:tcPr>
          <w:p w14:paraId="3CF663A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Incorporar dentro del proceso de planificación de proyectos un plan de mantenimiento de competencias, que incluya evaluación semestral de desempeño, identificación de brechas y oferta de capacitación técnica y en sostenibilidad. Integrar este plan al cronograma del proyecto y al sistema de control de recursos humanos.</w:t>
            </w:r>
          </w:p>
        </w:tc>
        <w:tc>
          <w:tcPr>
            <w:tcW w:w="966" w:type="dxa"/>
            <w:tcBorders>
              <w:top w:val="nil"/>
              <w:left w:val="nil"/>
              <w:bottom w:val="single" w:sz="4" w:space="0" w:color="auto"/>
              <w:right w:val="single" w:sz="4" w:space="0" w:color="auto"/>
            </w:tcBorders>
            <w:noWrap/>
            <w:vAlign w:val="center"/>
            <w:hideMark/>
          </w:tcPr>
          <w:p w14:paraId="535A013E"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3EEE7FDD"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5EAC210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Se implementó un sistema de evaluación de desempeño con seguimiento semestral, complementado con un programa de formación en coordinación técnica y gestión de sostenibilidad. El 60% del equipo técnico ya completó al menos un módulo de capacitación en los últimos 6 meses.</w:t>
            </w:r>
          </w:p>
        </w:tc>
      </w:tr>
      <w:tr w:rsidR="00F212FE" w:rsidRPr="00242EB4" w14:paraId="592FC64C" w14:textId="77777777" w:rsidTr="0055381F">
        <w:trPr>
          <w:gridAfter w:val="1"/>
          <w:wAfter w:w="118" w:type="dxa"/>
          <w:trHeight w:val="2790"/>
        </w:trPr>
        <w:tc>
          <w:tcPr>
            <w:tcW w:w="2076" w:type="dxa"/>
            <w:vMerge/>
            <w:tcBorders>
              <w:top w:val="nil"/>
              <w:left w:val="single" w:sz="4" w:space="0" w:color="auto"/>
              <w:bottom w:val="single" w:sz="4" w:space="0" w:color="auto"/>
              <w:right w:val="single" w:sz="4" w:space="0" w:color="auto"/>
            </w:tcBorders>
            <w:shd w:val="clear" w:color="auto" w:fill="ED7D31" w:themeFill="accent2"/>
            <w:vAlign w:val="center"/>
            <w:hideMark/>
          </w:tcPr>
          <w:p w14:paraId="1F97265D" w14:textId="77777777" w:rsidR="00F212FE" w:rsidRPr="00242EB4" w:rsidRDefault="00F212FE" w:rsidP="0055381F">
            <w:pPr>
              <w:spacing w:line="240" w:lineRule="auto"/>
              <w:ind w:firstLine="0"/>
              <w:rPr>
                <w:rFonts w:ascii="Calibri" w:eastAsia="Times New Roman" w:hAnsi="Calibri" w:cs="Calibri"/>
                <w:color w:val="E99226"/>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04A7833F"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2962C9F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Eficacia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DEB373D"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53B2FA92"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Actualmente, la asignación de personal en los proyectos Design &amp; Build se hace principalmente por disponibilidad, sin analizar si las personas tienen las habilidades específicas que se necesitan para lograr los objetivos del proyecto.</w:t>
            </w:r>
          </w:p>
        </w:tc>
        <w:tc>
          <w:tcPr>
            <w:tcW w:w="2506" w:type="dxa"/>
            <w:tcBorders>
              <w:top w:val="nil"/>
              <w:left w:val="nil"/>
              <w:bottom w:val="single" w:sz="4" w:space="0" w:color="auto"/>
              <w:right w:val="single" w:sz="4" w:space="0" w:color="auto"/>
            </w:tcBorders>
            <w:hideMark/>
          </w:tcPr>
          <w:p w14:paraId="1443A3F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875A3F">
              <w:rPr>
                <w:rFonts w:ascii="Calibri" w:eastAsia="Times New Roman" w:hAnsi="Calibri" w:cs="Calibri"/>
                <w:color w:val="000000"/>
                <w:sz w:val="24"/>
                <w:lang w:eastAsia="es-CR"/>
              </w:rPr>
              <w:t>Esto hace que el equipo no siempre tenga las capacidades necesarias, lo que puede afectar la calidad del trabajo, retrasar entregas y limitar el cumplimiento de los objetivos del proyecto, especialmente los relacionados con sostenibilidad.</w:t>
            </w:r>
          </w:p>
        </w:tc>
        <w:tc>
          <w:tcPr>
            <w:tcW w:w="1276" w:type="dxa"/>
            <w:tcBorders>
              <w:top w:val="nil"/>
              <w:left w:val="nil"/>
              <w:bottom w:val="single" w:sz="4" w:space="0" w:color="auto"/>
              <w:right w:val="single" w:sz="4" w:space="0" w:color="auto"/>
            </w:tcBorders>
            <w:noWrap/>
            <w:vAlign w:val="center"/>
            <w:hideMark/>
          </w:tcPr>
          <w:p w14:paraId="01F5BD9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4B76ACD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Esto hace que el equipo no siempre tenga las capacidades necesarias, lo que puede afectar la calidad del trabajo, retrasar entregas y limitar el cumplimiento de los objetivos del proyecto, especialmente los relacionados con sostenibilidad.</w:t>
            </w:r>
          </w:p>
        </w:tc>
        <w:tc>
          <w:tcPr>
            <w:tcW w:w="966" w:type="dxa"/>
            <w:tcBorders>
              <w:top w:val="nil"/>
              <w:left w:val="nil"/>
              <w:bottom w:val="single" w:sz="4" w:space="0" w:color="auto"/>
              <w:right w:val="single" w:sz="4" w:space="0" w:color="auto"/>
            </w:tcBorders>
            <w:noWrap/>
            <w:vAlign w:val="center"/>
            <w:hideMark/>
          </w:tcPr>
          <w:p w14:paraId="22D24274"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774C0E0A"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3BC394C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La matriz de habilidades se aplicó en tres proyectos recientes. Gracias a esto, se logró una mejor asignación del equipo y se redujeron errores en las etapas iniciales del proyecto.</w:t>
            </w:r>
          </w:p>
        </w:tc>
      </w:tr>
      <w:tr w:rsidR="00F212FE" w:rsidRPr="00242EB4" w14:paraId="1C535780" w14:textId="77777777" w:rsidTr="0055381F">
        <w:trPr>
          <w:gridAfter w:val="1"/>
          <w:wAfter w:w="118" w:type="dxa"/>
          <w:trHeight w:val="2790"/>
        </w:trPr>
        <w:tc>
          <w:tcPr>
            <w:tcW w:w="2076" w:type="dxa"/>
            <w:vMerge/>
            <w:tcBorders>
              <w:top w:val="nil"/>
              <w:left w:val="single" w:sz="4" w:space="0" w:color="auto"/>
              <w:bottom w:val="single" w:sz="4" w:space="0" w:color="auto"/>
              <w:right w:val="single" w:sz="4" w:space="0" w:color="auto"/>
            </w:tcBorders>
            <w:shd w:val="clear" w:color="auto" w:fill="ED7D31" w:themeFill="accent2"/>
            <w:vAlign w:val="center"/>
            <w:hideMark/>
          </w:tcPr>
          <w:p w14:paraId="18D7454D" w14:textId="77777777" w:rsidR="00F212FE" w:rsidRPr="00242EB4" w:rsidRDefault="00F212FE" w:rsidP="0055381F">
            <w:pPr>
              <w:spacing w:line="240" w:lineRule="auto"/>
              <w:ind w:firstLine="0"/>
              <w:rPr>
                <w:rFonts w:ascii="Calibri" w:eastAsia="Times New Roman" w:hAnsi="Calibri" w:cs="Calibri"/>
                <w:color w:val="E99226"/>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158A5FD6"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788B457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Eficiencia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1F402CE"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591C4AF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En los proyectos actuales, no se planifica de forma anticipada cuántas personas se necesitan por etapa ni cómo se deben distribuir. Esto provoca que algunos colaboradores tengan exceso de tareas mientras otros están subutilizados.</w:t>
            </w:r>
          </w:p>
        </w:tc>
        <w:tc>
          <w:tcPr>
            <w:tcW w:w="2506" w:type="dxa"/>
            <w:tcBorders>
              <w:top w:val="nil"/>
              <w:left w:val="nil"/>
              <w:bottom w:val="single" w:sz="4" w:space="0" w:color="auto"/>
              <w:right w:val="single" w:sz="4" w:space="0" w:color="auto"/>
            </w:tcBorders>
            <w:hideMark/>
          </w:tcPr>
          <w:p w14:paraId="2D74AD1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875A3F">
              <w:rPr>
                <w:rFonts w:ascii="Calibri" w:eastAsia="Times New Roman" w:hAnsi="Calibri" w:cs="Calibri"/>
                <w:color w:val="000000"/>
                <w:sz w:val="24"/>
                <w:lang w:eastAsia="es-CR"/>
              </w:rPr>
              <w:t>La mala distribución del trabajo genera desgaste, retrasos en las entregas y pérdida de productividad. Además, se incrementan los costos por horas extra o ineficiencias operativas.</w:t>
            </w:r>
          </w:p>
        </w:tc>
        <w:tc>
          <w:tcPr>
            <w:tcW w:w="1276" w:type="dxa"/>
            <w:tcBorders>
              <w:top w:val="nil"/>
              <w:left w:val="nil"/>
              <w:bottom w:val="single" w:sz="4" w:space="0" w:color="auto"/>
              <w:right w:val="single" w:sz="4" w:space="0" w:color="auto"/>
            </w:tcBorders>
            <w:noWrap/>
            <w:vAlign w:val="center"/>
            <w:hideMark/>
          </w:tcPr>
          <w:p w14:paraId="702015A7"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2977" w:type="dxa"/>
            <w:tcBorders>
              <w:top w:val="nil"/>
              <w:left w:val="nil"/>
              <w:bottom w:val="single" w:sz="4" w:space="0" w:color="auto"/>
              <w:right w:val="single" w:sz="4" w:space="0" w:color="auto"/>
            </w:tcBorders>
            <w:hideMark/>
          </w:tcPr>
          <w:p w14:paraId="19EB958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Incluir la planificación de personal en el cronograma general del proyecto. Utilizar una herramienta que permita visualizar la carga de trabajo por persona y fase, y así evitar desbalances.</w:t>
            </w:r>
          </w:p>
        </w:tc>
        <w:tc>
          <w:tcPr>
            <w:tcW w:w="966" w:type="dxa"/>
            <w:tcBorders>
              <w:top w:val="nil"/>
              <w:left w:val="nil"/>
              <w:bottom w:val="single" w:sz="4" w:space="0" w:color="auto"/>
              <w:right w:val="single" w:sz="4" w:space="0" w:color="auto"/>
            </w:tcBorders>
            <w:noWrap/>
            <w:vAlign w:val="center"/>
            <w:hideMark/>
          </w:tcPr>
          <w:p w14:paraId="7DD3A784"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992" w:type="dxa"/>
            <w:tcBorders>
              <w:top w:val="nil"/>
              <w:left w:val="nil"/>
              <w:bottom w:val="single" w:sz="4" w:space="0" w:color="auto"/>
              <w:right w:val="single" w:sz="4" w:space="0" w:color="auto"/>
            </w:tcBorders>
            <w:noWrap/>
            <w:vAlign w:val="center"/>
            <w:hideMark/>
          </w:tcPr>
          <w:p w14:paraId="3BCE667E"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783ECD35"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La herramienta de planificación de carga laboral fue aplicada en tres proyectos. Esto permitió distribuir mejor las tareas, reducir las horas extra y mejorar el cumplimiento de plazos.</w:t>
            </w:r>
          </w:p>
        </w:tc>
      </w:tr>
      <w:tr w:rsidR="00F212FE" w:rsidRPr="00242EB4" w14:paraId="14D6C547" w14:textId="77777777" w:rsidTr="0055381F">
        <w:trPr>
          <w:gridAfter w:val="1"/>
          <w:wAfter w:w="118" w:type="dxa"/>
          <w:trHeight w:val="3410"/>
        </w:trPr>
        <w:tc>
          <w:tcPr>
            <w:tcW w:w="2076" w:type="dxa"/>
            <w:vMerge/>
            <w:tcBorders>
              <w:top w:val="nil"/>
              <w:left w:val="single" w:sz="4" w:space="0" w:color="auto"/>
              <w:right w:val="single" w:sz="4" w:space="0" w:color="auto"/>
            </w:tcBorders>
            <w:shd w:val="clear" w:color="auto" w:fill="ED7D31" w:themeFill="accent2"/>
            <w:vAlign w:val="center"/>
            <w:hideMark/>
          </w:tcPr>
          <w:p w14:paraId="44509D0C" w14:textId="77777777" w:rsidR="00F212FE" w:rsidRPr="00242EB4" w:rsidRDefault="00F212FE" w:rsidP="0055381F">
            <w:pPr>
              <w:spacing w:line="240" w:lineRule="auto"/>
              <w:ind w:firstLine="0"/>
              <w:rPr>
                <w:rFonts w:ascii="Calibri" w:eastAsia="Times New Roman" w:hAnsi="Calibri" w:cs="Calibri"/>
                <w:color w:val="E99226"/>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63A59D24"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638A485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Imparcialidad</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B071344"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vAlign w:val="center"/>
            <w:hideMark/>
          </w:tcPr>
          <w:p w14:paraId="697AFEB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En los proyectos Design &amp; Build no existen criterios claros ni estandarizados para asignar roles o responsabilidades en el equipo. Esto genera percepciones de favoritismo o desigualdad, especialmente en oportunidades de liderazgo o desarrollo profesional.</w:t>
            </w:r>
          </w:p>
        </w:tc>
        <w:tc>
          <w:tcPr>
            <w:tcW w:w="2506" w:type="dxa"/>
            <w:tcBorders>
              <w:top w:val="nil"/>
              <w:left w:val="nil"/>
              <w:bottom w:val="single" w:sz="4" w:space="0" w:color="auto"/>
              <w:right w:val="single" w:sz="4" w:space="0" w:color="auto"/>
            </w:tcBorders>
            <w:hideMark/>
          </w:tcPr>
          <w:p w14:paraId="2E8B1C6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875A3F">
              <w:rPr>
                <w:rFonts w:ascii="Calibri" w:eastAsia="Times New Roman" w:hAnsi="Calibri" w:cs="Calibri"/>
                <w:color w:val="000000"/>
                <w:sz w:val="24"/>
                <w:lang w:eastAsia="es-CR"/>
              </w:rPr>
              <w:t>La falta de imparcialidad afecta la motivación del personal, limita el compromiso y puede generar conflictos internos. También dificulta la creación de un entorno de trabajo justo, diverso e inclusivo, lo que impacta negativamente la sostenibilidad social del proyecto.</w:t>
            </w:r>
          </w:p>
        </w:tc>
        <w:tc>
          <w:tcPr>
            <w:tcW w:w="1276" w:type="dxa"/>
            <w:tcBorders>
              <w:top w:val="nil"/>
              <w:left w:val="nil"/>
              <w:bottom w:val="single" w:sz="4" w:space="0" w:color="auto"/>
              <w:right w:val="single" w:sz="4" w:space="0" w:color="auto"/>
            </w:tcBorders>
            <w:noWrap/>
            <w:vAlign w:val="center"/>
            <w:hideMark/>
          </w:tcPr>
          <w:p w14:paraId="29CD9EC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2977" w:type="dxa"/>
            <w:tcBorders>
              <w:top w:val="nil"/>
              <w:left w:val="nil"/>
              <w:bottom w:val="single" w:sz="4" w:space="0" w:color="auto"/>
              <w:right w:val="single" w:sz="4" w:space="0" w:color="auto"/>
            </w:tcBorders>
            <w:hideMark/>
          </w:tcPr>
          <w:p w14:paraId="5050AF0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Implementar una política de asignación de personal basada en criterios objetivos (habilidades, experiencia, desempeño). Esta política se comunicará a todo el equipo y se aplicará en todos los nuevos proyectos como parte del proceso de planificación.</w:t>
            </w:r>
          </w:p>
        </w:tc>
        <w:tc>
          <w:tcPr>
            <w:tcW w:w="966" w:type="dxa"/>
            <w:tcBorders>
              <w:top w:val="nil"/>
              <w:left w:val="nil"/>
              <w:bottom w:val="single" w:sz="4" w:space="0" w:color="auto"/>
              <w:right w:val="single" w:sz="4" w:space="0" w:color="auto"/>
            </w:tcBorders>
            <w:noWrap/>
            <w:vAlign w:val="center"/>
            <w:hideMark/>
          </w:tcPr>
          <w:p w14:paraId="42567F1F"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0B57A63A"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3C90AA0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La política ya fue validada por el equipo de dirección y se aplicó en dos proyectos piloto. Se evidenció mayor satisfacción y aceptación del equipo respecto a la asignación de funciones y responsabilidades.</w:t>
            </w:r>
          </w:p>
        </w:tc>
      </w:tr>
      <w:tr w:rsidR="00F212FE" w:rsidRPr="00242EB4" w14:paraId="75BC43B2" w14:textId="77777777" w:rsidTr="0055381F">
        <w:trPr>
          <w:gridAfter w:val="1"/>
          <w:wAfter w:w="118" w:type="dxa"/>
          <w:trHeight w:val="3410"/>
        </w:trPr>
        <w:tc>
          <w:tcPr>
            <w:tcW w:w="2076" w:type="dxa"/>
            <w:vMerge w:val="restart"/>
            <w:shd w:val="clear" w:color="auto" w:fill="ED7D31" w:themeFill="accent2"/>
            <w:noWrap/>
            <w:vAlign w:val="bottom"/>
            <w:hideMark/>
          </w:tcPr>
          <w:p w14:paraId="0E5AF143" w14:textId="77777777" w:rsidR="00F212FE" w:rsidRPr="00242EB4" w:rsidRDefault="00F212FE" w:rsidP="0055381F">
            <w:pPr>
              <w:shd w:val="clear" w:color="auto" w:fill="ED7D31" w:themeFill="accent2"/>
              <w:spacing w:line="240" w:lineRule="auto"/>
              <w:ind w:firstLine="0"/>
              <w:rPr>
                <w:rFonts w:ascii="Calibri" w:eastAsia="Times New Roman" w:hAnsi="Calibri" w:cs="Calibri"/>
                <w:color w:val="000000"/>
                <w:sz w:val="24"/>
                <w:lang w:val="es-CR" w:eastAsia="es-CR"/>
              </w:rPr>
            </w:pPr>
          </w:p>
          <w:tbl>
            <w:tblPr>
              <w:tblW w:w="2065" w:type="dxa"/>
              <w:tblCellSpacing w:w="0" w:type="dxa"/>
              <w:tblLayout w:type="fixed"/>
              <w:tblCellMar>
                <w:left w:w="0" w:type="dxa"/>
                <w:right w:w="0" w:type="dxa"/>
              </w:tblCellMar>
              <w:tblLook w:val="04A0" w:firstRow="1" w:lastRow="0" w:firstColumn="1" w:lastColumn="0" w:noHBand="0" w:noVBand="1"/>
            </w:tblPr>
            <w:tblGrid>
              <w:gridCol w:w="2065"/>
            </w:tblGrid>
            <w:tr w:rsidR="00F212FE" w:rsidRPr="00242EB4" w14:paraId="0247788C" w14:textId="77777777" w:rsidTr="0055381F">
              <w:trPr>
                <w:trHeight w:val="1476"/>
                <w:tblCellSpacing w:w="0" w:type="dxa"/>
              </w:trPr>
              <w:tc>
                <w:tcPr>
                  <w:tcW w:w="2065" w:type="dxa"/>
                  <w:vMerge w:val="restart"/>
                  <w:tcBorders>
                    <w:top w:val="nil"/>
                    <w:left w:val="single" w:sz="4" w:space="0" w:color="auto"/>
                    <w:bottom w:val="single" w:sz="4" w:space="0" w:color="auto"/>
                    <w:right w:val="single" w:sz="4" w:space="0" w:color="auto"/>
                  </w:tcBorders>
                  <w:shd w:val="clear" w:color="auto" w:fill="ED7D31" w:themeFill="accent2"/>
                  <w:vAlign w:val="center"/>
                  <w:hideMark/>
                </w:tcPr>
                <w:p w14:paraId="51E66138"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0E2C7EEF"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5C0E4547"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2A84A650"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3DED05A8"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48FED985"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73EB94D6"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2FB9C78F"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05298F7F"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2672A6BF"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1773BC4A"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4E0B20A0"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1BEF6761"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4A5DB221"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0787772E"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r w:rsidRPr="00242EB4">
                    <w:rPr>
                      <w:rFonts w:ascii="Calibri" w:eastAsia="Times New Roman" w:hAnsi="Calibri" w:cs="Calibri"/>
                      <w:noProof/>
                      <w:color w:val="000000"/>
                      <w:sz w:val="24"/>
                      <w:lang w:val="es-CR" w:eastAsia="es-CR"/>
                    </w:rPr>
                    <w:drawing>
                      <wp:anchor distT="0" distB="0" distL="114300" distR="114300" simplePos="0" relativeHeight="251660288" behindDoc="0" locked="0" layoutInCell="1" allowOverlap="1" wp14:anchorId="2C756022" wp14:editId="2DF5B857">
                        <wp:simplePos x="0" y="0"/>
                        <wp:positionH relativeFrom="column">
                          <wp:posOffset>168275</wp:posOffset>
                        </wp:positionH>
                        <wp:positionV relativeFrom="paragraph">
                          <wp:posOffset>74930</wp:posOffset>
                        </wp:positionV>
                        <wp:extent cx="901700" cy="876300"/>
                        <wp:effectExtent l="0" t="0" r="0" b="0"/>
                        <wp:wrapNone/>
                        <wp:docPr id="4" name="Imagen 23">
                          <a:extLst xmlns:a="http://schemas.openxmlformats.org/drawingml/2006/main">
                            <a:ext uri="{FF2B5EF4-FFF2-40B4-BE49-F238E27FC236}">
                              <a16:creationId xmlns:a16="http://schemas.microsoft.com/office/drawing/2014/main" id="{00000000-0008-0000-0300-000004000000}"/>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0000000-0008-0000-0300-000004000000}"/>
                                    </a:ext>
                                  </a:extLst>
                                </pic:cNvPr>
                                <pic:cNvPicPr>
                                  <a:picLocks noChangeAspect="1"/>
                                </pic:cNvPicPr>
                              </pic:nvPicPr>
                              <pic:blipFill>
                                <a:blip r:embed="rId26"/>
                                <a:stretch>
                                  <a:fillRect/>
                                </a:stretch>
                              </pic:blipFill>
                              <pic:spPr>
                                <a:xfrm>
                                  <a:off x="0" y="0"/>
                                  <a:ext cx="901700" cy="876300"/>
                                </a:xfrm>
                                <a:prstGeom prst="rect">
                                  <a:avLst/>
                                </a:prstGeom>
                              </pic:spPr>
                            </pic:pic>
                          </a:graphicData>
                        </a:graphic>
                        <wp14:sizeRelH relativeFrom="page">
                          <wp14:pctWidth>0</wp14:pctWidth>
                        </wp14:sizeRelH>
                        <wp14:sizeRelV relativeFrom="page">
                          <wp14:pctHeight>0</wp14:pctHeight>
                        </wp14:sizeRelV>
                      </wp:anchor>
                    </w:drawing>
                  </w:r>
                </w:p>
                <w:p w14:paraId="72F3D55B"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0F4D065D"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18F9CC78"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4225D14A"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3FDAD87A"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49AF9CEE"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712443C7"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17492A06"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6CDDDE0D"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169C8991"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0E56486F"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1F258C1D"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7E7CFA71"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1BA0ACF3"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7E17AF54"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6DAE2D89"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4E15E312"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38B4FE95"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12977A31"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58375808"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5E390784"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4CE24046"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1EC897CC"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107422D6"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52692849"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273B495E"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287A749D"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7CD8803A"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18BC1F11"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04009B88"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265B6768"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1B9AC0B3" w14:textId="77777777" w:rsidR="00F212FE"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p w14:paraId="1ADF442F" w14:textId="77777777" w:rsidR="00F212FE" w:rsidRPr="00242EB4" w:rsidRDefault="00F212FE" w:rsidP="00217E41">
                  <w:pPr>
                    <w:framePr w:hSpace="141" w:wrap="around" w:vAnchor="page" w:hAnchor="margin" w:y="2981"/>
                    <w:shd w:val="clear" w:color="auto" w:fill="ED7D31" w:themeFill="accent2"/>
                    <w:spacing w:line="240" w:lineRule="auto"/>
                    <w:ind w:firstLine="0"/>
                    <w:rPr>
                      <w:rFonts w:ascii="Calibri" w:eastAsia="Times New Roman" w:hAnsi="Calibri" w:cs="Calibri"/>
                      <w:color w:val="E99226"/>
                      <w:sz w:val="24"/>
                      <w:lang w:val="es-CR" w:eastAsia="es-CR"/>
                    </w:rPr>
                  </w:pPr>
                </w:p>
              </w:tc>
            </w:tr>
            <w:tr w:rsidR="00F212FE" w:rsidRPr="00242EB4" w14:paraId="0DB3ADD7" w14:textId="77777777" w:rsidTr="0055381F">
              <w:trPr>
                <w:trHeight w:val="1476"/>
                <w:tblCellSpacing w:w="0" w:type="dxa"/>
              </w:trPr>
              <w:tc>
                <w:tcPr>
                  <w:tcW w:w="2065" w:type="dxa"/>
                  <w:vMerge/>
                  <w:tcBorders>
                    <w:top w:val="nil"/>
                    <w:left w:val="single" w:sz="4" w:space="0" w:color="auto"/>
                    <w:bottom w:val="single" w:sz="4" w:space="0" w:color="auto"/>
                    <w:right w:val="single" w:sz="4" w:space="0" w:color="auto"/>
                  </w:tcBorders>
                  <w:shd w:val="clear" w:color="auto" w:fill="ED7D31" w:themeFill="accent2"/>
                  <w:vAlign w:val="center"/>
                  <w:hideMark/>
                </w:tcPr>
                <w:p w14:paraId="0AE8528D" w14:textId="77777777" w:rsidR="00F212FE" w:rsidRPr="00242EB4" w:rsidRDefault="00F212FE" w:rsidP="00217E41">
                  <w:pPr>
                    <w:framePr w:hSpace="141" w:wrap="around" w:vAnchor="page" w:hAnchor="margin" w:y="2981"/>
                    <w:spacing w:line="240" w:lineRule="auto"/>
                    <w:ind w:firstLine="0"/>
                    <w:rPr>
                      <w:rFonts w:ascii="Calibri" w:eastAsia="Times New Roman" w:hAnsi="Calibri" w:cs="Calibri"/>
                      <w:color w:val="E99226"/>
                      <w:sz w:val="24"/>
                      <w:lang w:val="es-CR" w:eastAsia="es-CR"/>
                    </w:rPr>
                  </w:pPr>
                </w:p>
              </w:tc>
            </w:tr>
          </w:tbl>
          <w:p w14:paraId="4120C792"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val="restart"/>
            <w:tcBorders>
              <w:top w:val="nil"/>
              <w:left w:val="nil"/>
              <w:bottom w:val="single" w:sz="4" w:space="0" w:color="auto"/>
              <w:right w:val="single" w:sz="4" w:space="0" w:color="auto"/>
            </w:tcBorders>
            <w:shd w:val="clear" w:color="000000" w:fill="F2F2F2"/>
            <w:vAlign w:val="center"/>
            <w:hideMark/>
          </w:tcPr>
          <w:p w14:paraId="2194F8A8"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r w:rsidRPr="00242EB4">
              <w:rPr>
                <w:rFonts w:ascii="Calibri" w:eastAsia="Times New Roman" w:hAnsi="Calibri" w:cs="Calibri"/>
                <w:color w:val="000000"/>
                <w:sz w:val="18"/>
                <w:szCs w:val="18"/>
                <w:lang w:val="es-CR" w:eastAsia="es-CR"/>
              </w:rPr>
              <w:lastRenderedPageBreak/>
              <w:t>Relaciones laborales/empresariales en el contexto del proyecto significa generar confianza, comprensión y cooperación entre el proyecto y otros directores, el personal de la organización y los miembros del equipo de proyecto. Implica respetar las opiniones de los demás, resolver conflictos de manera proactiva, comunicarse con claridad y asegurar que todos conozcan sus roles y responsabilidades</w:t>
            </w:r>
          </w:p>
        </w:tc>
        <w:tc>
          <w:tcPr>
            <w:tcW w:w="1701" w:type="dxa"/>
            <w:tcBorders>
              <w:top w:val="nil"/>
              <w:left w:val="nil"/>
              <w:bottom w:val="single" w:sz="4" w:space="0" w:color="auto"/>
              <w:right w:val="single" w:sz="4" w:space="0" w:color="auto"/>
            </w:tcBorders>
            <w:shd w:val="clear" w:color="000000" w:fill="F2F2F2"/>
            <w:noWrap/>
            <w:vAlign w:val="center"/>
            <w:hideMark/>
          </w:tcPr>
          <w:p w14:paraId="6B140145"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Vida Útil</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981B5C4"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00270A3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No existe una metodología clara para fomentar la comunicación efectiva ni para definir roles y responsabilidades desde la fase de planificación. Esto genera malentendidos, conflictos internos y pérdida de confianza entre los miembros del equipo.</w:t>
            </w:r>
          </w:p>
        </w:tc>
        <w:tc>
          <w:tcPr>
            <w:tcW w:w="2506" w:type="dxa"/>
            <w:tcBorders>
              <w:top w:val="nil"/>
              <w:left w:val="nil"/>
              <w:bottom w:val="single" w:sz="4" w:space="0" w:color="auto"/>
              <w:right w:val="single" w:sz="4" w:space="0" w:color="auto"/>
            </w:tcBorders>
            <w:hideMark/>
          </w:tcPr>
          <w:p w14:paraId="74C02DC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875A3F">
              <w:rPr>
                <w:rFonts w:ascii="Calibri" w:eastAsia="Times New Roman" w:hAnsi="Calibri" w:cs="Calibri"/>
                <w:color w:val="000000"/>
                <w:sz w:val="24"/>
                <w:lang w:eastAsia="es-CR"/>
              </w:rPr>
              <w:t>La falta de relaciones laborales saludables afecta la cohesión del equipo, reduce la motivación, incrementa la rotación del personal y limita la posibilidad de mantener un equipo estable y comprometido a largo plazo, afectando la sostenibilidad humana del proyecto.</w:t>
            </w:r>
          </w:p>
        </w:tc>
        <w:tc>
          <w:tcPr>
            <w:tcW w:w="1276" w:type="dxa"/>
            <w:tcBorders>
              <w:top w:val="nil"/>
              <w:left w:val="nil"/>
              <w:bottom w:val="single" w:sz="4" w:space="0" w:color="auto"/>
              <w:right w:val="single" w:sz="4" w:space="0" w:color="auto"/>
            </w:tcBorders>
            <w:noWrap/>
            <w:vAlign w:val="center"/>
            <w:hideMark/>
          </w:tcPr>
          <w:p w14:paraId="0BAA36C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1C03D9E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Integrar en la fase de planificación del proyecto una reunión de alineación inicial con todo el equipo para definir claramente los roles, responsabilidades, canales de comunicación y reglas de colaboración. Establecer también un mecanismo simple de retroalimentación continua durante el proyecto.</w:t>
            </w:r>
          </w:p>
        </w:tc>
        <w:tc>
          <w:tcPr>
            <w:tcW w:w="966" w:type="dxa"/>
            <w:tcBorders>
              <w:top w:val="nil"/>
              <w:left w:val="nil"/>
              <w:bottom w:val="single" w:sz="4" w:space="0" w:color="auto"/>
              <w:right w:val="single" w:sz="4" w:space="0" w:color="auto"/>
            </w:tcBorders>
            <w:noWrap/>
            <w:vAlign w:val="center"/>
            <w:hideMark/>
          </w:tcPr>
          <w:p w14:paraId="5ACACDC1"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31443B5B"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21A5EE8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En dos proyectos piloto se aplicó esta estrategia, mejorando la claridad en la asignación de tareas y reduciendo los conflictos entre áreas. Se percibió mayor compromiso y comunicación fluida dentro del equipo.</w:t>
            </w:r>
          </w:p>
        </w:tc>
      </w:tr>
      <w:tr w:rsidR="00F212FE" w:rsidRPr="00242EB4" w14:paraId="43C2A977" w14:textId="77777777" w:rsidTr="0055381F">
        <w:trPr>
          <w:gridAfter w:val="1"/>
          <w:wAfter w:w="118" w:type="dxa"/>
          <w:trHeight w:val="310"/>
        </w:trPr>
        <w:tc>
          <w:tcPr>
            <w:tcW w:w="2076" w:type="dxa"/>
            <w:vMerge/>
            <w:shd w:val="clear" w:color="auto" w:fill="ED7D31" w:themeFill="accent2"/>
            <w:vAlign w:val="center"/>
            <w:hideMark/>
          </w:tcPr>
          <w:p w14:paraId="527E0CA2"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nil"/>
              <w:bottom w:val="single" w:sz="4" w:space="0" w:color="auto"/>
              <w:right w:val="single" w:sz="4" w:space="0" w:color="auto"/>
            </w:tcBorders>
            <w:vAlign w:val="center"/>
            <w:hideMark/>
          </w:tcPr>
          <w:p w14:paraId="48B77E30"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4270E16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Mantenimiento</w:t>
            </w:r>
          </w:p>
        </w:tc>
        <w:tc>
          <w:tcPr>
            <w:tcW w:w="86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F8366A8"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No</w:t>
            </w:r>
          </w:p>
        </w:tc>
        <w:tc>
          <w:tcPr>
            <w:tcW w:w="2897" w:type="dxa"/>
            <w:tcBorders>
              <w:top w:val="single" w:sz="4" w:space="0" w:color="auto"/>
              <w:left w:val="single" w:sz="4" w:space="0" w:color="auto"/>
              <w:bottom w:val="single" w:sz="4" w:space="0" w:color="auto"/>
              <w:right w:val="single" w:sz="4" w:space="0" w:color="auto"/>
            </w:tcBorders>
            <w:shd w:val="clear" w:color="000000" w:fill="BFBFBF"/>
            <w:hideMark/>
          </w:tcPr>
          <w:p w14:paraId="6F06371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2506" w:type="dxa"/>
            <w:tcBorders>
              <w:top w:val="single" w:sz="4" w:space="0" w:color="auto"/>
              <w:left w:val="single" w:sz="4" w:space="0" w:color="auto"/>
              <w:bottom w:val="single" w:sz="4" w:space="0" w:color="auto"/>
              <w:right w:val="single" w:sz="4" w:space="0" w:color="auto"/>
            </w:tcBorders>
            <w:shd w:val="clear" w:color="000000" w:fill="BFBFBF"/>
            <w:hideMark/>
          </w:tcPr>
          <w:p w14:paraId="5C7D2595"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127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8179B12"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2977" w:type="dxa"/>
            <w:tcBorders>
              <w:top w:val="single" w:sz="4" w:space="0" w:color="auto"/>
              <w:left w:val="single" w:sz="4" w:space="0" w:color="auto"/>
              <w:bottom w:val="single" w:sz="4" w:space="0" w:color="auto"/>
              <w:right w:val="single" w:sz="4" w:space="0" w:color="auto"/>
            </w:tcBorders>
            <w:shd w:val="clear" w:color="000000" w:fill="BFBFBF"/>
            <w:hideMark/>
          </w:tcPr>
          <w:p w14:paraId="4CA4E87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9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D77F347"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99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DBCCBE7"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0</w:t>
            </w:r>
          </w:p>
        </w:tc>
        <w:tc>
          <w:tcPr>
            <w:tcW w:w="3520" w:type="dxa"/>
            <w:tcBorders>
              <w:top w:val="single" w:sz="4" w:space="0" w:color="auto"/>
              <w:left w:val="single" w:sz="4" w:space="0" w:color="auto"/>
              <w:bottom w:val="single" w:sz="4" w:space="0" w:color="auto"/>
              <w:right w:val="single" w:sz="4" w:space="0" w:color="auto"/>
            </w:tcBorders>
            <w:shd w:val="clear" w:color="000000" w:fill="BFBFBF"/>
            <w:hideMark/>
          </w:tcPr>
          <w:p w14:paraId="3EE71FF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r>
      <w:tr w:rsidR="00F212FE" w:rsidRPr="00242EB4" w14:paraId="4E174214" w14:textId="77777777" w:rsidTr="0055381F">
        <w:trPr>
          <w:gridAfter w:val="1"/>
          <w:wAfter w:w="118" w:type="dxa"/>
          <w:trHeight w:val="3100"/>
        </w:trPr>
        <w:tc>
          <w:tcPr>
            <w:tcW w:w="2076" w:type="dxa"/>
            <w:vMerge/>
            <w:shd w:val="clear" w:color="auto" w:fill="ED7D31" w:themeFill="accent2"/>
            <w:vAlign w:val="center"/>
            <w:hideMark/>
          </w:tcPr>
          <w:p w14:paraId="1DEC066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nil"/>
              <w:bottom w:val="single" w:sz="4" w:space="0" w:color="auto"/>
              <w:right w:val="single" w:sz="4" w:space="0" w:color="auto"/>
            </w:tcBorders>
            <w:vAlign w:val="center"/>
            <w:hideMark/>
          </w:tcPr>
          <w:p w14:paraId="02BF9FC1"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0C6050E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Eficacia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60CAB0C"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0F0AE93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En muchos proyectos Design &amp; Build, la falta de comunicación clara entre los distintos miembros del equipo y las áreas involucradas provoca confusión sobre las funciones, duplicidad de tareas y retrasos en la toma de decisiones clave.</w:t>
            </w:r>
          </w:p>
        </w:tc>
        <w:tc>
          <w:tcPr>
            <w:tcW w:w="2506" w:type="dxa"/>
            <w:tcBorders>
              <w:top w:val="nil"/>
              <w:left w:val="nil"/>
              <w:bottom w:val="single" w:sz="4" w:space="0" w:color="auto"/>
              <w:right w:val="single" w:sz="4" w:space="0" w:color="auto"/>
            </w:tcBorders>
            <w:hideMark/>
          </w:tcPr>
          <w:p w14:paraId="30A24CF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875A3F">
              <w:rPr>
                <w:rFonts w:ascii="Calibri" w:eastAsia="Times New Roman" w:hAnsi="Calibri" w:cs="Calibri"/>
                <w:color w:val="000000"/>
                <w:sz w:val="24"/>
                <w:lang w:eastAsia="es-CR"/>
              </w:rPr>
              <w:t>Esta situación reduce la capacidad del equipo para cumplir los objetivos del proyecto, genera errores operativos y afecta la calidad de los entregables. También limita la colaboración efectiva, lo que disminuye la eficacia general del proyecto.</w:t>
            </w:r>
          </w:p>
        </w:tc>
        <w:tc>
          <w:tcPr>
            <w:tcW w:w="1276" w:type="dxa"/>
            <w:tcBorders>
              <w:top w:val="nil"/>
              <w:left w:val="nil"/>
              <w:bottom w:val="single" w:sz="4" w:space="0" w:color="auto"/>
              <w:right w:val="single" w:sz="4" w:space="0" w:color="auto"/>
            </w:tcBorders>
            <w:noWrap/>
            <w:vAlign w:val="center"/>
            <w:hideMark/>
          </w:tcPr>
          <w:p w14:paraId="5D701D2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311AAD65"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Implementar un plan de gestión de la comunicación como parte del proceso de planificación. Este incluirá acuerdos de comunicación interna, cronograma de reuniones de seguimiento y herramientas colaborativas como paneles compartidos o actas de tareas.</w:t>
            </w:r>
          </w:p>
        </w:tc>
        <w:tc>
          <w:tcPr>
            <w:tcW w:w="966" w:type="dxa"/>
            <w:tcBorders>
              <w:top w:val="nil"/>
              <w:left w:val="nil"/>
              <w:bottom w:val="single" w:sz="4" w:space="0" w:color="auto"/>
              <w:right w:val="single" w:sz="4" w:space="0" w:color="auto"/>
            </w:tcBorders>
            <w:noWrap/>
            <w:vAlign w:val="center"/>
            <w:hideMark/>
          </w:tcPr>
          <w:p w14:paraId="677AC1D2"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5</w:t>
            </w:r>
          </w:p>
        </w:tc>
        <w:tc>
          <w:tcPr>
            <w:tcW w:w="992" w:type="dxa"/>
            <w:tcBorders>
              <w:top w:val="nil"/>
              <w:left w:val="nil"/>
              <w:bottom w:val="single" w:sz="4" w:space="0" w:color="auto"/>
              <w:right w:val="single" w:sz="4" w:space="0" w:color="auto"/>
            </w:tcBorders>
            <w:noWrap/>
            <w:vAlign w:val="center"/>
            <w:hideMark/>
          </w:tcPr>
          <w:p w14:paraId="6B6A9617"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3520" w:type="dxa"/>
            <w:tcBorders>
              <w:top w:val="nil"/>
              <w:left w:val="nil"/>
              <w:bottom w:val="single" w:sz="4" w:space="0" w:color="auto"/>
              <w:right w:val="single" w:sz="4" w:space="0" w:color="auto"/>
            </w:tcBorders>
            <w:hideMark/>
          </w:tcPr>
          <w:p w14:paraId="730CD36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Se fortaleció el conocimiento del equipo y su adaptabilidad en futuros proyectos.</w:t>
            </w:r>
          </w:p>
        </w:tc>
      </w:tr>
      <w:tr w:rsidR="00F212FE" w:rsidRPr="00242EB4" w14:paraId="29271F20" w14:textId="77777777" w:rsidTr="0055381F">
        <w:trPr>
          <w:gridAfter w:val="1"/>
          <w:wAfter w:w="118" w:type="dxa"/>
          <w:trHeight w:val="3100"/>
        </w:trPr>
        <w:tc>
          <w:tcPr>
            <w:tcW w:w="2076" w:type="dxa"/>
            <w:vMerge/>
            <w:shd w:val="clear" w:color="auto" w:fill="ED7D31" w:themeFill="accent2"/>
            <w:vAlign w:val="center"/>
            <w:hideMark/>
          </w:tcPr>
          <w:p w14:paraId="6D4ED87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nil"/>
              <w:bottom w:val="single" w:sz="4" w:space="0" w:color="auto"/>
              <w:right w:val="single" w:sz="4" w:space="0" w:color="auto"/>
            </w:tcBorders>
            <w:vAlign w:val="center"/>
            <w:hideMark/>
          </w:tcPr>
          <w:p w14:paraId="04D47B2C"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6686045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Eficiencia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E61C178"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4747EB1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En los proyectos Design &amp; Build no hay un sistema claro de comunicación y coordinación entre los distintos equipos. Esto genera reuniones innecesarias, malentendidos en la ejecución de tareas y pérdida de tiempo resolviendo conflictos evitables.</w:t>
            </w:r>
          </w:p>
        </w:tc>
        <w:tc>
          <w:tcPr>
            <w:tcW w:w="2506" w:type="dxa"/>
            <w:tcBorders>
              <w:top w:val="nil"/>
              <w:left w:val="nil"/>
              <w:bottom w:val="single" w:sz="4" w:space="0" w:color="auto"/>
              <w:right w:val="single" w:sz="4" w:space="0" w:color="auto"/>
            </w:tcBorders>
            <w:hideMark/>
          </w:tcPr>
          <w:p w14:paraId="2D12AAA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875A3F">
              <w:rPr>
                <w:rFonts w:ascii="Calibri" w:eastAsia="Times New Roman" w:hAnsi="Calibri" w:cs="Calibri"/>
                <w:color w:val="000000"/>
                <w:sz w:val="24"/>
                <w:lang w:eastAsia="es-CR"/>
              </w:rPr>
              <w:t>La ineficiencia en la comunicación interna provoca retrasos en las entregas, reprocesos y un uso poco óptimo de los recursos humanos. Esto aumenta los costos operativos y reduce la productividad general del equipo.</w:t>
            </w:r>
          </w:p>
        </w:tc>
        <w:tc>
          <w:tcPr>
            <w:tcW w:w="1276" w:type="dxa"/>
            <w:tcBorders>
              <w:top w:val="nil"/>
              <w:left w:val="nil"/>
              <w:bottom w:val="single" w:sz="4" w:space="0" w:color="auto"/>
              <w:right w:val="single" w:sz="4" w:space="0" w:color="auto"/>
            </w:tcBorders>
            <w:noWrap/>
            <w:vAlign w:val="center"/>
            <w:hideMark/>
          </w:tcPr>
          <w:p w14:paraId="402A4FBE"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3241FBE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Estandarizar un protocolo de coordinación interna que incluya cronogramas de reuniones semanales, actas compartidas, definición clara de responsables y uso de herramientas colaborativas como Asana, Teams o Google Chat.</w:t>
            </w:r>
          </w:p>
        </w:tc>
        <w:tc>
          <w:tcPr>
            <w:tcW w:w="966" w:type="dxa"/>
            <w:tcBorders>
              <w:top w:val="nil"/>
              <w:left w:val="nil"/>
              <w:bottom w:val="single" w:sz="4" w:space="0" w:color="auto"/>
              <w:right w:val="single" w:sz="4" w:space="0" w:color="auto"/>
            </w:tcBorders>
            <w:noWrap/>
            <w:vAlign w:val="center"/>
            <w:hideMark/>
          </w:tcPr>
          <w:p w14:paraId="28697229"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992" w:type="dxa"/>
            <w:tcBorders>
              <w:top w:val="nil"/>
              <w:left w:val="nil"/>
              <w:bottom w:val="single" w:sz="4" w:space="0" w:color="auto"/>
              <w:right w:val="single" w:sz="4" w:space="0" w:color="auto"/>
            </w:tcBorders>
            <w:noWrap/>
            <w:vAlign w:val="center"/>
            <w:hideMark/>
          </w:tcPr>
          <w:p w14:paraId="704D4CEF"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608D55F2"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Se estandarizó el conocimiento mínimo esperado en cada rol.</w:t>
            </w:r>
          </w:p>
        </w:tc>
      </w:tr>
      <w:tr w:rsidR="00F212FE" w:rsidRPr="00242EB4" w14:paraId="313DCE94" w14:textId="77777777" w:rsidTr="0055381F">
        <w:trPr>
          <w:gridAfter w:val="1"/>
          <w:wAfter w:w="118" w:type="dxa"/>
          <w:trHeight w:val="3410"/>
        </w:trPr>
        <w:tc>
          <w:tcPr>
            <w:tcW w:w="2076" w:type="dxa"/>
            <w:vMerge/>
            <w:shd w:val="clear" w:color="auto" w:fill="ED7D31" w:themeFill="accent2"/>
            <w:vAlign w:val="center"/>
            <w:hideMark/>
          </w:tcPr>
          <w:p w14:paraId="5CE1CBE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nil"/>
              <w:bottom w:val="single" w:sz="4" w:space="0" w:color="auto"/>
              <w:right w:val="single" w:sz="4" w:space="0" w:color="auto"/>
            </w:tcBorders>
            <w:vAlign w:val="center"/>
            <w:hideMark/>
          </w:tcPr>
          <w:p w14:paraId="5D58C02D"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30D154F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Imparcialidad</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9B560AB"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6E4A714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En algunos proyectos, las decisiones sobre asignación de tareas, liderazgo o reconocimiento no se basan en criterios claros. Esto genera percepciones de favoritismo o desigualdad entre los miembros del equipo, especialmente cuando no hay comunicación abierta ni retroalimentación formal.</w:t>
            </w:r>
          </w:p>
        </w:tc>
        <w:tc>
          <w:tcPr>
            <w:tcW w:w="2506" w:type="dxa"/>
            <w:tcBorders>
              <w:top w:val="nil"/>
              <w:left w:val="nil"/>
              <w:bottom w:val="single" w:sz="4" w:space="0" w:color="auto"/>
              <w:right w:val="single" w:sz="4" w:space="0" w:color="auto"/>
            </w:tcBorders>
            <w:hideMark/>
          </w:tcPr>
          <w:p w14:paraId="38E7FBD2"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875A3F">
              <w:rPr>
                <w:rFonts w:ascii="Calibri" w:eastAsia="Times New Roman" w:hAnsi="Calibri" w:cs="Calibri"/>
                <w:color w:val="000000"/>
                <w:sz w:val="24"/>
                <w:lang w:eastAsia="es-CR"/>
              </w:rPr>
              <w:t>La falta de imparcialidad debilita la confianza del equipo, reduce la motivación y puede afectar la colaboración. También limita el desarrollo equitativo de oportunidades, lo que impacta negativamente en la sostenibilidad social del proyecto.</w:t>
            </w:r>
          </w:p>
        </w:tc>
        <w:tc>
          <w:tcPr>
            <w:tcW w:w="1276" w:type="dxa"/>
            <w:tcBorders>
              <w:top w:val="nil"/>
              <w:left w:val="nil"/>
              <w:bottom w:val="single" w:sz="4" w:space="0" w:color="auto"/>
              <w:right w:val="single" w:sz="4" w:space="0" w:color="auto"/>
            </w:tcBorders>
            <w:noWrap/>
            <w:vAlign w:val="center"/>
            <w:hideMark/>
          </w:tcPr>
          <w:p w14:paraId="36B47118"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43637C5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Establecer lineamientos claros para la asignación de tareas y funciones, basados en competencias y desempeño. Comunicar estos criterios al inicio del proyecto y aplicar retroalimentación periódica para asegurar transparencia.</w:t>
            </w:r>
          </w:p>
        </w:tc>
        <w:tc>
          <w:tcPr>
            <w:tcW w:w="966" w:type="dxa"/>
            <w:tcBorders>
              <w:top w:val="nil"/>
              <w:left w:val="nil"/>
              <w:bottom w:val="single" w:sz="4" w:space="0" w:color="auto"/>
              <w:right w:val="single" w:sz="4" w:space="0" w:color="auto"/>
            </w:tcBorders>
            <w:noWrap/>
            <w:vAlign w:val="center"/>
            <w:hideMark/>
          </w:tcPr>
          <w:p w14:paraId="5AA5C82E"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992" w:type="dxa"/>
            <w:tcBorders>
              <w:top w:val="nil"/>
              <w:left w:val="nil"/>
              <w:bottom w:val="single" w:sz="4" w:space="0" w:color="auto"/>
              <w:right w:val="single" w:sz="4" w:space="0" w:color="auto"/>
            </w:tcBorders>
            <w:noWrap/>
            <w:vAlign w:val="center"/>
            <w:hideMark/>
          </w:tcPr>
          <w:p w14:paraId="24FD7DDB"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2BD1F8A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Se aplicaron los lineamientos en un proyecto piloto. Aunque aún no están formalizados en toda la organización, los primeros resultados muestran una mayor percepción de justicia en la asignación de funciones y mejor ambiente laboral.</w:t>
            </w:r>
          </w:p>
        </w:tc>
      </w:tr>
      <w:tr w:rsidR="00F212FE" w:rsidRPr="00242EB4" w14:paraId="129FEB4D" w14:textId="77777777" w:rsidTr="0055381F">
        <w:trPr>
          <w:gridAfter w:val="1"/>
          <w:wAfter w:w="118" w:type="dxa"/>
          <w:trHeight w:val="1550"/>
        </w:trPr>
        <w:tc>
          <w:tcPr>
            <w:tcW w:w="2076" w:type="dxa"/>
            <w:vMerge w:val="restart"/>
            <w:shd w:val="clear" w:color="auto" w:fill="ED7D31" w:themeFill="accent2"/>
            <w:noWrap/>
            <w:vAlign w:val="bottom"/>
            <w:hideMark/>
          </w:tcPr>
          <w:p w14:paraId="2B2AD36A" w14:textId="77777777" w:rsidR="00F212FE"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noProof/>
                <w:color w:val="000000"/>
                <w:sz w:val="24"/>
                <w:lang w:val="es-CR" w:eastAsia="es-CR"/>
              </w:rPr>
              <w:drawing>
                <wp:anchor distT="0" distB="0" distL="114300" distR="114300" simplePos="0" relativeHeight="251661312" behindDoc="0" locked="0" layoutInCell="1" allowOverlap="1" wp14:anchorId="46ADC017" wp14:editId="12AF0E12">
                  <wp:simplePos x="0" y="0"/>
                  <wp:positionH relativeFrom="column">
                    <wp:posOffset>250825</wp:posOffset>
                  </wp:positionH>
                  <wp:positionV relativeFrom="paragraph">
                    <wp:posOffset>-450215</wp:posOffset>
                  </wp:positionV>
                  <wp:extent cx="895350" cy="939800"/>
                  <wp:effectExtent l="0" t="0" r="0" b="0"/>
                  <wp:wrapNone/>
                  <wp:docPr id="6" name="Imagen 22">
                    <a:extLst xmlns:a="http://schemas.openxmlformats.org/drawingml/2006/main">
                      <a:ext uri="{FF2B5EF4-FFF2-40B4-BE49-F238E27FC236}">
                        <a16:creationId xmlns:a16="http://schemas.microsoft.com/office/drawing/2014/main" id="{00000000-0008-0000-0300-000006000000}"/>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00000000-0008-0000-0300-000006000000}"/>
                              </a:ext>
                            </a:extLst>
                          </pic:cNvPr>
                          <pic:cNvPicPr>
                            <a:picLocks noChangeAspect="1"/>
                          </pic:cNvPicPr>
                        </pic:nvPicPr>
                        <pic:blipFill>
                          <a:blip r:embed="rId27"/>
                          <a:stretch>
                            <a:fillRect/>
                          </a:stretch>
                        </pic:blipFill>
                        <pic:spPr>
                          <a:xfrm>
                            <a:off x="0" y="0"/>
                            <a:ext cx="895350" cy="939800"/>
                          </a:xfrm>
                          <a:prstGeom prst="rect">
                            <a:avLst/>
                          </a:prstGeom>
                        </pic:spPr>
                      </pic:pic>
                    </a:graphicData>
                  </a:graphic>
                  <wp14:sizeRelH relativeFrom="page">
                    <wp14:pctWidth>0</wp14:pctWidth>
                  </wp14:sizeRelH>
                  <wp14:sizeRelV relativeFrom="page">
                    <wp14:pctHeight>0</wp14:pctHeight>
                  </wp14:sizeRelV>
                </wp:anchor>
              </w:drawing>
            </w:r>
          </w:p>
          <w:p w14:paraId="24FD6692" w14:textId="77777777" w:rsidR="00F212FE" w:rsidRDefault="00F212FE" w:rsidP="0055381F">
            <w:pPr>
              <w:spacing w:line="240" w:lineRule="auto"/>
              <w:ind w:firstLine="0"/>
              <w:rPr>
                <w:rFonts w:ascii="Calibri" w:eastAsia="Times New Roman" w:hAnsi="Calibri" w:cs="Calibri"/>
                <w:color w:val="000000"/>
                <w:sz w:val="24"/>
                <w:lang w:val="es-CR" w:eastAsia="es-CR"/>
              </w:rPr>
            </w:pPr>
          </w:p>
          <w:p w14:paraId="2854B972" w14:textId="77777777" w:rsidR="00F212FE" w:rsidRDefault="00F212FE" w:rsidP="0055381F">
            <w:pPr>
              <w:spacing w:line="240" w:lineRule="auto"/>
              <w:ind w:firstLine="0"/>
              <w:rPr>
                <w:rFonts w:ascii="Calibri" w:eastAsia="Times New Roman" w:hAnsi="Calibri" w:cs="Calibri"/>
                <w:color w:val="000000"/>
                <w:sz w:val="24"/>
                <w:lang w:val="es-CR" w:eastAsia="es-CR"/>
              </w:rPr>
            </w:pPr>
          </w:p>
          <w:p w14:paraId="555B0C0D" w14:textId="77777777" w:rsidR="00F212FE" w:rsidRDefault="00F212FE" w:rsidP="0055381F">
            <w:pPr>
              <w:spacing w:line="240" w:lineRule="auto"/>
              <w:ind w:firstLine="0"/>
              <w:rPr>
                <w:rFonts w:ascii="Calibri" w:eastAsia="Times New Roman" w:hAnsi="Calibri" w:cs="Calibri"/>
                <w:color w:val="000000"/>
                <w:sz w:val="24"/>
                <w:lang w:val="es-CR" w:eastAsia="es-CR"/>
              </w:rPr>
            </w:pPr>
          </w:p>
          <w:p w14:paraId="20EA2D0F" w14:textId="77777777" w:rsidR="00F212FE" w:rsidRDefault="00F212FE" w:rsidP="0055381F">
            <w:pPr>
              <w:spacing w:line="240" w:lineRule="auto"/>
              <w:ind w:firstLine="0"/>
              <w:rPr>
                <w:rFonts w:ascii="Calibri" w:eastAsia="Times New Roman" w:hAnsi="Calibri" w:cs="Calibri"/>
                <w:color w:val="000000"/>
                <w:sz w:val="24"/>
                <w:lang w:val="es-CR" w:eastAsia="es-CR"/>
              </w:rPr>
            </w:pPr>
          </w:p>
          <w:p w14:paraId="52CF6639" w14:textId="77777777" w:rsidR="00F212FE" w:rsidRDefault="00F212FE" w:rsidP="0055381F">
            <w:pPr>
              <w:spacing w:line="240" w:lineRule="auto"/>
              <w:ind w:firstLine="0"/>
              <w:rPr>
                <w:rFonts w:ascii="Calibri" w:eastAsia="Times New Roman" w:hAnsi="Calibri" w:cs="Calibri"/>
                <w:color w:val="000000"/>
                <w:sz w:val="24"/>
                <w:lang w:val="es-CR" w:eastAsia="es-CR"/>
              </w:rPr>
            </w:pPr>
          </w:p>
          <w:p w14:paraId="7991875F" w14:textId="77777777" w:rsidR="00F212FE" w:rsidRDefault="00F212FE" w:rsidP="0055381F">
            <w:pPr>
              <w:spacing w:line="240" w:lineRule="auto"/>
              <w:ind w:firstLine="0"/>
              <w:rPr>
                <w:rFonts w:ascii="Calibri" w:eastAsia="Times New Roman" w:hAnsi="Calibri" w:cs="Calibri"/>
                <w:color w:val="000000"/>
                <w:sz w:val="24"/>
                <w:lang w:val="es-CR" w:eastAsia="es-CR"/>
              </w:rPr>
            </w:pPr>
          </w:p>
          <w:p w14:paraId="5F035294" w14:textId="77777777" w:rsidR="00F212FE" w:rsidRDefault="00F212FE" w:rsidP="0055381F">
            <w:pPr>
              <w:spacing w:line="240" w:lineRule="auto"/>
              <w:ind w:firstLine="0"/>
              <w:rPr>
                <w:rFonts w:ascii="Calibri" w:eastAsia="Times New Roman" w:hAnsi="Calibri" w:cs="Calibri"/>
                <w:color w:val="000000"/>
                <w:sz w:val="24"/>
                <w:lang w:val="es-CR" w:eastAsia="es-CR"/>
              </w:rPr>
            </w:pPr>
          </w:p>
          <w:p w14:paraId="1D83D667" w14:textId="77777777" w:rsidR="00F212FE" w:rsidRDefault="00F212FE" w:rsidP="0055381F">
            <w:pPr>
              <w:spacing w:line="240" w:lineRule="auto"/>
              <w:ind w:firstLine="0"/>
              <w:rPr>
                <w:rFonts w:ascii="Calibri" w:eastAsia="Times New Roman" w:hAnsi="Calibri" w:cs="Calibri"/>
                <w:color w:val="000000"/>
                <w:sz w:val="24"/>
                <w:lang w:val="es-CR" w:eastAsia="es-CR"/>
              </w:rPr>
            </w:pPr>
          </w:p>
          <w:p w14:paraId="65C4F0B4" w14:textId="77777777" w:rsidR="00F212FE" w:rsidRDefault="00F212FE" w:rsidP="0055381F">
            <w:pPr>
              <w:spacing w:line="240" w:lineRule="auto"/>
              <w:ind w:firstLine="0"/>
              <w:rPr>
                <w:rFonts w:ascii="Calibri" w:eastAsia="Times New Roman" w:hAnsi="Calibri" w:cs="Calibri"/>
                <w:color w:val="000000"/>
                <w:sz w:val="24"/>
                <w:lang w:val="es-CR" w:eastAsia="es-CR"/>
              </w:rPr>
            </w:pPr>
          </w:p>
          <w:p w14:paraId="4F530793" w14:textId="77777777" w:rsidR="00F212FE" w:rsidRDefault="00F212FE" w:rsidP="0055381F">
            <w:pPr>
              <w:spacing w:line="240" w:lineRule="auto"/>
              <w:ind w:firstLine="0"/>
              <w:rPr>
                <w:rFonts w:ascii="Calibri" w:eastAsia="Times New Roman" w:hAnsi="Calibri" w:cs="Calibri"/>
                <w:color w:val="000000"/>
                <w:sz w:val="24"/>
                <w:lang w:val="es-CR" w:eastAsia="es-CR"/>
              </w:rPr>
            </w:pPr>
          </w:p>
          <w:p w14:paraId="3F56789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bl>
            <w:tblPr>
              <w:tblW w:w="4800" w:type="dxa"/>
              <w:tblCellSpacing w:w="0" w:type="dxa"/>
              <w:shd w:val="clear" w:color="auto" w:fill="ED7D31" w:themeFill="accent2"/>
              <w:tblLayout w:type="fixed"/>
              <w:tblCellMar>
                <w:left w:w="0" w:type="dxa"/>
                <w:right w:w="0" w:type="dxa"/>
              </w:tblCellMar>
              <w:tblLook w:val="04A0" w:firstRow="1" w:lastRow="0" w:firstColumn="1" w:lastColumn="0" w:noHBand="0" w:noVBand="1"/>
            </w:tblPr>
            <w:tblGrid>
              <w:gridCol w:w="1600"/>
              <w:gridCol w:w="1600"/>
              <w:gridCol w:w="1600"/>
            </w:tblGrid>
            <w:tr w:rsidR="00F212FE" w:rsidRPr="00242EB4" w14:paraId="57E02EF1" w14:textId="77777777" w:rsidTr="0055381F">
              <w:trPr>
                <w:trHeight w:val="460"/>
                <w:tblCellSpacing w:w="0" w:type="dxa"/>
              </w:trPr>
              <w:tc>
                <w:tcPr>
                  <w:tcW w:w="1600" w:type="dxa"/>
                  <w:vMerge w:val="restart"/>
                  <w:shd w:val="clear" w:color="auto" w:fill="ED7D31" w:themeFill="accent2"/>
                  <w:vAlign w:val="center"/>
                  <w:hideMark/>
                </w:tcPr>
                <w:p w14:paraId="735DA2DB" w14:textId="77777777" w:rsidR="00F212FE" w:rsidRPr="00242EB4" w:rsidRDefault="00F212FE" w:rsidP="00217E41">
                  <w:pPr>
                    <w:framePr w:hSpace="141" w:wrap="around" w:vAnchor="page" w:hAnchor="margin" w:y="2981"/>
                    <w:spacing w:line="240" w:lineRule="auto"/>
                    <w:ind w:firstLine="0"/>
                    <w:rPr>
                      <w:rFonts w:ascii="Calibri" w:eastAsia="Times New Roman" w:hAnsi="Calibri" w:cs="Calibri"/>
                      <w:color w:val="E99226"/>
                      <w:sz w:val="24"/>
                      <w:lang w:val="es-CR" w:eastAsia="es-CR"/>
                    </w:rPr>
                  </w:pPr>
                </w:p>
              </w:tc>
              <w:tc>
                <w:tcPr>
                  <w:tcW w:w="1600" w:type="dxa"/>
                  <w:shd w:val="clear" w:color="auto" w:fill="ED7D31" w:themeFill="accent2"/>
                </w:tcPr>
                <w:p w14:paraId="6A3D8F83" w14:textId="77777777" w:rsidR="00F212FE" w:rsidRPr="00242EB4" w:rsidRDefault="00F212FE" w:rsidP="00217E41">
                  <w:pPr>
                    <w:framePr w:hSpace="141" w:wrap="around" w:vAnchor="page" w:hAnchor="margin" w:y="2981"/>
                    <w:spacing w:line="240" w:lineRule="auto"/>
                    <w:ind w:firstLine="0"/>
                    <w:rPr>
                      <w:rFonts w:ascii="Calibri" w:eastAsia="Times New Roman" w:hAnsi="Calibri" w:cs="Calibri"/>
                      <w:color w:val="E99226"/>
                      <w:sz w:val="24"/>
                      <w:lang w:val="es-CR" w:eastAsia="es-CR"/>
                    </w:rPr>
                  </w:pPr>
                </w:p>
              </w:tc>
              <w:tc>
                <w:tcPr>
                  <w:tcW w:w="1600" w:type="dxa"/>
                  <w:shd w:val="clear" w:color="auto" w:fill="ED7D31" w:themeFill="accent2"/>
                </w:tcPr>
                <w:p w14:paraId="56B77A6B" w14:textId="77777777" w:rsidR="00F212FE" w:rsidRPr="00242EB4" w:rsidRDefault="00F212FE" w:rsidP="00217E41">
                  <w:pPr>
                    <w:framePr w:hSpace="141" w:wrap="around" w:vAnchor="page" w:hAnchor="margin" w:y="2981"/>
                    <w:spacing w:line="240" w:lineRule="auto"/>
                    <w:ind w:firstLine="0"/>
                    <w:rPr>
                      <w:rFonts w:ascii="Calibri" w:eastAsia="Times New Roman" w:hAnsi="Calibri" w:cs="Calibri"/>
                      <w:color w:val="E99226"/>
                      <w:sz w:val="24"/>
                      <w:lang w:val="es-CR" w:eastAsia="es-CR"/>
                    </w:rPr>
                  </w:pPr>
                </w:p>
              </w:tc>
            </w:tr>
            <w:tr w:rsidR="00F212FE" w:rsidRPr="00242EB4" w14:paraId="16F3C9E0" w14:textId="77777777" w:rsidTr="0055381F">
              <w:trPr>
                <w:trHeight w:val="460"/>
                <w:tblCellSpacing w:w="0" w:type="dxa"/>
              </w:trPr>
              <w:tc>
                <w:tcPr>
                  <w:tcW w:w="1600" w:type="dxa"/>
                  <w:vMerge/>
                  <w:shd w:val="clear" w:color="auto" w:fill="ED7D31" w:themeFill="accent2"/>
                  <w:vAlign w:val="center"/>
                  <w:hideMark/>
                </w:tcPr>
                <w:p w14:paraId="4E75A5BF" w14:textId="77777777" w:rsidR="00F212FE" w:rsidRPr="00242EB4" w:rsidRDefault="00F212FE" w:rsidP="00217E41">
                  <w:pPr>
                    <w:framePr w:hSpace="141" w:wrap="around" w:vAnchor="page" w:hAnchor="margin" w:y="2981"/>
                    <w:spacing w:line="240" w:lineRule="auto"/>
                    <w:ind w:firstLine="0"/>
                    <w:rPr>
                      <w:rFonts w:ascii="Calibri" w:eastAsia="Times New Roman" w:hAnsi="Calibri" w:cs="Calibri"/>
                      <w:color w:val="E99226"/>
                      <w:sz w:val="24"/>
                      <w:lang w:val="es-CR" w:eastAsia="es-CR"/>
                    </w:rPr>
                  </w:pPr>
                </w:p>
              </w:tc>
              <w:tc>
                <w:tcPr>
                  <w:tcW w:w="1600" w:type="dxa"/>
                  <w:shd w:val="clear" w:color="auto" w:fill="ED7D31" w:themeFill="accent2"/>
                </w:tcPr>
                <w:p w14:paraId="12647432" w14:textId="77777777" w:rsidR="00F212FE" w:rsidRPr="00242EB4" w:rsidRDefault="00F212FE" w:rsidP="00217E41">
                  <w:pPr>
                    <w:framePr w:hSpace="141" w:wrap="around" w:vAnchor="page" w:hAnchor="margin" w:y="2981"/>
                    <w:spacing w:line="240" w:lineRule="auto"/>
                    <w:ind w:firstLine="0"/>
                    <w:rPr>
                      <w:rFonts w:ascii="Calibri" w:eastAsia="Times New Roman" w:hAnsi="Calibri" w:cs="Calibri"/>
                      <w:color w:val="E99226"/>
                      <w:sz w:val="24"/>
                      <w:lang w:val="es-CR" w:eastAsia="es-CR"/>
                    </w:rPr>
                  </w:pPr>
                </w:p>
              </w:tc>
              <w:tc>
                <w:tcPr>
                  <w:tcW w:w="1600" w:type="dxa"/>
                  <w:shd w:val="clear" w:color="auto" w:fill="ED7D31" w:themeFill="accent2"/>
                </w:tcPr>
                <w:p w14:paraId="32CA538B" w14:textId="77777777" w:rsidR="00F212FE" w:rsidRPr="00242EB4" w:rsidRDefault="00F212FE" w:rsidP="00217E41">
                  <w:pPr>
                    <w:framePr w:hSpace="141" w:wrap="around" w:vAnchor="page" w:hAnchor="margin" w:y="2981"/>
                    <w:spacing w:line="240" w:lineRule="auto"/>
                    <w:ind w:firstLine="0"/>
                    <w:rPr>
                      <w:rFonts w:ascii="Calibri" w:eastAsia="Times New Roman" w:hAnsi="Calibri" w:cs="Calibri"/>
                      <w:color w:val="E99226"/>
                      <w:sz w:val="24"/>
                      <w:lang w:val="es-CR" w:eastAsia="es-CR"/>
                    </w:rPr>
                  </w:pPr>
                </w:p>
              </w:tc>
            </w:tr>
          </w:tbl>
          <w:p w14:paraId="219449B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val="restart"/>
            <w:tcBorders>
              <w:top w:val="nil"/>
              <w:left w:val="nil"/>
              <w:bottom w:val="single" w:sz="4" w:space="0" w:color="auto"/>
              <w:right w:val="single" w:sz="4" w:space="0" w:color="auto"/>
            </w:tcBorders>
            <w:shd w:val="clear" w:color="000000" w:fill="F2F2F2"/>
            <w:vAlign w:val="center"/>
            <w:hideMark/>
          </w:tcPr>
          <w:p w14:paraId="50DC4220"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r w:rsidRPr="00242EB4">
              <w:rPr>
                <w:rFonts w:ascii="Calibri" w:eastAsia="Times New Roman" w:hAnsi="Calibri" w:cs="Calibri"/>
                <w:color w:val="000000"/>
                <w:sz w:val="18"/>
                <w:szCs w:val="18"/>
                <w:lang w:val="es-CR" w:eastAsia="es-CR"/>
              </w:rPr>
              <w:t>Salud y seguridad del proyecto es la práctica de crear condiciones de trabajo seguras para el personal involucrado en el proyecto. Implica la implementación de medidas como la evaluación de peligros, la gestión de riesgos, la capacitación, el cumplimiento y la investigación. Su objetivo principal es asegurar que los trabajadores no estén expuestos a riesgos innecesarios mientras realizan su trabajo</w:t>
            </w:r>
          </w:p>
        </w:tc>
        <w:tc>
          <w:tcPr>
            <w:tcW w:w="1701" w:type="dxa"/>
            <w:tcBorders>
              <w:top w:val="nil"/>
              <w:left w:val="nil"/>
              <w:bottom w:val="single" w:sz="4" w:space="0" w:color="auto"/>
              <w:right w:val="single" w:sz="4" w:space="0" w:color="auto"/>
            </w:tcBorders>
            <w:shd w:val="clear" w:color="000000" w:fill="F2F2F2"/>
            <w:noWrap/>
            <w:vAlign w:val="center"/>
            <w:hideMark/>
          </w:tcPr>
          <w:p w14:paraId="2CE1A742"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Vida Útil</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7DA5C7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3F19A0F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No existe una revisión estandarizada de los riesgos laborales según el tipo de proyecto ni se actualiza con base en cada nuevo diseño.</w:t>
            </w:r>
          </w:p>
        </w:tc>
        <w:tc>
          <w:tcPr>
            <w:tcW w:w="2506" w:type="dxa"/>
            <w:tcBorders>
              <w:top w:val="nil"/>
              <w:left w:val="nil"/>
              <w:bottom w:val="single" w:sz="4" w:space="0" w:color="auto"/>
              <w:right w:val="single" w:sz="4" w:space="0" w:color="auto"/>
            </w:tcBorders>
            <w:hideMark/>
          </w:tcPr>
          <w:p w14:paraId="553FE60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3151C9">
              <w:rPr>
                <w:rFonts w:ascii="Calibri" w:eastAsia="Times New Roman" w:hAnsi="Calibri" w:cs="Calibri"/>
                <w:color w:val="000000"/>
                <w:sz w:val="24"/>
                <w:lang w:eastAsia="es-CR"/>
              </w:rPr>
              <w:t>Los trabajadores pueden estar expuestos a riesgos imprevistos que afecten su salud y comprometan la continuidad de futuras obras.</w:t>
            </w:r>
          </w:p>
        </w:tc>
        <w:tc>
          <w:tcPr>
            <w:tcW w:w="1276" w:type="dxa"/>
            <w:tcBorders>
              <w:top w:val="nil"/>
              <w:left w:val="nil"/>
              <w:bottom w:val="single" w:sz="4" w:space="0" w:color="auto"/>
              <w:right w:val="single" w:sz="4" w:space="0" w:color="auto"/>
            </w:tcBorders>
            <w:noWrap/>
            <w:vAlign w:val="center"/>
            <w:hideMark/>
          </w:tcPr>
          <w:p w14:paraId="0F67DE3B"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1EC52872"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Implementar una matriz de riesgos adaptada al diseño desde la fase de planificación.</w:t>
            </w:r>
          </w:p>
        </w:tc>
        <w:tc>
          <w:tcPr>
            <w:tcW w:w="966" w:type="dxa"/>
            <w:tcBorders>
              <w:top w:val="nil"/>
              <w:left w:val="nil"/>
              <w:bottom w:val="single" w:sz="4" w:space="0" w:color="auto"/>
              <w:right w:val="single" w:sz="4" w:space="0" w:color="auto"/>
            </w:tcBorders>
            <w:noWrap/>
            <w:vAlign w:val="center"/>
            <w:hideMark/>
          </w:tcPr>
          <w:p w14:paraId="0CAD5AEF"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71863B2B"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4598D13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Se redujo la exposición a riesgos no evaluados, mejorando la seguridad y la vida útil del personal.</w:t>
            </w:r>
          </w:p>
        </w:tc>
      </w:tr>
      <w:tr w:rsidR="00F212FE" w:rsidRPr="00242EB4" w14:paraId="4797136A" w14:textId="77777777" w:rsidTr="0055381F">
        <w:trPr>
          <w:gridAfter w:val="1"/>
          <w:wAfter w:w="118" w:type="dxa"/>
          <w:trHeight w:val="1860"/>
        </w:trPr>
        <w:tc>
          <w:tcPr>
            <w:tcW w:w="2076" w:type="dxa"/>
            <w:vMerge/>
            <w:shd w:val="clear" w:color="auto" w:fill="ED7D31" w:themeFill="accent2"/>
            <w:vAlign w:val="center"/>
            <w:hideMark/>
          </w:tcPr>
          <w:p w14:paraId="1C12B02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nil"/>
              <w:bottom w:val="single" w:sz="4" w:space="0" w:color="auto"/>
              <w:right w:val="single" w:sz="4" w:space="0" w:color="auto"/>
            </w:tcBorders>
            <w:vAlign w:val="center"/>
            <w:hideMark/>
          </w:tcPr>
          <w:p w14:paraId="13FCB771"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6116136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Mantenimiento</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6F3872D"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67958FA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La señalización de seguridad, medidas de protección y controles de acceso no siempre se implementan de manera uniforme en todos los proyectos.</w:t>
            </w:r>
          </w:p>
        </w:tc>
        <w:tc>
          <w:tcPr>
            <w:tcW w:w="2506" w:type="dxa"/>
            <w:tcBorders>
              <w:top w:val="nil"/>
              <w:left w:val="nil"/>
              <w:bottom w:val="single" w:sz="4" w:space="0" w:color="auto"/>
              <w:right w:val="single" w:sz="4" w:space="0" w:color="auto"/>
            </w:tcBorders>
            <w:hideMark/>
          </w:tcPr>
          <w:p w14:paraId="6FB3FBD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3151C9">
              <w:rPr>
                <w:rFonts w:ascii="Calibri" w:eastAsia="Times New Roman" w:hAnsi="Calibri" w:cs="Calibri"/>
                <w:color w:val="000000"/>
                <w:sz w:val="24"/>
                <w:lang w:eastAsia="es-CR"/>
              </w:rPr>
              <w:t>Las condiciones de seguridad pueden variar, afectando la consistencia y mantenimiento del entorno de trabajo seguro.</w:t>
            </w:r>
          </w:p>
        </w:tc>
        <w:tc>
          <w:tcPr>
            <w:tcW w:w="1276" w:type="dxa"/>
            <w:tcBorders>
              <w:top w:val="nil"/>
              <w:left w:val="nil"/>
              <w:bottom w:val="single" w:sz="4" w:space="0" w:color="auto"/>
              <w:right w:val="single" w:sz="4" w:space="0" w:color="auto"/>
            </w:tcBorders>
            <w:noWrap/>
            <w:vAlign w:val="center"/>
            <w:hideMark/>
          </w:tcPr>
          <w:p w14:paraId="66D22819"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2977" w:type="dxa"/>
            <w:tcBorders>
              <w:top w:val="nil"/>
              <w:left w:val="nil"/>
              <w:bottom w:val="single" w:sz="4" w:space="0" w:color="auto"/>
              <w:right w:val="single" w:sz="4" w:space="0" w:color="auto"/>
            </w:tcBorders>
            <w:hideMark/>
          </w:tcPr>
          <w:p w14:paraId="2759269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Establecer un checklist de seguridad estándar y obligatorio para todos los proyectos.</w:t>
            </w:r>
          </w:p>
        </w:tc>
        <w:tc>
          <w:tcPr>
            <w:tcW w:w="966" w:type="dxa"/>
            <w:tcBorders>
              <w:top w:val="nil"/>
              <w:left w:val="nil"/>
              <w:bottom w:val="single" w:sz="4" w:space="0" w:color="auto"/>
              <w:right w:val="single" w:sz="4" w:space="0" w:color="auto"/>
            </w:tcBorders>
            <w:noWrap/>
            <w:vAlign w:val="center"/>
            <w:hideMark/>
          </w:tcPr>
          <w:p w14:paraId="222B4594"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5</w:t>
            </w:r>
          </w:p>
        </w:tc>
        <w:tc>
          <w:tcPr>
            <w:tcW w:w="992" w:type="dxa"/>
            <w:tcBorders>
              <w:top w:val="nil"/>
              <w:left w:val="nil"/>
              <w:bottom w:val="single" w:sz="4" w:space="0" w:color="auto"/>
              <w:right w:val="single" w:sz="4" w:space="0" w:color="auto"/>
            </w:tcBorders>
            <w:noWrap/>
            <w:vAlign w:val="center"/>
            <w:hideMark/>
          </w:tcPr>
          <w:p w14:paraId="711911DC"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69CF0F9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Se mejoró la consistencia de las medidas de seguridad en todos los proyectos.</w:t>
            </w:r>
          </w:p>
        </w:tc>
      </w:tr>
      <w:tr w:rsidR="00F212FE" w:rsidRPr="00242EB4" w14:paraId="29F0AFB6" w14:textId="77777777" w:rsidTr="0055381F">
        <w:trPr>
          <w:gridAfter w:val="1"/>
          <w:wAfter w:w="118" w:type="dxa"/>
          <w:trHeight w:val="1860"/>
        </w:trPr>
        <w:tc>
          <w:tcPr>
            <w:tcW w:w="2076" w:type="dxa"/>
            <w:vMerge/>
            <w:shd w:val="clear" w:color="auto" w:fill="ED7D31" w:themeFill="accent2"/>
            <w:vAlign w:val="center"/>
            <w:hideMark/>
          </w:tcPr>
          <w:p w14:paraId="09D09C62"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nil"/>
              <w:bottom w:val="single" w:sz="4" w:space="0" w:color="auto"/>
              <w:right w:val="single" w:sz="4" w:space="0" w:color="auto"/>
            </w:tcBorders>
            <w:vAlign w:val="center"/>
            <w:hideMark/>
          </w:tcPr>
          <w:p w14:paraId="230C0B09"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20100AE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Eficacia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27FD17C"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1C943C0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No todos los colaboradores reciben capacitación en gestión de riesgos o uso correcto de equipos de protección al inicio del proyecto.</w:t>
            </w:r>
          </w:p>
        </w:tc>
        <w:tc>
          <w:tcPr>
            <w:tcW w:w="2506" w:type="dxa"/>
            <w:tcBorders>
              <w:top w:val="nil"/>
              <w:left w:val="nil"/>
              <w:bottom w:val="single" w:sz="4" w:space="0" w:color="auto"/>
              <w:right w:val="single" w:sz="4" w:space="0" w:color="auto"/>
            </w:tcBorders>
            <w:hideMark/>
          </w:tcPr>
          <w:p w14:paraId="7DD03C1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3151C9">
              <w:rPr>
                <w:rFonts w:ascii="Calibri" w:eastAsia="Times New Roman" w:hAnsi="Calibri" w:cs="Calibri"/>
                <w:color w:val="000000"/>
                <w:sz w:val="24"/>
                <w:lang w:eastAsia="es-CR"/>
              </w:rPr>
              <w:t>La falta de conocimiento puede llevar a errores, accidentes o mal uso de herramientas en el sitio de trabajo.</w:t>
            </w:r>
          </w:p>
        </w:tc>
        <w:tc>
          <w:tcPr>
            <w:tcW w:w="1276" w:type="dxa"/>
            <w:tcBorders>
              <w:top w:val="nil"/>
              <w:left w:val="nil"/>
              <w:bottom w:val="single" w:sz="4" w:space="0" w:color="auto"/>
              <w:right w:val="single" w:sz="4" w:space="0" w:color="auto"/>
            </w:tcBorders>
            <w:noWrap/>
            <w:vAlign w:val="center"/>
            <w:hideMark/>
          </w:tcPr>
          <w:p w14:paraId="389E7D9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334438D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Incluir una capacitación obligatoria en salud y seguridad al iniciar cada proyecto.</w:t>
            </w:r>
          </w:p>
        </w:tc>
        <w:tc>
          <w:tcPr>
            <w:tcW w:w="966" w:type="dxa"/>
            <w:tcBorders>
              <w:top w:val="nil"/>
              <w:left w:val="nil"/>
              <w:bottom w:val="single" w:sz="4" w:space="0" w:color="auto"/>
              <w:right w:val="single" w:sz="4" w:space="0" w:color="auto"/>
            </w:tcBorders>
            <w:noWrap/>
            <w:vAlign w:val="center"/>
            <w:hideMark/>
          </w:tcPr>
          <w:p w14:paraId="5B461C3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5</w:t>
            </w:r>
          </w:p>
        </w:tc>
        <w:tc>
          <w:tcPr>
            <w:tcW w:w="992" w:type="dxa"/>
            <w:tcBorders>
              <w:top w:val="nil"/>
              <w:left w:val="nil"/>
              <w:bottom w:val="single" w:sz="4" w:space="0" w:color="auto"/>
              <w:right w:val="single" w:sz="4" w:space="0" w:color="auto"/>
            </w:tcBorders>
            <w:noWrap/>
            <w:vAlign w:val="center"/>
            <w:hideMark/>
          </w:tcPr>
          <w:p w14:paraId="2BB4A6EC"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3520" w:type="dxa"/>
            <w:tcBorders>
              <w:top w:val="nil"/>
              <w:left w:val="nil"/>
              <w:bottom w:val="single" w:sz="4" w:space="0" w:color="auto"/>
              <w:right w:val="single" w:sz="4" w:space="0" w:color="auto"/>
            </w:tcBorders>
            <w:hideMark/>
          </w:tcPr>
          <w:p w14:paraId="4C746FC5"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Mayor conciencia del equipo sobre su seguridad y correcta ejecución de tareas.</w:t>
            </w:r>
          </w:p>
        </w:tc>
      </w:tr>
      <w:tr w:rsidR="00F212FE" w:rsidRPr="00242EB4" w14:paraId="6A2B4784" w14:textId="77777777" w:rsidTr="0055381F">
        <w:trPr>
          <w:gridAfter w:val="1"/>
          <w:wAfter w:w="118" w:type="dxa"/>
          <w:trHeight w:val="1550"/>
        </w:trPr>
        <w:tc>
          <w:tcPr>
            <w:tcW w:w="2076" w:type="dxa"/>
            <w:vMerge/>
            <w:shd w:val="clear" w:color="auto" w:fill="ED7D31" w:themeFill="accent2"/>
            <w:vAlign w:val="center"/>
            <w:hideMark/>
          </w:tcPr>
          <w:p w14:paraId="1191961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nil"/>
              <w:bottom w:val="single" w:sz="4" w:space="0" w:color="auto"/>
              <w:right w:val="single" w:sz="4" w:space="0" w:color="auto"/>
            </w:tcBorders>
            <w:vAlign w:val="center"/>
            <w:hideMark/>
          </w:tcPr>
          <w:p w14:paraId="19388478"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283EB055"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Eficiencia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7FF845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708416A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La respuesta ante incidentes no está sistematizada; se reacciona sin protocolos claros, lo que genera retrasos o improvisaciones.</w:t>
            </w:r>
          </w:p>
        </w:tc>
        <w:tc>
          <w:tcPr>
            <w:tcW w:w="2506" w:type="dxa"/>
            <w:tcBorders>
              <w:top w:val="nil"/>
              <w:left w:val="nil"/>
              <w:bottom w:val="single" w:sz="4" w:space="0" w:color="auto"/>
              <w:right w:val="single" w:sz="4" w:space="0" w:color="auto"/>
            </w:tcBorders>
            <w:hideMark/>
          </w:tcPr>
          <w:p w14:paraId="1665EED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3151C9">
              <w:rPr>
                <w:rFonts w:ascii="Calibri" w:eastAsia="Times New Roman" w:hAnsi="Calibri" w:cs="Calibri"/>
                <w:color w:val="000000"/>
                <w:sz w:val="24"/>
                <w:lang w:eastAsia="es-CR"/>
              </w:rPr>
              <w:t>Esto incrementa el tiempo de respuesta ante emergencias y puede comprometer los plazos de ejecución del proyecto.</w:t>
            </w:r>
          </w:p>
        </w:tc>
        <w:tc>
          <w:tcPr>
            <w:tcW w:w="1276" w:type="dxa"/>
            <w:tcBorders>
              <w:top w:val="nil"/>
              <w:left w:val="nil"/>
              <w:bottom w:val="single" w:sz="4" w:space="0" w:color="auto"/>
              <w:right w:val="single" w:sz="4" w:space="0" w:color="auto"/>
            </w:tcBorders>
            <w:noWrap/>
            <w:vAlign w:val="center"/>
            <w:hideMark/>
          </w:tcPr>
          <w:p w14:paraId="5F8896C7"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2977" w:type="dxa"/>
            <w:tcBorders>
              <w:top w:val="nil"/>
              <w:left w:val="nil"/>
              <w:bottom w:val="single" w:sz="4" w:space="0" w:color="auto"/>
              <w:right w:val="single" w:sz="4" w:space="0" w:color="auto"/>
            </w:tcBorders>
            <w:hideMark/>
          </w:tcPr>
          <w:p w14:paraId="160D46F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Diseñar un protocolo de respuesta rápida ante emergencias y capacitar al personal en su aplicación.</w:t>
            </w:r>
          </w:p>
        </w:tc>
        <w:tc>
          <w:tcPr>
            <w:tcW w:w="966" w:type="dxa"/>
            <w:tcBorders>
              <w:top w:val="nil"/>
              <w:left w:val="nil"/>
              <w:bottom w:val="single" w:sz="4" w:space="0" w:color="auto"/>
              <w:right w:val="single" w:sz="4" w:space="0" w:color="auto"/>
            </w:tcBorders>
            <w:noWrap/>
            <w:vAlign w:val="center"/>
            <w:hideMark/>
          </w:tcPr>
          <w:p w14:paraId="1668DA3C"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4F88FB79"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55243C5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La gestión de incidentes se volvió más rápida y ordenada.</w:t>
            </w:r>
          </w:p>
        </w:tc>
      </w:tr>
      <w:tr w:rsidR="00F212FE" w:rsidRPr="00242EB4" w14:paraId="05A16C06" w14:textId="77777777" w:rsidTr="0055381F">
        <w:trPr>
          <w:gridAfter w:val="1"/>
          <w:wAfter w:w="118" w:type="dxa"/>
          <w:trHeight w:val="310"/>
        </w:trPr>
        <w:tc>
          <w:tcPr>
            <w:tcW w:w="2076" w:type="dxa"/>
            <w:vMerge/>
            <w:shd w:val="clear" w:color="auto" w:fill="ED7D31" w:themeFill="accent2"/>
            <w:vAlign w:val="center"/>
            <w:hideMark/>
          </w:tcPr>
          <w:p w14:paraId="19638D7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nil"/>
              <w:bottom w:val="single" w:sz="4" w:space="0" w:color="auto"/>
              <w:right w:val="single" w:sz="4" w:space="0" w:color="auto"/>
            </w:tcBorders>
            <w:vAlign w:val="center"/>
            <w:hideMark/>
          </w:tcPr>
          <w:p w14:paraId="1B36C109"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1E982F9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Imparcialidad</w:t>
            </w:r>
          </w:p>
        </w:tc>
        <w:tc>
          <w:tcPr>
            <w:tcW w:w="86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F668BF8"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No</w:t>
            </w:r>
          </w:p>
        </w:tc>
        <w:tc>
          <w:tcPr>
            <w:tcW w:w="2897" w:type="dxa"/>
            <w:tcBorders>
              <w:top w:val="single" w:sz="4" w:space="0" w:color="auto"/>
              <w:left w:val="single" w:sz="4" w:space="0" w:color="auto"/>
              <w:bottom w:val="single" w:sz="4" w:space="0" w:color="auto"/>
              <w:right w:val="single" w:sz="4" w:space="0" w:color="auto"/>
            </w:tcBorders>
            <w:shd w:val="clear" w:color="000000" w:fill="BFBFBF"/>
            <w:hideMark/>
          </w:tcPr>
          <w:p w14:paraId="2C149A5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2506" w:type="dxa"/>
            <w:tcBorders>
              <w:top w:val="single" w:sz="4" w:space="0" w:color="auto"/>
              <w:left w:val="single" w:sz="4" w:space="0" w:color="auto"/>
              <w:bottom w:val="single" w:sz="4" w:space="0" w:color="auto"/>
              <w:right w:val="single" w:sz="4" w:space="0" w:color="auto"/>
            </w:tcBorders>
            <w:shd w:val="clear" w:color="000000" w:fill="BFBFBF"/>
            <w:hideMark/>
          </w:tcPr>
          <w:p w14:paraId="2D70B42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127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7BBDB69"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2977" w:type="dxa"/>
            <w:tcBorders>
              <w:top w:val="single" w:sz="4" w:space="0" w:color="auto"/>
              <w:left w:val="single" w:sz="4" w:space="0" w:color="auto"/>
              <w:bottom w:val="single" w:sz="4" w:space="0" w:color="auto"/>
              <w:right w:val="single" w:sz="4" w:space="0" w:color="auto"/>
            </w:tcBorders>
            <w:shd w:val="clear" w:color="000000" w:fill="BFBFBF"/>
            <w:hideMark/>
          </w:tcPr>
          <w:p w14:paraId="5CDD418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9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F27D7F2"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99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6943B14"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0</w:t>
            </w:r>
          </w:p>
        </w:tc>
        <w:tc>
          <w:tcPr>
            <w:tcW w:w="3520" w:type="dxa"/>
            <w:tcBorders>
              <w:top w:val="single" w:sz="4" w:space="0" w:color="auto"/>
              <w:left w:val="single" w:sz="4" w:space="0" w:color="auto"/>
              <w:bottom w:val="single" w:sz="4" w:space="0" w:color="auto"/>
              <w:right w:val="single" w:sz="4" w:space="0" w:color="auto"/>
            </w:tcBorders>
            <w:shd w:val="clear" w:color="000000" w:fill="BFBFBF"/>
            <w:hideMark/>
          </w:tcPr>
          <w:p w14:paraId="1FAB31C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r>
      <w:tr w:rsidR="00F212FE" w:rsidRPr="00242EB4" w14:paraId="0FD73B9D" w14:textId="77777777" w:rsidTr="0055381F">
        <w:trPr>
          <w:gridAfter w:val="1"/>
          <w:wAfter w:w="118" w:type="dxa"/>
          <w:trHeight w:val="1550"/>
        </w:trPr>
        <w:tc>
          <w:tcPr>
            <w:tcW w:w="2076" w:type="dxa"/>
            <w:vMerge w:val="restart"/>
            <w:tcBorders>
              <w:left w:val="single" w:sz="4" w:space="0" w:color="auto"/>
              <w:bottom w:val="single" w:sz="4" w:space="0" w:color="auto"/>
              <w:right w:val="nil"/>
            </w:tcBorders>
            <w:shd w:val="clear" w:color="auto" w:fill="ED7D31" w:themeFill="accent2"/>
            <w:noWrap/>
            <w:vAlign w:val="bottom"/>
            <w:hideMark/>
          </w:tcPr>
          <w:p w14:paraId="1CB9D5A8" w14:textId="77777777" w:rsidR="00F212FE"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noProof/>
                <w:color w:val="000000"/>
                <w:sz w:val="24"/>
                <w:lang w:val="es-CR" w:eastAsia="es-CR"/>
              </w:rPr>
              <w:lastRenderedPageBreak/>
              <w:drawing>
                <wp:anchor distT="0" distB="0" distL="114300" distR="114300" simplePos="0" relativeHeight="251662336" behindDoc="0" locked="0" layoutInCell="1" allowOverlap="1" wp14:anchorId="60BB889A" wp14:editId="15746167">
                  <wp:simplePos x="0" y="0"/>
                  <wp:positionH relativeFrom="column">
                    <wp:posOffset>229870</wp:posOffset>
                  </wp:positionH>
                  <wp:positionV relativeFrom="paragraph">
                    <wp:posOffset>-2780030</wp:posOffset>
                  </wp:positionV>
                  <wp:extent cx="914400" cy="946150"/>
                  <wp:effectExtent l="0" t="0" r="0" b="6350"/>
                  <wp:wrapNone/>
                  <wp:docPr id="8" name="Imagen 21">
                    <a:extLst xmlns:a="http://schemas.openxmlformats.org/drawingml/2006/main">
                      <a:ext uri="{FF2B5EF4-FFF2-40B4-BE49-F238E27FC236}">
                        <a16:creationId xmlns:a16="http://schemas.microsoft.com/office/drawing/2014/main" id="{00000000-0008-0000-0300-000008000000}"/>
                      </a:ext>
                    </a:extLst>
                  </wp:docPr>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00000000-0008-0000-0300-000008000000}"/>
                              </a:ext>
                            </a:extLst>
                          </pic:cNvPr>
                          <pic:cNvPicPr>
                            <a:picLocks noChangeAspect="1"/>
                          </pic:cNvPicPr>
                        </pic:nvPicPr>
                        <pic:blipFill>
                          <a:blip r:embed="rId28"/>
                          <a:stretch>
                            <a:fillRect/>
                          </a:stretch>
                        </pic:blipFill>
                        <pic:spPr>
                          <a:xfrm>
                            <a:off x="0" y="0"/>
                            <a:ext cx="914400" cy="946150"/>
                          </a:xfrm>
                          <a:prstGeom prst="rect">
                            <a:avLst/>
                          </a:prstGeom>
                        </pic:spPr>
                      </pic:pic>
                    </a:graphicData>
                  </a:graphic>
                  <wp14:sizeRelH relativeFrom="page">
                    <wp14:pctWidth>0</wp14:pctWidth>
                  </wp14:sizeRelH>
                  <wp14:sizeRelV relativeFrom="page">
                    <wp14:pctHeight>0</wp14:pctHeight>
                  </wp14:sizeRelV>
                </wp:anchor>
              </w:drawing>
            </w:r>
          </w:p>
          <w:p w14:paraId="20465FB5" w14:textId="77777777" w:rsidR="00F212FE" w:rsidRDefault="00F212FE" w:rsidP="0055381F">
            <w:pPr>
              <w:spacing w:line="240" w:lineRule="auto"/>
              <w:ind w:firstLine="0"/>
              <w:rPr>
                <w:rFonts w:ascii="Calibri" w:eastAsia="Times New Roman" w:hAnsi="Calibri" w:cs="Calibri"/>
                <w:color w:val="000000"/>
                <w:sz w:val="24"/>
                <w:lang w:val="es-CR" w:eastAsia="es-CR"/>
              </w:rPr>
            </w:pPr>
          </w:p>
          <w:p w14:paraId="46D255C8" w14:textId="77777777" w:rsidR="00F212FE" w:rsidRDefault="00F212FE" w:rsidP="0055381F">
            <w:pPr>
              <w:spacing w:line="240" w:lineRule="auto"/>
              <w:ind w:firstLine="0"/>
              <w:rPr>
                <w:rFonts w:ascii="Calibri" w:eastAsia="Times New Roman" w:hAnsi="Calibri" w:cs="Calibri"/>
                <w:color w:val="000000"/>
                <w:sz w:val="24"/>
                <w:lang w:val="es-CR" w:eastAsia="es-CR"/>
              </w:rPr>
            </w:pPr>
          </w:p>
          <w:p w14:paraId="0E31A7E2"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p w14:paraId="220254D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val="restart"/>
            <w:tcBorders>
              <w:top w:val="nil"/>
              <w:left w:val="single" w:sz="4" w:space="0" w:color="auto"/>
              <w:bottom w:val="single" w:sz="4" w:space="0" w:color="auto"/>
              <w:right w:val="single" w:sz="4" w:space="0" w:color="auto"/>
            </w:tcBorders>
            <w:shd w:val="clear" w:color="000000" w:fill="F2F2F2"/>
            <w:vAlign w:val="center"/>
            <w:hideMark/>
          </w:tcPr>
          <w:p w14:paraId="4E7E2189"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r w:rsidRPr="00242EB4">
              <w:rPr>
                <w:rFonts w:ascii="Calibri" w:eastAsia="Times New Roman" w:hAnsi="Calibri" w:cs="Calibri"/>
                <w:color w:val="000000"/>
                <w:sz w:val="18"/>
                <w:szCs w:val="18"/>
                <w:lang w:val="es-CR" w:eastAsia="es-CR"/>
              </w:rPr>
              <w:t>La capacitación y calificación es el proceso de asegurar que los miembros del equipo de proyecto tengan las habilidades necesarias para completar su trabajo de manera eficaz. Implica proporcionar instrucción, evaluar la competencia, monitorear el desempeño y ofrecer orientación</w:t>
            </w:r>
          </w:p>
        </w:tc>
        <w:tc>
          <w:tcPr>
            <w:tcW w:w="1701" w:type="dxa"/>
            <w:tcBorders>
              <w:top w:val="nil"/>
              <w:left w:val="nil"/>
              <w:bottom w:val="single" w:sz="4" w:space="0" w:color="auto"/>
              <w:right w:val="single" w:sz="4" w:space="0" w:color="auto"/>
            </w:tcBorders>
            <w:shd w:val="clear" w:color="000000" w:fill="F2F2F2"/>
            <w:noWrap/>
            <w:vAlign w:val="center"/>
            <w:hideMark/>
          </w:tcPr>
          <w:p w14:paraId="57D965A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Vida Útil</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A1D8C30"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6A97E31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No hay un programa continuo de capacitación técnica para nuevas herramientas como BIM, Lean o plataformas de planificación como Asana.</w:t>
            </w:r>
          </w:p>
        </w:tc>
        <w:tc>
          <w:tcPr>
            <w:tcW w:w="2506" w:type="dxa"/>
            <w:tcBorders>
              <w:top w:val="nil"/>
              <w:left w:val="nil"/>
              <w:bottom w:val="single" w:sz="4" w:space="0" w:color="auto"/>
              <w:right w:val="single" w:sz="4" w:space="0" w:color="auto"/>
            </w:tcBorders>
            <w:hideMark/>
          </w:tcPr>
          <w:p w14:paraId="5FEF67B5"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3151C9">
              <w:rPr>
                <w:rFonts w:ascii="Calibri" w:eastAsia="Times New Roman" w:hAnsi="Calibri" w:cs="Calibri"/>
                <w:color w:val="000000"/>
                <w:sz w:val="24"/>
                <w:lang w:eastAsia="es-CR"/>
              </w:rPr>
              <w:t>El equipo no se actualiza y se vuelve dependiente de personal específico, afectando la continuidad de los proyectos.</w:t>
            </w:r>
          </w:p>
        </w:tc>
        <w:tc>
          <w:tcPr>
            <w:tcW w:w="1276" w:type="dxa"/>
            <w:tcBorders>
              <w:top w:val="nil"/>
              <w:left w:val="nil"/>
              <w:bottom w:val="single" w:sz="4" w:space="0" w:color="auto"/>
              <w:right w:val="single" w:sz="4" w:space="0" w:color="auto"/>
            </w:tcBorders>
            <w:noWrap/>
            <w:vAlign w:val="center"/>
            <w:hideMark/>
          </w:tcPr>
          <w:p w14:paraId="7E6A64BD"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52A7ACA2"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Crear un programa de formación continua con actualizaciones tecnológicas cada 6 meses.</w:t>
            </w:r>
          </w:p>
        </w:tc>
        <w:tc>
          <w:tcPr>
            <w:tcW w:w="966" w:type="dxa"/>
            <w:tcBorders>
              <w:top w:val="nil"/>
              <w:left w:val="nil"/>
              <w:bottom w:val="single" w:sz="4" w:space="0" w:color="auto"/>
              <w:right w:val="single" w:sz="4" w:space="0" w:color="auto"/>
            </w:tcBorders>
            <w:noWrap/>
            <w:vAlign w:val="center"/>
            <w:hideMark/>
          </w:tcPr>
          <w:p w14:paraId="05969401"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7CB892F9"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4FEB458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Se fortaleció el conocimiento del equipo y su adaptabilidad en futuros proyectos.</w:t>
            </w:r>
          </w:p>
        </w:tc>
      </w:tr>
      <w:tr w:rsidR="00F212FE" w:rsidRPr="00242EB4" w14:paraId="39F3647A" w14:textId="77777777" w:rsidTr="0055381F">
        <w:trPr>
          <w:gridAfter w:val="1"/>
          <w:wAfter w:w="118" w:type="dxa"/>
          <w:trHeight w:val="124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4F16BB45"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361B199D"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48B263D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Mantenimiento</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EAC2336"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2CCFCA1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La capacitación inicial es informal y varía según el líder del proyecto, sin un estándar común en la empresa.</w:t>
            </w:r>
          </w:p>
        </w:tc>
        <w:tc>
          <w:tcPr>
            <w:tcW w:w="2506" w:type="dxa"/>
            <w:tcBorders>
              <w:top w:val="nil"/>
              <w:left w:val="nil"/>
              <w:bottom w:val="single" w:sz="4" w:space="0" w:color="auto"/>
              <w:right w:val="single" w:sz="4" w:space="0" w:color="auto"/>
            </w:tcBorders>
            <w:hideMark/>
          </w:tcPr>
          <w:p w14:paraId="3A89081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3151C9">
              <w:rPr>
                <w:rFonts w:ascii="Calibri" w:eastAsia="Times New Roman" w:hAnsi="Calibri" w:cs="Calibri"/>
                <w:color w:val="000000"/>
                <w:sz w:val="24"/>
                <w:lang w:eastAsia="es-CR"/>
              </w:rPr>
              <w:t>Se pierde conocimiento institucional y hay inconsistencias en el desempeño del equipo.</w:t>
            </w:r>
          </w:p>
        </w:tc>
        <w:tc>
          <w:tcPr>
            <w:tcW w:w="1276" w:type="dxa"/>
            <w:tcBorders>
              <w:top w:val="nil"/>
              <w:left w:val="nil"/>
              <w:bottom w:val="single" w:sz="4" w:space="0" w:color="auto"/>
              <w:right w:val="single" w:sz="4" w:space="0" w:color="auto"/>
            </w:tcBorders>
            <w:noWrap/>
            <w:vAlign w:val="center"/>
            <w:hideMark/>
          </w:tcPr>
          <w:p w14:paraId="3608EAA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2977" w:type="dxa"/>
            <w:tcBorders>
              <w:top w:val="nil"/>
              <w:left w:val="nil"/>
              <w:bottom w:val="single" w:sz="4" w:space="0" w:color="auto"/>
              <w:right w:val="single" w:sz="4" w:space="0" w:color="auto"/>
            </w:tcBorders>
            <w:hideMark/>
          </w:tcPr>
          <w:p w14:paraId="0F1E98E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Establecer módulos de capacitación base obligatorios para todo nuevo ingreso y reforzarlos anualmente.</w:t>
            </w:r>
          </w:p>
        </w:tc>
        <w:tc>
          <w:tcPr>
            <w:tcW w:w="966" w:type="dxa"/>
            <w:tcBorders>
              <w:top w:val="nil"/>
              <w:left w:val="nil"/>
              <w:bottom w:val="single" w:sz="4" w:space="0" w:color="auto"/>
              <w:right w:val="single" w:sz="4" w:space="0" w:color="auto"/>
            </w:tcBorders>
            <w:noWrap/>
            <w:vAlign w:val="center"/>
            <w:hideMark/>
          </w:tcPr>
          <w:p w14:paraId="23DDA5E6"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5</w:t>
            </w:r>
          </w:p>
        </w:tc>
        <w:tc>
          <w:tcPr>
            <w:tcW w:w="992" w:type="dxa"/>
            <w:tcBorders>
              <w:top w:val="nil"/>
              <w:left w:val="nil"/>
              <w:bottom w:val="single" w:sz="4" w:space="0" w:color="auto"/>
              <w:right w:val="single" w:sz="4" w:space="0" w:color="auto"/>
            </w:tcBorders>
            <w:noWrap/>
            <w:vAlign w:val="center"/>
            <w:hideMark/>
          </w:tcPr>
          <w:p w14:paraId="09322E51"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65279105"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Se estandarizó el conocimiento mínimo esperado en cada rol.</w:t>
            </w:r>
          </w:p>
        </w:tc>
      </w:tr>
      <w:tr w:rsidR="00F212FE" w:rsidRPr="00242EB4" w14:paraId="09E52ACF" w14:textId="77777777" w:rsidTr="0055381F">
        <w:trPr>
          <w:gridAfter w:val="1"/>
          <w:wAfter w:w="118" w:type="dxa"/>
          <w:trHeight w:val="155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4962793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61D1AF43"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443D8D95"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Eficacia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86D6AB8"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68A3C34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No se hace seguimiento posterior a las capacitaciones para validar si los conocimientos están siendo aplicados correctamente.</w:t>
            </w:r>
          </w:p>
        </w:tc>
        <w:tc>
          <w:tcPr>
            <w:tcW w:w="2506" w:type="dxa"/>
            <w:tcBorders>
              <w:top w:val="nil"/>
              <w:left w:val="nil"/>
              <w:bottom w:val="single" w:sz="4" w:space="0" w:color="auto"/>
              <w:right w:val="single" w:sz="4" w:space="0" w:color="auto"/>
            </w:tcBorders>
            <w:hideMark/>
          </w:tcPr>
          <w:p w14:paraId="6D882C2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3151C9">
              <w:rPr>
                <w:rFonts w:ascii="Calibri" w:eastAsia="Times New Roman" w:hAnsi="Calibri" w:cs="Calibri"/>
                <w:color w:val="000000"/>
                <w:sz w:val="24"/>
                <w:lang w:eastAsia="es-CR"/>
              </w:rPr>
              <w:t>El aprendizaje puede no traducirse en mejoras reales en el desempeño del proyecto.</w:t>
            </w:r>
          </w:p>
        </w:tc>
        <w:tc>
          <w:tcPr>
            <w:tcW w:w="1276" w:type="dxa"/>
            <w:tcBorders>
              <w:top w:val="nil"/>
              <w:left w:val="nil"/>
              <w:bottom w:val="single" w:sz="4" w:space="0" w:color="auto"/>
              <w:right w:val="single" w:sz="4" w:space="0" w:color="auto"/>
            </w:tcBorders>
            <w:noWrap/>
            <w:vAlign w:val="center"/>
            <w:hideMark/>
          </w:tcPr>
          <w:p w14:paraId="1C11A896"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2977" w:type="dxa"/>
            <w:tcBorders>
              <w:top w:val="nil"/>
              <w:left w:val="nil"/>
              <w:bottom w:val="single" w:sz="4" w:space="0" w:color="auto"/>
              <w:right w:val="single" w:sz="4" w:space="0" w:color="auto"/>
            </w:tcBorders>
            <w:hideMark/>
          </w:tcPr>
          <w:p w14:paraId="6C7D37C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Incluir evaluaciones prácticas post-capacitación y seguimiento en las primeras 4 semanas.</w:t>
            </w:r>
          </w:p>
        </w:tc>
        <w:tc>
          <w:tcPr>
            <w:tcW w:w="966" w:type="dxa"/>
            <w:tcBorders>
              <w:top w:val="nil"/>
              <w:left w:val="nil"/>
              <w:bottom w:val="single" w:sz="4" w:space="0" w:color="auto"/>
              <w:right w:val="single" w:sz="4" w:space="0" w:color="auto"/>
            </w:tcBorders>
            <w:noWrap/>
            <w:vAlign w:val="center"/>
            <w:hideMark/>
          </w:tcPr>
          <w:p w14:paraId="1AD139AA"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679DF21E"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315E4E0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Se pudo comprobar el uso real del conocimiento aprendido.</w:t>
            </w:r>
          </w:p>
        </w:tc>
      </w:tr>
      <w:tr w:rsidR="00F212FE" w:rsidRPr="00242EB4" w14:paraId="60FC6BE9" w14:textId="77777777" w:rsidTr="0055381F">
        <w:trPr>
          <w:gridAfter w:val="1"/>
          <w:wAfter w:w="118" w:type="dxa"/>
          <w:trHeight w:val="155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37A7F1C2"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40F27FE9"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3221DEB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Eficiencia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86A00D9"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75AF740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Al no tener registro de competencias, se asignan tareas a personas sin experiencia previa o con poca preparación.</w:t>
            </w:r>
          </w:p>
        </w:tc>
        <w:tc>
          <w:tcPr>
            <w:tcW w:w="2506" w:type="dxa"/>
            <w:tcBorders>
              <w:top w:val="nil"/>
              <w:left w:val="nil"/>
              <w:bottom w:val="single" w:sz="4" w:space="0" w:color="auto"/>
              <w:right w:val="single" w:sz="4" w:space="0" w:color="auto"/>
            </w:tcBorders>
            <w:hideMark/>
          </w:tcPr>
          <w:p w14:paraId="6702F94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3151C9">
              <w:rPr>
                <w:rFonts w:ascii="Calibri" w:eastAsia="Times New Roman" w:hAnsi="Calibri" w:cs="Calibri"/>
                <w:color w:val="000000"/>
                <w:sz w:val="24"/>
                <w:lang w:eastAsia="es-CR"/>
              </w:rPr>
              <w:t>Se generan errores, retrabajos y retrasos evitables.</w:t>
            </w:r>
          </w:p>
        </w:tc>
        <w:tc>
          <w:tcPr>
            <w:tcW w:w="1276" w:type="dxa"/>
            <w:tcBorders>
              <w:top w:val="nil"/>
              <w:left w:val="nil"/>
              <w:bottom w:val="single" w:sz="4" w:space="0" w:color="auto"/>
              <w:right w:val="single" w:sz="4" w:space="0" w:color="auto"/>
            </w:tcBorders>
            <w:noWrap/>
            <w:vAlign w:val="center"/>
            <w:hideMark/>
          </w:tcPr>
          <w:p w14:paraId="7822C0D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684C9E9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Implementar una matriz de habilidades que facilite asignar tareas según el perfil y experiencia del colaborador.</w:t>
            </w:r>
          </w:p>
        </w:tc>
        <w:tc>
          <w:tcPr>
            <w:tcW w:w="966" w:type="dxa"/>
            <w:tcBorders>
              <w:top w:val="nil"/>
              <w:left w:val="nil"/>
              <w:bottom w:val="single" w:sz="4" w:space="0" w:color="auto"/>
              <w:right w:val="single" w:sz="4" w:space="0" w:color="auto"/>
            </w:tcBorders>
            <w:noWrap/>
            <w:vAlign w:val="center"/>
            <w:hideMark/>
          </w:tcPr>
          <w:p w14:paraId="5E6DFB5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3C4F768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4F829E3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Mejores asignaciones desde el inicio, evitando reprocesos y mal uso del tiempo.</w:t>
            </w:r>
          </w:p>
        </w:tc>
      </w:tr>
      <w:tr w:rsidR="00F212FE" w:rsidRPr="00242EB4" w14:paraId="3BE8E1CD" w14:textId="77777777" w:rsidTr="0055381F">
        <w:trPr>
          <w:gridAfter w:val="1"/>
          <w:wAfter w:w="118" w:type="dxa"/>
          <w:trHeight w:val="186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4EC4B1D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6AE884E3"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753EE03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Imparcialidad</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82D7408"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52C911B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La participación en capacitaciones a veces depende de la disponibilidad operativa, dejando fuera a personal clave en momentos de alta carga laboral.</w:t>
            </w:r>
          </w:p>
        </w:tc>
        <w:tc>
          <w:tcPr>
            <w:tcW w:w="2506" w:type="dxa"/>
            <w:tcBorders>
              <w:top w:val="nil"/>
              <w:left w:val="nil"/>
              <w:bottom w:val="single" w:sz="4" w:space="0" w:color="auto"/>
              <w:right w:val="single" w:sz="4" w:space="0" w:color="auto"/>
            </w:tcBorders>
            <w:hideMark/>
          </w:tcPr>
          <w:p w14:paraId="06B9D69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3151C9">
              <w:rPr>
                <w:rFonts w:ascii="Calibri" w:eastAsia="Times New Roman" w:hAnsi="Calibri" w:cs="Calibri"/>
                <w:color w:val="000000"/>
                <w:sz w:val="24"/>
                <w:lang w:eastAsia="es-CR"/>
              </w:rPr>
              <w:t>Se crean inequidades en el acceso al desarrollo profesional dentro del equipo.</w:t>
            </w:r>
          </w:p>
        </w:tc>
        <w:tc>
          <w:tcPr>
            <w:tcW w:w="1276" w:type="dxa"/>
            <w:tcBorders>
              <w:top w:val="nil"/>
              <w:left w:val="nil"/>
              <w:bottom w:val="single" w:sz="4" w:space="0" w:color="auto"/>
              <w:right w:val="single" w:sz="4" w:space="0" w:color="auto"/>
            </w:tcBorders>
            <w:noWrap/>
            <w:vAlign w:val="center"/>
            <w:hideMark/>
          </w:tcPr>
          <w:p w14:paraId="226A971B"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6E33B362"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Diseñar una planificación semestral de capacitaciones con horarios flexibles y virtuales para garantizar mayor inclusión.</w:t>
            </w:r>
          </w:p>
        </w:tc>
        <w:tc>
          <w:tcPr>
            <w:tcW w:w="966" w:type="dxa"/>
            <w:tcBorders>
              <w:top w:val="nil"/>
              <w:left w:val="nil"/>
              <w:bottom w:val="single" w:sz="4" w:space="0" w:color="auto"/>
              <w:right w:val="single" w:sz="4" w:space="0" w:color="auto"/>
            </w:tcBorders>
            <w:noWrap/>
            <w:vAlign w:val="center"/>
            <w:hideMark/>
          </w:tcPr>
          <w:p w14:paraId="5075A8DE"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4CDC26A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34C31AD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Se logró una mayor equidad en las oportunidades de crecimiento para todo el equipo.</w:t>
            </w:r>
          </w:p>
        </w:tc>
      </w:tr>
      <w:tr w:rsidR="00F212FE" w:rsidRPr="00242EB4" w14:paraId="1DD812A9" w14:textId="77777777" w:rsidTr="0055381F">
        <w:trPr>
          <w:gridAfter w:val="1"/>
          <w:wAfter w:w="118" w:type="dxa"/>
          <w:trHeight w:val="1550"/>
        </w:trPr>
        <w:tc>
          <w:tcPr>
            <w:tcW w:w="2076" w:type="dxa"/>
            <w:vMerge w:val="restart"/>
            <w:tcBorders>
              <w:top w:val="single" w:sz="4" w:space="0" w:color="auto"/>
              <w:left w:val="single" w:sz="4" w:space="0" w:color="auto"/>
              <w:bottom w:val="single" w:sz="4" w:space="0" w:color="auto"/>
              <w:right w:val="single" w:sz="4" w:space="0" w:color="auto"/>
            </w:tcBorders>
            <w:shd w:val="clear" w:color="auto" w:fill="ED7D31" w:themeFill="accent2"/>
            <w:noWrap/>
            <w:vAlign w:val="bottom"/>
            <w:hideMark/>
          </w:tcPr>
          <w:p w14:paraId="702B4472" w14:textId="77777777" w:rsidR="00F212FE"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noProof/>
                <w:color w:val="000000"/>
                <w:sz w:val="24"/>
                <w:lang w:val="es-CR" w:eastAsia="es-CR"/>
              </w:rPr>
              <w:drawing>
                <wp:anchor distT="0" distB="0" distL="114300" distR="114300" simplePos="0" relativeHeight="251663360" behindDoc="0" locked="0" layoutInCell="1" allowOverlap="1" wp14:anchorId="2CC95DA6" wp14:editId="441A69BE">
                  <wp:simplePos x="0" y="0"/>
                  <wp:positionH relativeFrom="column">
                    <wp:posOffset>228600</wp:posOffset>
                  </wp:positionH>
                  <wp:positionV relativeFrom="paragraph">
                    <wp:posOffset>-1176655</wp:posOffset>
                  </wp:positionV>
                  <wp:extent cx="901700" cy="908050"/>
                  <wp:effectExtent l="0" t="0" r="0" b="6350"/>
                  <wp:wrapNone/>
                  <wp:docPr id="9" name="Imagen 20">
                    <a:extLst xmlns:a="http://schemas.openxmlformats.org/drawingml/2006/main">
                      <a:ext uri="{FF2B5EF4-FFF2-40B4-BE49-F238E27FC236}">
                        <a16:creationId xmlns:a16="http://schemas.microsoft.com/office/drawing/2014/main" id="{00000000-0008-0000-0300-000009000000}"/>
                      </a:ext>
                    </a:extLst>
                  </wp:docPr>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00000000-0008-0000-0300-000009000000}"/>
                              </a:ext>
                            </a:extLst>
                          </pic:cNvPr>
                          <pic:cNvPicPr>
                            <a:picLocks noChangeAspect="1"/>
                          </pic:cNvPicPr>
                        </pic:nvPicPr>
                        <pic:blipFill>
                          <a:blip r:embed="rId29"/>
                          <a:stretch>
                            <a:fillRect/>
                          </a:stretch>
                        </pic:blipFill>
                        <pic:spPr>
                          <a:xfrm>
                            <a:off x="0" y="0"/>
                            <a:ext cx="901700" cy="908050"/>
                          </a:xfrm>
                          <a:prstGeom prst="rect">
                            <a:avLst/>
                          </a:prstGeom>
                        </pic:spPr>
                      </pic:pic>
                    </a:graphicData>
                  </a:graphic>
                  <wp14:sizeRelH relativeFrom="page">
                    <wp14:pctWidth>0</wp14:pctWidth>
                  </wp14:sizeRelH>
                  <wp14:sizeRelV relativeFrom="page">
                    <wp14:pctHeight>0</wp14:pctHeight>
                  </wp14:sizeRelV>
                </wp:anchor>
              </w:drawing>
            </w:r>
          </w:p>
          <w:p w14:paraId="46EDB47D" w14:textId="77777777" w:rsidR="00F212FE" w:rsidRDefault="00F212FE" w:rsidP="0055381F">
            <w:pPr>
              <w:spacing w:line="240" w:lineRule="auto"/>
              <w:ind w:firstLine="0"/>
              <w:rPr>
                <w:rFonts w:ascii="Calibri" w:eastAsia="Times New Roman" w:hAnsi="Calibri" w:cs="Calibri"/>
                <w:color w:val="000000"/>
                <w:sz w:val="24"/>
                <w:lang w:val="es-CR" w:eastAsia="es-CR"/>
              </w:rPr>
            </w:pPr>
          </w:p>
          <w:p w14:paraId="2831E89E" w14:textId="77777777" w:rsidR="00F212FE" w:rsidRDefault="00F212FE" w:rsidP="0055381F">
            <w:pPr>
              <w:spacing w:line="240" w:lineRule="auto"/>
              <w:ind w:firstLine="0"/>
              <w:rPr>
                <w:rFonts w:ascii="Calibri" w:eastAsia="Times New Roman" w:hAnsi="Calibri" w:cs="Calibri"/>
                <w:color w:val="000000"/>
                <w:sz w:val="24"/>
                <w:lang w:val="es-CR" w:eastAsia="es-CR"/>
              </w:rPr>
            </w:pPr>
          </w:p>
          <w:p w14:paraId="1DB5BAA2"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val="restart"/>
            <w:tcBorders>
              <w:top w:val="nil"/>
              <w:left w:val="single" w:sz="4" w:space="0" w:color="auto"/>
              <w:bottom w:val="single" w:sz="4" w:space="0" w:color="auto"/>
              <w:right w:val="single" w:sz="4" w:space="0" w:color="auto"/>
            </w:tcBorders>
            <w:shd w:val="clear" w:color="000000" w:fill="F2F2F2"/>
            <w:vAlign w:val="center"/>
            <w:hideMark/>
          </w:tcPr>
          <w:p w14:paraId="5FC5AC65"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r w:rsidRPr="00242EB4">
              <w:rPr>
                <w:rFonts w:ascii="Calibri" w:eastAsia="Times New Roman" w:hAnsi="Calibri" w:cs="Calibri"/>
                <w:color w:val="000000"/>
                <w:sz w:val="18"/>
                <w:szCs w:val="18"/>
                <w:lang w:val="es-CR" w:eastAsia="es-CR"/>
              </w:rPr>
              <w:t>Aprendizaje organizacional es una forma de gestión del conocimiento en la que se alienta a los componentes y a los empleados de la organización a capturar, compartir y aplicar su conocimiento. Esto permite a la organización adaptar y mejorar sus procesos, productos y servicios a lo largo del tiempo.</w:t>
            </w:r>
          </w:p>
        </w:tc>
        <w:tc>
          <w:tcPr>
            <w:tcW w:w="1701" w:type="dxa"/>
            <w:tcBorders>
              <w:top w:val="nil"/>
              <w:left w:val="nil"/>
              <w:bottom w:val="single" w:sz="4" w:space="0" w:color="auto"/>
              <w:right w:val="single" w:sz="4" w:space="0" w:color="auto"/>
            </w:tcBorders>
            <w:shd w:val="clear" w:color="000000" w:fill="F2F2F2"/>
            <w:noWrap/>
            <w:vAlign w:val="center"/>
            <w:hideMark/>
          </w:tcPr>
          <w:p w14:paraId="3D738CD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Vida Útil</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4EEC809"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277CB00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El aprendizaje generado en cada proyecto no se documenta ni se transfiere formalmente a otros equipos.</w:t>
            </w:r>
          </w:p>
        </w:tc>
        <w:tc>
          <w:tcPr>
            <w:tcW w:w="2506" w:type="dxa"/>
            <w:tcBorders>
              <w:top w:val="nil"/>
              <w:left w:val="nil"/>
              <w:bottom w:val="single" w:sz="4" w:space="0" w:color="auto"/>
              <w:right w:val="single" w:sz="4" w:space="0" w:color="auto"/>
            </w:tcBorders>
            <w:hideMark/>
          </w:tcPr>
          <w:p w14:paraId="7579BD3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3151C9">
              <w:rPr>
                <w:rFonts w:ascii="Calibri" w:eastAsia="Times New Roman" w:hAnsi="Calibri" w:cs="Calibri"/>
                <w:color w:val="000000"/>
                <w:sz w:val="24"/>
                <w:lang w:eastAsia="es-CR"/>
              </w:rPr>
              <w:t>La empresa no capitaliza la experiencia, y se repiten errores en nuevos proyectos.</w:t>
            </w:r>
          </w:p>
        </w:tc>
        <w:tc>
          <w:tcPr>
            <w:tcW w:w="1276" w:type="dxa"/>
            <w:tcBorders>
              <w:top w:val="nil"/>
              <w:left w:val="nil"/>
              <w:bottom w:val="single" w:sz="4" w:space="0" w:color="auto"/>
              <w:right w:val="single" w:sz="4" w:space="0" w:color="auto"/>
            </w:tcBorders>
            <w:noWrap/>
            <w:vAlign w:val="center"/>
            <w:hideMark/>
          </w:tcPr>
          <w:p w14:paraId="5A5C6ABA"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26773EB5"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Crear una base de conocimiento con lecciones aprendidas documentadas y accesibles para todo el equipo.</w:t>
            </w:r>
          </w:p>
        </w:tc>
        <w:tc>
          <w:tcPr>
            <w:tcW w:w="966" w:type="dxa"/>
            <w:tcBorders>
              <w:top w:val="nil"/>
              <w:left w:val="nil"/>
              <w:bottom w:val="single" w:sz="4" w:space="0" w:color="auto"/>
              <w:right w:val="single" w:sz="4" w:space="0" w:color="auto"/>
            </w:tcBorders>
            <w:noWrap/>
            <w:vAlign w:val="center"/>
            <w:hideMark/>
          </w:tcPr>
          <w:p w14:paraId="47AD7720"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64BFEA81"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3194359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Mejora la capacidad organizativa a largo plazo.</w:t>
            </w:r>
          </w:p>
        </w:tc>
      </w:tr>
      <w:tr w:rsidR="00F212FE" w:rsidRPr="00242EB4" w14:paraId="61791488" w14:textId="77777777" w:rsidTr="0055381F">
        <w:trPr>
          <w:gridAfter w:val="1"/>
          <w:wAfter w:w="118" w:type="dxa"/>
          <w:trHeight w:val="1550"/>
        </w:trPr>
        <w:tc>
          <w:tcPr>
            <w:tcW w:w="2076" w:type="dxa"/>
            <w:vMerge/>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0550911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7EDB2C4B"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393F2CA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Mantenimiento</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7A03890"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68A6D3D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No existen procesos sistemáticos para revisar y actualizar los procedimientos basados en lo aprendido en proyectos anteriores.</w:t>
            </w:r>
          </w:p>
        </w:tc>
        <w:tc>
          <w:tcPr>
            <w:tcW w:w="2506" w:type="dxa"/>
            <w:tcBorders>
              <w:top w:val="nil"/>
              <w:left w:val="nil"/>
              <w:bottom w:val="single" w:sz="4" w:space="0" w:color="auto"/>
              <w:right w:val="single" w:sz="4" w:space="0" w:color="auto"/>
            </w:tcBorders>
            <w:hideMark/>
          </w:tcPr>
          <w:p w14:paraId="631AA02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3151C9">
              <w:rPr>
                <w:rFonts w:ascii="Calibri" w:eastAsia="Times New Roman" w:hAnsi="Calibri" w:cs="Calibri"/>
                <w:color w:val="000000"/>
                <w:sz w:val="24"/>
                <w:lang w:eastAsia="es-CR"/>
              </w:rPr>
              <w:t>Los procesos se vuelven obsoletos con el tiempo y no se mejoran.</w:t>
            </w:r>
          </w:p>
        </w:tc>
        <w:tc>
          <w:tcPr>
            <w:tcW w:w="1276" w:type="dxa"/>
            <w:tcBorders>
              <w:top w:val="nil"/>
              <w:left w:val="nil"/>
              <w:bottom w:val="single" w:sz="4" w:space="0" w:color="auto"/>
              <w:right w:val="single" w:sz="4" w:space="0" w:color="auto"/>
            </w:tcBorders>
            <w:noWrap/>
            <w:vAlign w:val="center"/>
            <w:hideMark/>
          </w:tcPr>
          <w:p w14:paraId="0F7F9E7D"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2DEFE77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Establecer una revisión trimestral de procesos que incorpore retroalimentación de los equipos operativos.</w:t>
            </w:r>
          </w:p>
        </w:tc>
        <w:tc>
          <w:tcPr>
            <w:tcW w:w="966" w:type="dxa"/>
            <w:tcBorders>
              <w:top w:val="nil"/>
              <w:left w:val="nil"/>
              <w:bottom w:val="single" w:sz="4" w:space="0" w:color="auto"/>
              <w:right w:val="single" w:sz="4" w:space="0" w:color="auto"/>
            </w:tcBorders>
            <w:noWrap/>
            <w:vAlign w:val="center"/>
            <w:hideMark/>
          </w:tcPr>
          <w:p w14:paraId="678FBA10"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0FE1DEFE"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67346E5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Se mantiene vigente y actualizado el conocimiento institucional.</w:t>
            </w:r>
          </w:p>
        </w:tc>
      </w:tr>
      <w:tr w:rsidR="00F212FE" w:rsidRPr="00242EB4" w14:paraId="70BF56C1" w14:textId="77777777" w:rsidTr="0055381F">
        <w:trPr>
          <w:gridAfter w:val="1"/>
          <w:wAfter w:w="118" w:type="dxa"/>
          <w:trHeight w:val="1240"/>
        </w:trPr>
        <w:tc>
          <w:tcPr>
            <w:tcW w:w="2076" w:type="dxa"/>
            <w:vMerge/>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7D158FF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3F4068B8"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24FE360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Eficacia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76BACEB"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08D58F5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El conocimiento queda en personas clave sin que se comparta con el resto del equipo.</w:t>
            </w:r>
          </w:p>
        </w:tc>
        <w:tc>
          <w:tcPr>
            <w:tcW w:w="2506" w:type="dxa"/>
            <w:tcBorders>
              <w:top w:val="nil"/>
              <w:left w:val="nil"/>
              <w:bottom w:val="single" w:sz="4" w:space="0" w:color="auto"/>
              <w:right w:val="single" w:sz="4" w:space="0" w:color="auto"/>
            </w:tcBorders>
            <w:hideMark/>
          </w:tcPr>
          <w:p w14:paraId="03E79EA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3151C9">
              <w:rPr>
                <w:rFonts w:ascii="Calibri" w:eastAsia="Times New Roman" w:hAnsi="Calibri" w:cs="Calibri"/>
                <w:color w:val="000000"/>
                <w:sz w:val="24"/>
                <w:lang w:eastAsia="es-CR"/>
              </w:rPr>
              <w:t>Se desaprovecha el potencial del equipo y disminuye la capacidad de resolver problemas.</w:t>
            </w:r>
          </w:p>
        </w:tc>
        <w:tc>
          <w:tcPr>
            <w:tcW w:w="1276" w:type="dxa"/>
            <w:tcBorders>
              <w:top w:val="nil"/>
              <w:left w:val="nil"/>
              <w:bottom w:val="single" w:sz="4" w:space="0" w:color="auto"/>
              <w:right w:val="single" w:sz="4" w:space="0" w:color="auto"/>
            </w:tcBorders>
            <w:noWrap/>
            <w:vAlign w:val="center"/>
            <w:hideMark/>
          </w:tcPr>
          <w:p w14:paraId="67BEDF3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2977" w:type="dxa"/>
            <w:tcBorders>
              <w:top w:val="nil"/>
              <w:left w:val="nil"/>
              <w:bottom w:val="single" w:sz="4" w:space="0" w:color="auto"/>
              <w:right w:val="single" w:sz="4" w:space="0" w:color="auto"/>
            </w:tcBorders>
            <w:hideMark/>
          </w:tcPr>
          <w:p w14:paraId="2085F35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Implementar reuniones post al cierre de cada proyecto y sistematizar la retroalimentación.</w:t>
            </w:r>
          </w:p>
        </w:tc>
        <w:tc>
          <w:tcPr>
            <w:tcW w:w="966" w:type="dxa"/>
            <w:tcBorders>
              <w:top w:val="nil"/>
              <w:left w:val="nil"/>
              <w:bottom w:val="single" w:sz="4" w:space="0" w:color="auto"/>
              <w:right w:val="single" w:sz="4" w:space="0" w:color="auto"/>
            </w:tcBorders>
            <w:noWrap/>
            <w:vAlign w:val="center"/>
            <w:hideMark/>
          </w:tcPr>
          <w:p w14:paraId="4DD4E01D"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7AA6A960"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66BCB6D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Se incrementa la capacidad del equipo para actuar con base en experiencias previas.</w:t>
            </w:r>
          </w:p>
        </w:tc>
      </w:tr>
      <w:tr w:rsidR="00F212FE" w:rsidRPr="00242EB4" w14:paraId="24F64765" w14:textId="77777777" w:rsidTr="0055381F">
        <w:trPr>
          <w:gridAfter w:val="1"/>
          <w:wAfter w:w="118" w:type="dxa"/>
          <w:trHeight w:val="1240"/>
        </w:trPr>
        <w:tc>
          <w:tcPr>
            <w:tcW w:w="2076" w:type="dxa"/>
            <w:vMerge/>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7770259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245F1F3F"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703E846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Eficiencia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96B7A48"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1B3EDBA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Falta de documentación hace que tareas similares se empiecen desde cero en cada proyecto.</w:t>
            </w:r>
          </w:p>
        </w:tc>
        <w:tc>
          <w:tcPr>
            <w:tcW w:w="2506" w:type="dxa"/>
            <w:tcBorders>
              <w:top w:val="nil"/>
              <w:left w:val="nil"/>
              <w:bottom w:val="single" w:sz="4" w:space="0" w:color="auto"/>
              <w:right w:val="single" w:sz="4" w:space="0" w:color="auto"/>
            </w:tcBorders>
            <w:hideMark/>
          </w:tcPr>
          <w:p w14:paraId="557C36D5"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3151C9">
              <w:rPr>
                <w:rFonts w:ascii="Calibri" w:eastAsia="Times New Roman" w:hAnsi="Calibri" w:cs="Calibri"/>
                <w:color w:val="000000"/>
                <w:sz w:val="24"/>
                <w:lang w:eastAsia="es-CR"/>
              </w:rPr>
              <w:t>Se invierte tiempo innecesario en repetir procesos y tomar decisiones ya evaluadas antes.</w:t>
            </w:r>
          </w:p>
        </w:tc>
        <w:tc>
          <w:tcPr>
            <w:tcW w:w="1276" w:type="dxa"/>
            <w:tcBorders>
              <w:top w:val="nil"/>
              <w:left w:val="nil"/>
              <w:bottom w:val="single" w:sz="4" w:space="0" w:color="auto"/>
              <w:right w:val="single" w:sz="4" w:space="0" w:color="auto"/>
            </w:tcBorders>
            <w:noWrap/>
            <w:vAlign w:val="center"/>
            <w:hideMark/>
          </w:tcPr>
          <w:p w14:paraId="19505B94"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3AD5FA35"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Crear plantillas reutilizables, checklists y manuales basados en casos anteriores.</w:t>
            </w:r>
          </w:p>
        </w:tc>
        <w:tc>
          <w:tcPr>
            <w:tcW w:w="966" w:type="dxa"/>
            <w:tcBorders>
              <w:top w:val="nil"/>
              <w:left w:val="nil"/>
              <w:bottom w:val="single" w:sz="4" w:space="0" w:color="auto"/>
              <w:right w:val="single" w:sz="4" w:space="0" w:color="auto"/>
            </w:tcBorders>
            <w:noWrap/>
            <w:vAlign w:val="center"/>
            <w:hideMark/>
          </w:tcPr>
          <w:p w14:paraId="3DEC9AFF"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3902F70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41CB07C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Reducción de tiempos y mayor estandarización del trabajo.</w:t>
            </w:r>
          </w:p>
        </w:tc>
      </w:tr>
      <w:tr w:rsidR="00F212FE" w:rsidRPr="00242EB4" w14:paraId="03A4F1D7" w14:textId="77777777" w:rsidTr="0055381F">
        <w:trPr>
          <w:gridAfter w:val="1"/>
          <w:wAfter w:w="118" w:type="dxa"/>
          <w:trHeight w:val="310"/>
        </w:trPr>
        <w:tc>
          <w:tcPr>
            <w:tcW w:w="2076" w:type="dxa"/>
            <w:vMerge/>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171DA8F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67E7B2D7"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3EC4DB4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Imparcialidad</w:t>
            </w:r>
          </w:p>
        </w:tc>
        <w:tc>
          <w:tcPr>
            <w:tcW w:w="86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11C8E88"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No</w:t>
            </w:r>
          </w:p>
        </w:tc>
        <w:tc>
          <w:tcPr>
            <w:tcW w:w="2897" w:type="dxa"/>
            <w:tcBorders>
              <w:top w:val="single" w:sz="4" w:space="0" w:color="auto"/>
              <w:left w:val="single" w:sz="4" w:space="0" w:color="auto"/>
              <w:bottom w:val="single" w:sz="4" w:space="0" w:color="auto"/>
              <w:right w:val="single" w:sz="4" w:space="0" w:color="auto"/>
            </w:tcBorders>
            <w:shd w:val="clear" w:color="000000" w:fill="BFBFBF"/>
            <w:hideMark/>
          </w:tcPr>
          <w:p w14:paraId="5F94AE2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2506" w:type="dxa"/>
            <w:tcBorders>
              <w:top w:val="single" w:sz="4" w:space="0" w:color="auto"/>
              <w:left w:val="single" w:sz="4" w:space="0" w:color="auto"/>
              <w:bottom w:val="single" w:sz="4" w:space="0" w:color="auto"/>
              <w:right w:val="single" w:sz="4" w:space="0" w:color="auto"/>
            </w:tcBorders>
            <w:shd w:val="clear" w:color="000000" w:fill="BFBFBF"/>
            <w:hideMark/>
          </w:tcPr>
          <w:p w14:paraId="65EAEC15"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127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06FC58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2977" w:type="dxa"/>
            <w:tcBorders>
              <w:top w:val="single" w:sz="4" w:space="0" w:color="auto"/>
              <w:left w:val="single" w:sz="4" w:space="0" w:color="auto"/>
              <w:bottom w:val="single" w:sz="4" w:space="0" w:color="auto"/>
              <w:right w:val="single" w:sz="4" w:space="0" w:color="auto"/>
            </w:tcBorders>
            <w:shd w:val="clear" w:color="000000" w:fill="BFBFBF"/>
            <w:hideMark/>
          </w:tcPr>
          <w:p w14:paraId="5AF8EAE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9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A59C372"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99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0ABAB9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0</w:t>
            </w:r>
          </w:p>
        </w:tc>
        <w:tc>
          <w:tcPr>
            <w:tcW w:w="3520" w:type="dxa"/>
            <w:tcBorders>
              <w:top w:val="single" w:sz="4" w:space="0" w:color="auto"/>
              <w:left w:val="single" w:sz="4" w:space="0" w:color="auto"/>
              <w:bottom w:val="single" w:sz="4" w:space="0" w:color="auto"/>
              <w:right w:val="single" w:sz="4" w:space="0" w:color="auto"/>
            </w:tcBorders>
            <w:shd w:val="clear" w:color="000000" w:fill="BFBFBF"/>
            <w:hideMark/>
          </w:tcPr>
          <w:p w14:paraId="54E22B5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r>
      <w:tr w:rsidR="00F212FE" w:rsidRPr="00242EB4" w14:paraId="675D3334" w14:textId="77777777" w:rsidTr="0055381F">
        <w:trPr>
          <w:gridAfter w:val="1"/>
          <w:wAfter w:w="118" w:type="dxa"/>
          <w:trHeight w:val="1550"/>
        </w:trPr>
        <w:tc>
          <w:tcPr>
            <w:tcW w:w="2076" w:type="dxa"/>
            <w:vMerge w:val="restart"/>
            <w:tcBorders>
              <w:top w:val="single" w:sz="4" w:space="0" w:color="auto"/>
              <w:left w:val="nil"/>
              <w:bottom w:val="nil"/>
              <w:right w:val="nil"/>
            </w:tcBorders>
            <w:shd w:val="clear" w:color="auto" w:fill="ED7D31" w:themeFill="accent2"/>
            <w:noWrap/>
            <w:vAlign w:val="bottom"/>
            <w:hideMark/>
          </w:tcPr>
          <w:p w14:paraId="69DE662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noProof/>
                <w:color w:val="000000"/>
                <w:sz w:val="24"/>
                <w:lang w:val="es-CR" w:eastAsia="es-CR"/>
              </w:rPr>
              <w:drawing>
                <wp:anchor distT="0" distB="0" distL="114300" distR="114300" simplePos="0" relativeHeight="251664384" behindDoc="0" locked="0" layoutInCell="1" allowOverlap="1" wp14:anchorId="44577FF4" wp14:editId="6BD49CFD">
                  <wp:simplePos x="0" y="0"/>
                  <wp:positionH relativeFrom="column">
                    <wp:posOffset>177800</wp:posOffset>
                  </wp:positionH>
                  <wp:positionV relativeFrom="paragraph">
                    <wp:posOffset>-3164205</wp:posOffset>
                  </wp:positionV>
                  <wp:extent cx="920750" cy="958850"/>
                  <wp:effectExtent l="0" t="0" r="0" b="0"/>
                  <wp:wrapNone/>
                  <wp:docPr id="13" name="Imagen 19">
                    <a:extLst xmlns:a="http://schemas.openxmlformats.org/drawingml/2006/main">
                      <a:ext uri="{FF2B5EF4-FFF2-40B4-BE49-F238E27FC236}">
                        <a16:creationId xmlns:a16="http://schemas.microsoft.com/office/drawing/2014/main" id="{00000000-0008-0000-0300-00000D000000}"/>
                      </a:ext>
                    </a:extLst>
                  </wp:docPr>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00000000-0008-0000-0300-00000D000000}"/>
                              </a:ext>
                            </a:extLst>
                          </pic:cNvPr>
                          <pic:cNvPicPr>
                            <a:picLocks noChangeAspect="1"/>
                          </pic:cNvPicPr>
                        </pic:nvPicPr>
                        <pic:blipFill>
                          <a:blip r:embed="rId30"/>
                          <a:stretch>
                            <a:fillRect/>
                          </a:stretch>
                        </pic:blipFill>
                        <pic:spPr>
                          <a:xfrm>
                            <a:off x="0" y="0"/>
                            <a:ext cx="920750" cy="958850"/>
                          </a:xfrm>
                          <a:prstGeom prst="rect">
                            <a:avLst/>
                          </a:prstGeom>
                        </pic:spPr>
                      </pic:pic>
                    </a:graphicData>
                  </a:graphic>
                  <wp14:sizeRelH relativeFrom="page">
                    <wp14:pctWidth>0</wp14:pctWidth>
                  </wp14:sizeRelH>
                  <wp14:sizeRelV relativeFrom="page">
                    <wp14:pctHeight>0</wp14:pctHeight>
                  </wp14:sizeRelV>
                </wp:anchor>
              </w:drawing>
            </w:r>
          </w:p>
        </w:tc>
        <w:tc>
          <w:tcPr>
            <w:tcW w:w="2035" w:type="dxa"/>
            <w:vMerge w:val="restart"/>
            <w:tcBorders>
              <w:top w:val="nil"/>
              <w:left w:val="single" w:sz="4" w:space="0" w:color="auto"/>
              <w:bottom w:val="single" w:sz="4" w:space="0" w:color="auto"/>
              <w:right w:val="single" w:sz="4" w:space="0" w:color="auto"/>
            </w:tcBorders>
            <w:shd w:val="clear" w:color="000000" w:fill="F2F2F2"/>
            <w:vAlign w:val="center"/>
            <w:hideMark/>
          </w:tcPr>
          <w:p w14:paraId="14019D9E"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r w:rsidRPr="00242EB4">
              <w:rPr>
                <w:rFonts w:ascii="Calibri" w:eastAsia="Times New Roman" w:hAnsi="Calibri" w:cs="Calibri"/>
                <w:color w:val="000000"/>
                <w:sz w:val="18"/>
                <w:szCs w:val="18"/>
                <w:lang w:val="es-CR" w:eastAsia="es-CR"/>
              </w:rPr>
              <w:t>Igualdad de oportunidades es la práctica de brindar a las personas acceso a trabajos, oportunidades y responsabilidades en función de sus calificaciones, independientemente del género, la raza, la edad u otras características. Busca eliminar cualquier tipo de discriminación en el lugar de trabajo y asegurar que todos los miembros del equipo reciban un trato justo y tengan las mismas oportunidades de participar de manera adecuada.</w:t>
            </w:r>
          </w:p>
        </w:tc>
        <w:tc>
          <w:tcPr>
            <w:tcW w:w="1701" w:type="dxa"/>
            <w:tcBorders>
              <w:top w:val="nil"/>
              <w:left w:val="nil"/>
              <w:bottom w:val="single" w:sz="4" w:space="0" w:color="auto"/>
              <w:right w:val="single" w:sz="4" w:space="0" w:color="auto"/>
            </w:tcBorders>
            <w:shd w:val="clear" w:color="000000" w:fill="F2F2F2"/>
            <w:noWrap/>
            <w:vAlign w:val="center"/>
            <w:hideMark/>
          </w:tcPr>
          <w:p w14:paraId="1D0879C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Vida Útil</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933ECA1"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0809BE9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No se han establecido mecanismos claros de inclusión y promoción equitativa para todos los roles del proyecto.</w:t>
            </w:r>
          </w:p>
        </w:tc>
        <w:tc>
          <w:tcPr>
            <w:tcW w:w="2506" w:type="dxa"/>
            <w:tcBorders>
              <w:top w:val="nil"/>
              <w:left w:val="nil"/>
              <w:bottom w:val="single" w:sz="4" w:space="0" w:color="auto"/>
              <w:right w:val="single" w:sz="4" w:space="0" w:color="auto"/>
            </w:tcBorders>
            <w:hideMark/>
          </w:tcPr>
          <w:p w14:paraId="78E0B7F5"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495E7E">
              <w:rPr>
                <w:rFonts w:ascii="Calibri" w:eastAsia="Times New Roman" w:hAnsi="Calibri" w:cs="Calibri"/>
                <w:color w:val="000000"/>
                <w:sz w:val="24"/>
                <w:lang w:val="es-CR" w:eastAsia="es-CR"/>
              </w:rPr>
              <w:t>La falta de oportunidades igualitarias puede reducir la retención del talento y limitar el desarrollo organizacional a largo plazo.</w:t>
            </w:r>
          </w:p>
        </w:tc>
        <w:tc>
          <w:tcPr>
            <w:tcW w:w="1276" w:type="dxa"/>
            <w:tcBorders>
              <w:top w:val="nil"/>
              <w:left w:val="nil"/>
              <w:bottom w:val="single" w:sz="4" w:space="0" w:color="auto"/>
              <w:right w:val="single" w:sz="4" w:space="0" w:color="auto"/>
            </w:tcBorders>
            <w:noWrap/>
            <w:vAlign w:val="center"/>
            <w:hideMark/>
          </w:tcPr>
          <w:p w14:paraId="5FFE38CC"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36D5E19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Incluir políticas de igualdad de oportunidades en los procesos de contratación y promoción internos.</w:t>
            </w:r>
          </w:p>
        </w:tc>
        <w:tc>
          <w:tcPr>
            <w:tcW w:w="966" w:type="dxa"/>
            <w:tcBorders>
              <w:top w:val="nil"/>
              <w:left w:val="nil"/>
              <w:bottom w:val="single" w:sz="4" w:space="0" w:color="auto"/>
              <w:right w:val="single" w:sz="4" w:space="0" w:color="auto"/>
            </w:tcBorders>
            <w:noWrap/>
            <w:vAlign w:val="center"/>
            <w:hideMark/>
          </w:tcPr>
          <w:p w14:paraId="463D5FBC"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3B8E9A5F"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68C4F7A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Mejora en la sostenibilidad del equipo humano y su continuidad.</w:t>
            </w:r>
          </w:p>
        </w:tc>
      </w:tr>
      <w:tr w:rsidR="00F212FE" w:rsidRPr="00242EB4" w14:paraId="745D0668" w14:textId="77777777" w:rsidTr="0055381F">
        <w:trPr>
          <w:gridAfter w:val="1"/>
          <w:wAfter w:w="118" w:type="dxa"/>
          <w:trHeight w:val="930"/>
        </w:trPr>
        <w:tc>
          <w:tcPr>
            <w:tcW w:w="2076" w:type="dxa"/>
            <w:vMerge/>
            <w:tcBorders>
              <w:top w:val="nil"/>
              <w:left w:val="nil"/>
              <w:bottom w:val="nil"/>
              <w:right w:val="nil"/>
            </w:tcBorders>
            <w:shd w:val="clear" w:color="auto" w:fill="ED7D31" w:themeFill="accent2"/>
            <w:vAlign w:val="center"/>
            <w:hideMark/>
          </w:tcPr>
          <w:p w14:paraId="7D824FE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0B40D825"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51B0BAF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Mantenimiento</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4016010"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43CF007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No hay seguimiento periódico que asegure el cumplimiento de prácticas inclusivas.</w:t>
            </w:r>
          </w:p>
        </w:tc>
        <w:tc>
          <w:tcPr>
            <w:tcW w:w="2506" w:type="dxa"/>
            <w:tcBorders>
              <w:top w:val="nil"/>
              <w:left w:val="nil"/>
              <w:bottom w:val="single" w:sz="4" w:space="0" w:color="auto"/>
              <w:right w:val="single" w:sz="4" w:space="0" w:color="auto"/>
            </w:tcBorders>
            <w:hideMark/>
          </w:tcPr>
          <w:p w14:paraId="7752512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495E7E">
              <w:rPr>
                <w:rFonts w:ascii="Calibri" w:eastAsia="Times New Roman" w:hAnsi="Calibri" w:cs="Calibri"/>
                <w:color w:val="000000"/>
                <w:sz w:val="24"/>
                <w:lang w:val="es-CR" w:eastAsia="es-CR"/>
              </w:rPr>
              <w:t>El progreso hacia la igualdad no se mantiene en el tiempo, lo que puede generar conflictos o desmotivación.</w:t>
            </w:r>
          </w:p>
        </w:tc>
        <w:tc>
          <w:tcPr>
            <w:tcW w:w="1276" w:type="dxa"/>
            <w:tcBorders>
              <w:top w:val="nil"/>
              <w:left w:val="nil"/>
              <w:bottom w:val="single" w:sz="4" w:space="0" w:color="auto"/>
              <w:right w:val="single" w:sz="4" w:space="0" w:color="auto"/>
            </w:tcBorders>
            <w:noWrap/>
            <w:vAlign w:val="center"/>
            <w:hideMark/>
          </w:tcPr>
          <w:p w14:paraId="2BFF9F7B"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0895FD9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Aplicar auditorías anuales de cumplimiento de políticas de inclusión y diversidad.</w:t>
            </w:r>
          </w:p>
        </w:tc>
        <w:tc>
          <w:tcPr>
            <w:tcW w:w="966" w:type="dxa"/>
            <w:tcBorders>
              <w:top w:val="nil"/>
              <w:left w:val="nil"/>
              <w:bottom w:val="single" w:sz="4" w:space="0" w:color="auto"/>
              <w:right w:val="single" w:sz="4" w:space="0" w:color="auto"/>
            </w:tcBorders>
            <w:noWrap/>
            <w:vAlign w:val="center"/>
            <w:hideMark/>
          </w:tcPr>
          <w:p w14:paraId="7D2E3D67"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992" w:type="dxa"/>
            <w:tcBorders>
              <w:top w:val="nil"/>
              <w:left w:val="nil"/>
              <w:bottom w:val="single" w:sz="4" w:space="0" w:color="auto"/>
              <w:right w:val="single" w:sz="4" w:space="0" w:color="auto"/>
            </w:tcBorders>
            <w:noWrap/>
            <w:vAlign w:val="center"/>
            <w:hideMark/>
          </w:tcPr>
          <w:p w14:paraId="71F6976B"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1C1BDF95"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Mantenimiento constante del compromiso institucional con la equidad.</w:t>
            </w:r>
          </w:p>
        </w:tc>
      </w:tr>
      <w:tr w:rsidR="00F212FE" w:rsidRPr="00242EB4" w14:paraId="5057F948" w14:textId="77777777" w:rsidTr="0055381F">
        <w:trPr>
          <w:gridAfter w:val="1"/>
          <w:wAfter w:w="118" w:type="dxa"/>
          <w:trHeight w:val="1550"/>
        </w:trPr>
        <w:tc>
          <w:tcPr>
            <w:tcW w:w="2076" w:type="dxa"/>
            <w:vMerge/>
            <w:tcBorders>
              <w:top w:val="nil"/>
              <w:left w:val="nil"/>
              <w:bottom w:val="nil"/>
              <w:right w:val="nil"/>
            </w:tcBorders>
            <w:shd w:val="clear" w:color="auto" w:fill="ED7D31" w:themeFill="accent2"/>
            <w:vAlign w:val="center"/>
            <w:hideMark/>
          </w:tcPr>
          <w:p w14:paraId="2FCBB53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34F425D9"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155CBD0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Eficacia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1CC0B5C"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2BDC982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Algunas decisiones operativas no consideran principios de igualdad en la asignación de responsabilidades o tareas.</w:t>
            </w:r>
          </w:p>
        </w:tc>
        <w:tc>
          <w:tcPr>
            <w:tcW w:w="2506" w:type="dxa"/>
            <w:tcBorders>
              <w:top w:val="nil"/>
              <w:left w:val="nil"/>
              <w:bottom w:val="single" w:sz="4" w:space="0" w:color="auto"/>
              <w:right w:val="single" w:sz="4" w:space="0" w:color="auto"/>
            </w:tcBorders>
            <w:hideMark/>
          </w:tcPr>
          <w:p w14:paraId="48C5A77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495E7E">
              <w:rPr>
                <w:rFonts w:ascii="Calibri" w:eastAsia="Times New Roman" w:hAnsi="Calibri" w:cs="Calibri"/>
                <w:color w:val="000000"/>
                <w:sz w:val="24"/>
                <w:lang w:eastAsia="es-CR"/>
              </w:rPr>
              <w:t>El desempeño del equipo puede verse afectado si hay percepciones de trato desigual.</w:t>
            </w:r>
          </w:p>
        </w:tc>
        <w:tc>
          <w:tcPr>
            <w:tcW w:w="1276" w:type="dxa"/>
            <w:tcBorders>
              <w:top w:val="nil"/>
              <w:left w:val="nil"/>
              <w:bottom w:val="single" w:sz="4" w:space="0" w:color="auto"/>
              <w:right w:val="single" w:sz="4" w:space="0" w:color="auto"/>
            </w:tcBorders>
            <w:noWrap/>
            <w:vAlign w:val="center"/>
            <w:hideMark/>
          </w:tcPr>
          <w:p w14:paraId="61B6933D"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2977" w:type="dxa"/>
            <w:tcBorders>
              <w:top w:val="nil"/>
              <w:left w:val="nil"/>
              <w:bottom w:val="single" w:sz="4" w:space="0" w:color="auto"/>
              <w:right w:val="single" w:sz="4" w:space="0" w:color="auto"/>
            </w:tcBorders>
            <w:hideMark/>
          </w:tcPr>
          <w:p w14:paraId="343B738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Establecer lineamientos claros para la asignación equitativa de responsabilidades y oportunidades de participación.</w:t>
            </w:r>
          </w:p>
        </w:tc>
        <w:tc>
          <w:tcPr>
            <w:tcW w:w="966" w:type="dxa"/>
            <w:tcBorders>
              <w:top w:val="nil"/>
              <w:left w:val="nil"/>
              <w:bottom w:val="single" w:sz="4" w:space="0" w:color="auto"/>
              <w:right w:val="single" w:sz="4" w:space="0" w:color="auto"/>
            </w:tcBorders>
            <w:noWrap/>
            <w:vAlign w:val="center"/>
            <w:hideMark/>
          </w:tcPr>
          <w:p w14:paraId="67CC299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1E6418AA"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0112FBF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Mejora la motivación del equipo y el compromiso con el proyecto.</w:t>
            </w:r>
          </w:p>
        </w:tc>
      </w:tr>
      <w:tr w:rsidR="00F212FE" w:rsidRPr="00242EB4" w14:paraId="12F35789" w14:textId="77777777" w:rsidTr="0055381F">
        <w:trPr>
          <w:gridAfter w:val="1"/>
          <w:wAfter w:w="118" w:type="dxa"/>
          <w:trHeight w:val="310"/>
        </w:trPr>
        <w:tc>
          <w:tcPr>
            <w:tcW w:w="2076" w:type="dxa"/>
            <w:vMerge/>
            <w:tcBorders>
              <w:top w:val="nil"/>
              <w:left w:val="nil"/>
              <w:bottom w:val="nil"/>
              <w:right w:val="nil"/>
            </w:tcBorders>
            <w:shd w:val="clear" w:color="auto" w:fill="ED7D31" w:themeFill="accent2"/>
            <w:vAlign w:val="center"/>
            <w:hideMark/>
          </w:tcPr>
          <w:p w14:paraId="5A0329D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46698EAD"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5A934DB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Eficiencia</w:t>
            </w:r>
          </w:p>
        </w:tc>
        <w:tc>
          <w:tcPr>
            <w:tcW w:w="86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018B779"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No</w:t>
            </w:r>
          </w:p>
        </w:tc>
        <w:tc>
          <w:tcPr>
            <w:tcW w:w="2897" w:type="dxa"/>
            <w:tcBorders>
              <w:top w:val="single" w:sz="4" w:space="0" w:color="auto"/>
              <w:left w:val="single" w:sz="4" w:space="0" w:color="auto"/>
              <w:bottom w:val="single" w:sz="4" w:space="0" w:color="auto"/>
              <w:right w:val="single" w:sz="4" w:space="0" w:color="auto"/>
            </w:tcBorders>
            <w:shd w:val="clear" w:color="000000" w:fill="BFBFBF"/>
            <w:hideMark/>
          </w:tcPr>
          <w:p w14:paraId="2F4388E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2506" w:type="dxa"/>
            <w:tcBorders>
              <w:top w:val="single" w:sz="4" w:space="0" w:color="auto"/>
              <w:left w:val="single" w:sz="4" w:space="0" w:color="auto"/>
              <w:bottom w:val="single" w:sz="4" w:space="0" w:color="auto"/>
              <w:right w:val="single" w:sz="4" w:space="0" w:color="auto"/>
            </w:tcBorders>
            <w:shd w:val="clear" w:color="000000" w:fill="BFBFBF"/>
            <w:hideMark/>
          </w:tcPr>
          <w:p w14:paraId="4CE8E27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127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D458897"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2977" w:type="dxa"/>
            <w:tcBorders>
              <w:top w:val="single" w:sz="4" w:space="0" w:color="auto"/>
              <w:left w:val="single" w:sz="4" w:space="0" w:color="auto"/>
              <w:bottom w:val="single" w:sz="4" w:space="0" w:color="auto"/>
              <w:right w:val="single" w:sz="4" w:space="0" w:color="auto"/>
            </w:tcBorders>
            <w:shd w:val="clear" w:color="000000" w:fill="BFBFBF"/>
            <w:hideMark/>
          </w:tcPr>
          <w:p w14:paraId="0F95BEA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9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EBFF68A"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99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561FF3A"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0</w:t>
            </w:r>
          </w:p>
        </w:tc>
        <w:tc>
          <w:tcPr>
            <w:tcW w:w="3520" w:type="dxa"/>
            <w:tcBorders>
              <w:top w:val="single" w:sz="4" w:space="0" w:color="auto"/>
              <w:left w:val="single" w:sz="4" w:space="0" w:color="auto"/>
              <w:bottom w:val="single" w:sz="4" w:space="0" w:color="auto"/>
              <w:right w:val="single" w:sz="4" w:space="0" w:color="auto"/>
            </w:tcBorders>
            <w:shd w:val="clear" w:color="000000" w:fill="BFBFBF"/>
            <w:hideMark/>
          </w:tcPr>
          <w:p w14:paraId="3B89078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r>
      <w:tr w:rsidR="00F212FE" w:rsidRPr="00242EB4" w14:paraId="560E1F8D" w14:textId="77777777" w:rsidTr="0055381F">
        <w:trPr>
          <w:gridAfter w:val="1"/>
          <w:wAfter w:w="118" w:type="dxa"/>
          <w:trHeight w:val="1550"/>
        </w:trPr>
        <w:tc>
          <w:tcPr>
            <w:tcW w:w="2076" w:type="dxa"/>
            <w:vMerge/>
            <w:tcBorders>
              <w:top w:val="nil"/>
              <w:left w:val="nil"/>
              <w:bottom w:val="single" w:sz="4" w:space="0" w:color="auto"/>
              <w:right w:val="nil"/>
            </w:tcBorders>
            <w:shd w:val="clear" w:color="auto" w:fill="ED7D31" w:themeFill="accent2"/>
            <w:vAlign w:val="center"/>
            <w:hideMark/>
          </w:tcPr>
          <w:p w14:paraId="1C71D5C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5623C155"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34BCCBF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Imparcialidad</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9EAC19D"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4E1284E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No hay un sistema de denuncia o retroalimentación interna para casos de discriminación o trato desigual.</w:t>
            </w:r>
          </w:p>
        </w:tc>
        <w:tc>
          <w:tcPr>
            <w:tcW w:w="2506" w:type="dxa"/>
            <w:tcBorders>
              <w:top w:val="nil"/>
              <w:left w:val="nil"/>
              <w:bottom w:val="single" w:sz="4" w:space="0" w:color="auto"/>
              <w:right w:val="single" w:sz="4" w:space="0" w:color="auto"/>
            </w:tcBorders>
            <w:hideMark/>
          </w:tcPr>
          <w:p w14:paraId="3781FFE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495E7E">
              <w:rPr>
                <w:rFonts w:ascii="Calibri" w:eastAsia="Times New Roman" w:hAnsi="Calibri" w:cs="Calibri"/>
                <w:color w:val="000000"/>
                <w:sz w:val="24"/>
                <w:lang w:eastAsia="es-CR"/>
              </w:rPr>
              <w:t>Las personas pueden sentirse inseguras o no representadas, lo que perjudica el clima organizacional.</w:t>
            </w:r>
          </w:p>
        </w:tc>
        <w:tc>
          <w:tcPr>
            <w:tcW w:w="1276" w:type="dxa"/>
            <w:tcBorders>
              <w:top w:val="nil"/>
              <w:left w:val="nil"/>
              <w:bottom w:val="single" w:sz="4" w:space="0" w:color="auto"/>
              <w:right w:val="single" w:sz="4" w:space="0" w:color="auto"/>
            </w:tcBorders>
            <w:noWrap/>
            <w:vAlign w:val="center"/>
            <w:hideMark/>
          </w:tcPr>
          <w:p w14:paraId="1142A379"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4486240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Crear un canal confidencial de comunicación y seguimiento de casos de discriminación.</w:t>
            </w:r>
          </w:p>
        </w:tc>
        <w:tc>
          <w:tcPr>
            <w:tcW w:w="966" w:type="dxa"/>
            <w:tcBorders>
              <w:top w:val="nil"/>
              <w:left w:val="nil"/>
              <w:bottom w:val="single" w:sz="4" w:space="0" w:color="auto"/>
              <w:right w:val="single" w:sz="4" w:space="0" w:color="auto"/>
            </w:tcBorders>
            <w:noWrap/>
            <w:vAlign w:val="center"/>
            <w:hideMark/>
          </w:tcPr>
          <w:p w14:paraId="69214742"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3CB78E96"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68E5E1A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Se refuerza la equidad y se fortalece la cultura de respeto.</w:t>
            </w:r>
          </w:p>
        </w:tc>
      </w:tr>
      <w:tr w:rsidR="00F212FE" w:rsidRPr="00242EB4" w14:paraId="3B5F8AA3" w14:textId="77777777" w:rsidTr="0055381F">
        <w:trPr>
          <w:gridAfter w:val="1"/>
          <w:wAfter w:w="118" w:type="dxa"/>
          <w:trHeight w:val="1550"/>
        </w:trPr>
        <w:tc>
          <w:tcPr>
            <w:tcW w:w="2076" w:type="dxa"/>
            <w:vMerge w:val="restart"/>
            <w:tcBorders>
              <w:top w:val="single" w:sz="4" w:space="0" w:color="auto"/>
              <w:left w:val="single" w:sz="4" w:space="0" w:color="auto"/>
              <w:bottom w:val="single" w:sz="4" w:space="0" w:color="auto"/>
              <w:right w:val="nil"/>
            </w:tcBorders>
            <w:shd w:val="clear" w:color="auto" w:fill="ED7D31" w:themeFill="accent2"/>
            <w:noWrap/>
            <w:vAlign w:val="bottom"/>
            <w:hideMark/>
          </w:tcPr>
          <w:p w14:paraId="76DD4F4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val="restart"/>
            <w:tcBorders>
              <w:top w:val="nil"/>
              <w:left w:val="single" w:sz="4" w:space="0" w:color="auto"/>
              <w:bottom w:val="single" w:sz="4" w:space="0" w:color="auto"/>
              <w:right w:val="single" w:sz="4" w:space="0" w:color="auto"/>
            </w:tcBorders>
            <w:shd w:val="clear" w:color="000000" w:fill="F2F2F2"/>
            <w:vAlign w:val="center"/>
            <w:hideMark/>
          </w:tcPr>
          <w:p w14:paraId="2337DFBE"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r w:rsidRPr="00242EB4">
              <w:rPr>
                <w:rFonts w:ascii="Calibri" w:eastAsia="Times New Roman" w:hAnsi="Calibri" w:cs="Calibri"/>
                <w:color w:val="000000"/>
                <w:sz w:val="18"/>
                <w:szCs w:val="18"/>
                <w:lang w:val="es-CR" w:eastAsia="es-CR"/>
              </w:rPr>
              <w:t xml:space="preserve">Desarrollo de competencias locales es el proceso de fomentar y expandir las habilidades, el conocimiento y la experiencia en las localidades en las que </w:t>
            </w:r>
            <w:r w:rsidRPr="00242EB4">
              <w:rPr>
                <w:rFonts w:ascii="Calibri" w:eastAsia="Times New Roman" w:hAnsi="Calibri" w:cs="Calibri"/>
                <w:color w:val="000000"/>
                <w:sz w:val="18"/>
                <w:szCs w:val="18"/>
                <w:lang w:val="es-CR" w:eastAsia="es-CR"/>
              </w:rPr>
              <w:lastRenderedPageBreak/>
              <w:t xml:space="preserve">opera el proyecto. Puede implicar brindar capacitación o educación a las personas locales, así </w:t>
            </w:r>
            <w:r w:rsidRPr="00242EB4">
              <w:rPr>
                <w:rFonts w:ascii="Calibri" w:eastAsia="Times New Roman" w:hAnsi="Calibri" w:cs="Calibri"/>
                <w:noProof/>
                <w:color w:val="000000"/>
                <w:sz w:val="24"/>
                <w:lang w:val="es-CR" w:eastAsia="es-CR"/>
              </w:rPr>
              <w:drawing>
                <wp:anchor distT="0" distB="0" distL="114300" distR="114300" simplePos="0" relativeHeight="251665408" behindDoc="0" locked="0" layoutInCell="1" allowOverlap="1" wp14:anchorId="56977E95" wp14:editId="0CE010E5">
                  <wp:simplePos x="0" y="0"/>
                  <wp:positionH relativeFrom="column">
                    <wp:posOffset>-1184275</wp:posOffset>
                  </wp:positionH>
                  <wp:positionV relativeFrom="paragraph">
                    <wp:posOffset>730885</wp:posOffset>
                  </wp:positionV>
                  <wp:extent cx="863600" cy="901700"/>
                  <wp:effectExtent l="0" t="0" r="0" b="0"/>
                  <wp:wrapNone/>
                  <wp:docPr id="17" name="Imagen 18">
                    <a:extLst xmlns:a="http://schemas.openxmlformats.org/drawingml/2006/main">
                      <a:ext uri="{FF2B5EF4-FFF2-40B4-BE49-F238E27FC236}">
                        <a16:creationId xmlns:a16="http://schemas.microsoft.com/office/drawing/2014/main" id="{00000000-0008-0000-0300-000011000000}"/>
                      </a:ext>
                    </a:extLst>
                  </wp:docPr>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00000000-0008-0000-0300-000011000000}"/>
                              </a:ext>
                            </a:extLst>
                          </pic:cNvPr>
                          <pic:cNvPicPr>
                            <a:picLocks noChangeAspect="1"/>
                          </pic:cNvPicPr>
                        </pic:nvPicPr>
                        <pic:blipFill>
                          <a:blip r:embed="rId31"/>
                          <a:stretch>
                            <a:fillRect/>
                          </a:stretch>
                        </pic:blipFill>
                        <pic:spPr>
                          <a:xfrm>
                            <a:off x="0" y="0"/>
                            <a:ext cx="863600" cy="901700"/>
                          </a:xfrm>
                          <a:prstGeom prst="rect">
                            <a:avLst/>
                          </a:prstGeom>
                        </pic:spPr>
                      </pic:pic>
                    </a:graphicData>
                  </a:graphic>
                  <wp14:sizeRelH relativeFrom="page">
                    <wp14:pctWidth>0</wp14:pctWidth>
                  </wp14:sizeRelH>
                  <wp14:sizeRelV relativeFrom="page">
                    <wp14:pctHeight>0</wp14:pctHeight>
                  </wp14:sizeRelV>
                </wp:anchor>
              </w:drawing>
            </w:r>
            <w:r w:rsidRPr="00242EB4">
              <w:rPr>
                <w:rFonts w:ascii="Calibri" w:eastAsia="Times New Roman" w:hAnsi="Calibri" w:cs="Calibri"/>
                <w:color w:val="000000"/>
                <w:sz w:val="18"/>
                <w:szCs w:val="18"/>
                <w:lang w:val="es-CR" w:eastAsia="es-CR"/>
              </w:rPr>
              <w:t>como alentar la colaboración y el intercambio de recursos entre la organización del proyecto y las organizaciones locales o las personas locales.</w:t>
            </w:r>
          </w:p>
        </w:tc>
        <w:tc>
          <w:tcPr>
            <w:tcW w:w="1701" w:type="dxa"/>
            <w:tcBorders>
              <w:top w:val="nil"/>
              <w:left w:val="nil"/>
              <w:bottom w:val="single" w:sz="4" w:space="0" w:color="auto"/>
              <w:right w:val="single" w:sz="4" w:space="0" w:color="auto"/>
            </w:tcBorders>
            <w:shd w:val="clear" w:color="000000" w:fill="F2F2F2"/>
            <w:noWrap/>
            <w:vAlign w:val="center"/>
            <w:hideMark/>
          </w:tcPr>
          <w:p w14:paraId="318F3A4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lastRenderedPageBreak/>
              <w:t>Vida Útil</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EBC008C"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6D6DE8A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Actualmente no se aprovecha el conocimiento local ni se integran profesionales o </w:t>
            </w:r>
            <w:r w:rsidRPr="00242EB4">
              <w:rPr>
                <w:rFonts w:ascii="Calibri" w:eastAsia="Times New Roman" w:hAnsi="Calibri" w:cs="Calibri"/>
                <w:color w:val="000000"/>
                <w:sz w:val="24"/>
                <w:lang w:val="es-CR" w:eastAsia="es-CR"/>
              </w:rPr>
              <w:lastRenderedPageBreak/>
              <w:t>proveedores locales en etapas clave del proyecto.</w:t>
            </w:r>
          </w:p>
        </w:tc>
        <w:tc>
          <w:tcPr>
            <w:tcW w:w="2506" w:type="dxa"/>
            <w:tcBorders>
              <w:top w:val="nil"/>
              <w:left w:val="nil"/>
              <w:bottom w:val="single" w:sz="4" w:space="0" w:color="auto"/>
              <w:right w:val="single" w:sz="4" w:space="0" w:color="auto"/>
            </w:tcBorders>
            <w:hideMark/>
          </w:tcPr>
          <w:p w14:paraId="2C82464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lastRenderedPageBreak/>
              <w:t> </w:t>
            </w:r>
            <w:r w:rsidRPr="00495E7E">
              <w:rPr>
                <w:rFonts w:ascii="Calibri" w:eastAsia="Times New Roman" w:hAnsi="Calibri" w:cs="Calibri"/>
                <w:color w:val="000000"/>
                <w:sz w:val="24"/>
                <w:lang w:eastAsia="es-CR"/>
              </w:rPr>
              <w:t xml:space="preserve">Se pierde la oportunidad de fortalecer la base de talento local, lo cual puede afectar la </w:t>
            </w:r>
            <w:r w:rsidRPr="00495E7E">
              <w:rPr>
                <w:rFonts w:ascii="Calibri" w:eastAsia="Times New Roman" w:hAnsi="Calibri" w:cs="Calibri"/>
                <w:color w:val="000000"/>
                <w:sz w:val="24"/>
                <w:lang w:eastAsia="es-CR"/>
              </w:rPr>
              <w:lastRenderedPageBreak/>
              <w:t>continuidad y adaptación de futuros proyectos.</w:t>
            </w:r>
          </w:p>
        </w:tc>
        <w:tc>
          <w:tcPr>
            <w:tcW w:w="1276" w:type="dxa"/>
            <w:tcBorders>
              <w:top w:val="nil"/>
              <w:left w:val="nil"/>
              <w:bottom w:val="single" w:sz="4" w:space="0" w:color="auto"/>
              <w:right w:val="single" w:sz="4" w:space="0" w:color="auto"/>
            </w:tcBorders>
            <w:noWrap/>
            <w:vAlign w:val="center"/>
            <w:hideMark/>
          </w:tcPr>
          <w:p w14:paraId="1CCFBB56"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lastRenderedPageBreak/>
              <w:t>2</w:t>
            </w:r>
          </w:p>
        </w:tc>
        <w:tc>
          <w:tcPr>
            <w:tcW w:w="2977" w:type="dxa"/>
            <w:tcBorders>
              <w:top w:val="nil"/>
              <w:left w:val="nil"/>
              <w:bottom w:val="single" w:sz="4" w:space="0" w:color="auto"/>
              <w:right w:val="single" w:sz="4" w:space="0" w:color="auto"/>
            </w:tcBorders>
            <w:hideMark/>
          </w:tcPr>
          <w:p w14:paraId="6852910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Incluir en los proyectos un plan para vincular proveedores locales o profesionales formados en la región.</w:t>
            </w:r>
          </w:p>
        </w:tc>
        <w:tc>
          <w:tcPr>
            <w:tcW w:w="966" w:type="dxa"/>
            <w:tcBorders>
              <w:top w:val="nil"/>
              <w:left w:val="nil"/>
              <w:bottom w:val="single" w:sz="4" w:space="0" w:color="auto"/>
              <w:right w:val="single" w:sz="4" w:space="0" w:color="auto"/>
            </w:tcBorders>
            <w:noWrap/>
            <w:vAlign w:val="center"/>
            <w:hideMark/>
          </w:tcPr>
          <w:p w14:paraId="4292C1FD"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1328D7D6"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20ECE6D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Mayor sostenibilidad y adaptabilidad de las soluciones locales.</w:t>
            </w:r>
          </w:p>
        </w:tc>
      </w:tr>
      <w:tr w:rsidR="00F212FE" w:rsidRPr="00242EB4" w14:paraId="16116CB7" w14:textId="77777777" w:rsidTr="0055381F">
        <w:trPr>
          <w:gridAfter w:val="1"/>
          <w:wAfter w:w="118" w:type="dxa"/>
          <w:trHeight w:val="155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5B56573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1A5CEE8A"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7A37ECE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Mantenimiento</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E87A89D"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455C7B75"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No existen programas de seguimiento o actualización de competencias en los equipos locales una vez finalizado el proyecto.</w:t>
            </w:r>
          </w:p>
        </w:tc>
        <w:tc>
          <w:tcPr>
            <w:tcW w:w="2506" w:type="dxa"/>
            <w:tcBorders>
              <w:top w:val="nil"/>
              <w:left w:val="nil"/>
              <w:bottom w:val="single" w:sz="4" w:space="0" w:color="auto"/>
              <w:right w:val="single" w:sz="4" w:space="0" w:color="auto"/>
            </w:tcBorders>
            <w:hideMark/>
          </w:tcPr>
          <w:p w14:paraId="07F90AF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495E7E">
              <w:rPr>
                <w:rFonts w:ascii="Calibri" w:eastAsia="Times New Roman" w:hAnsi="Calibri" w:cs="Calibri"/>
                <w:color w:val="000000"/>
                <w:sz w:val="24"/>
                <w:lang w:eastAsia="es-CR"/>
              </w:rPr>
              <w:t>Las capacidades adquiridas se pierden con el tiempo si no se mantienen ni actualizan.</w:t>
            </w:r>
          </w:p>
        </w:tc>
        <w:tc>
          <w:tcPr>
            <w:tcW w:w="1276" w:type="dxa"/>
            <w:tcBorders>
              <w:top w:val="nil"/>
              <w:left w:val="nil"/>
              <w:bottom w:val="single" w:sz="4" w:space="0" w:color="auto"/>
              <w:right w:val="single" w:sz="4" w:space="0" w:color="auto"/>
            </w:tcBorders>
            <w:noWrap/>
            <w:vAlign w:val="center"/>
            <w:hideMark/>
          </w:tcPr>
          <w:p w14:paraId="7826D9A1"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2977" w:type="dxa"/>
            <w:tcBorders>
              <w:top w:val="nil"/>
              <w:left w:val="nil"/>
              <w:bottom w:val="single" w:sz="4" w:space="0" w:color="auto"/>
              <w:right w:val="single" w:sz="4" w:space="0" w:color="auto"/>
            </w:tcBorders>
            <w:hideMark/>
          </w:tcPr>
          <w:p w14:paraId="0577FA4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Proponer alianzas con instituciones técnicas para capacitaciones periódicas en gestión de proyectos y construcción sostenible.</w:t>
            </w:r>
          </w:p>
        </w:tc>
        <w:tc>
          <w:tcPr>
            <w:tcW w:w="966" w:type="dxa"/>
            <w:tcBorders>
              <w:top w:val="nil"/>
              <w:left w:val="nil"/>
              <w:bottom w:val="single" w:sz="4" w:space="0" w:color="auto"/>
              <w:right w:val="single" w:sz="4" w:space="0" w:color="auto"/>
            </w:tcBorders>
            <w:noWrap/>
            <w:vAlign w:val="center"/>
            <w:hideMark/>
          </w:tcPr>
          <w:p w14:paraId="66C8B11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992" w:type="dxa"/>
            <w:tcBorders>
              <w:top w:val="nil"/>
              <w:left w:val="nil"/>
              <w:bottom w:val="single" w:sz="4" w:space="0" w:color="auto"/>
              <w:right w:val="single" w:sz="4" w:space="0" w:color="auto"/>
            </w:tcBorders>
            <w:noWrap/>
            <w:vAlign w:val="center"/>
            <w:hideMark/>
          </w:tcPr>
          <w:p w14:paraId="3C3E5D2D"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3F896C6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Mejora continua y profesionalización local.</w:t>
            </w:r>
          </w:p>
        </w:tc>
      </w:tr>
      <w:tr w:rsidR="00F212FE" w:rsidRPr="00242EB4" w14:paraId="1FA5A875" w14:textId="77777777" w:rsidTr="0055381F">
        <w:trPr>
          <w:gridAfter w:val="1"/>
          <w:wAfter w:w="118" w:type="dxa"/>
          <w:trHeight w:val="186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3584572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31109FF4"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65D5283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Eficacia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D756269"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5B4D1D1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La falta de entrenamiento local específico impide delegar responsabilidades con confianza y puede aumentar la carga en el equipo principal.</w:t>
            </w:r>
          </w:p>
        </w:tc>
        <w:tc>
          <w:tcPr>
            <w:tcW w:w="2506" w:type="dxa"/>
            <w:tcBorders>
              <w:top w:val="nil"/>
              <w:left w:val="nil"/>
              <w:bottom w:val="single" w:sz="4" w:space="0" w:color="auto"/>
              <w:right w:val="single" w:sz="4" w:space="0" w:color="auto"/>
            </w:tcBorders>
            <w:hideMark/>
          </w:tcPr>
          <w:p w14:paraId="386248C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495E7E">
              <w:rPr>
                <w:rFonts w:ascii="Calibri" w:eastAsia="Times New Roman" w:hAnsi="Calibri" w:cs="Calibri"/>
                <w:color w:val="000000"/>
                <w:sz w:val="24"/>
                <w:lang w:eastAsia="es-CR"/>
              </w:rPr>
              <w:t>Se reduce la capacidad de respuesta y flexibilidad en etapas críticas del proyecto.</w:t>
            </w:r>
          </w:p>
        </w:tc>
        <w:tc>
          <w:tcPr>
            <w:tcW w:w="1276" w:type="dxa"/>
            <w:tcBorders>
              <w:top w:val="nil"/>
              <w:left w:val="nil"/>
              <w:bottom w:val="single" w:sz="4" w:space="0" w:color="auto"/>
              <w:right w:val="single" w:sz="4" w:space="0" w:color="auto"/>
            </w:tcBorders>
            <w:noWrap/>
            <w:vAlign w:val="center"/>
            <w:hideMark/>
          </w:tcPr>
          <w:p w14:paraId="2D90094A"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09C1186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Diseñar talleres introductorios sobre metodología “Design &amp; Build” para colaboradores locales involucrados en el proyecto.</w:t>
            </w:r>
          </w:p>
        </w:tc>
        <w:tc>
          <w:tcPr>
            <w:tcW w:w="966" w:type="dxa"/>
            <w:tcBorders>
              <w:top w:val="nil"/>
              <w:left w:val="nil"/>
              <w:bottom w:val="single" w:sz="4" w:space="0" w:color="auto"/>
              <w:right w:val="single" w:sz="4" w:space="0" w:color="auto"/>
            </w:tcBorders>
            <w:noWrap/>
            <w:vAlign w:val="center"/>
            <w:hideMark/>
          </w:tcPr>
          <w:p w14:paraId="4FD2DE72"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67AC94E0"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62D850E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Mejora en la colaboración y en la calidad del trabajo entregado.</w:t>
            </w:r>
          </w:p>
        </w:tc>
      </w:tr>
      <w:tr w:rsidR="00F212FE" w:rsidRPr="00242EB4" w14:paraId="2D79A180" w14:textId="77777777" w:rsidTr="0055381F">
        <w:trPr>
          <w:gridAfter w:val="1"/>
          <w:wAfter w:w="118" w:type="dxa"/>
          <w:trHeight w:val="31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313C5CD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73C31AEB"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1EEC8FA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Eficiencia</w:t>
            </w:r>
          </w:p>
        </w:tc>
        <w:tc>
          <w:tcPr>
            <w:tcW w:w="86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4FAAE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No</w:t>
            </w:r>
          </w:p>
        </w:tc>
        <w:tc>
          <w:tcPr>
            <w:tcW w:w="2897" w:type="dxa"/>
            <w:tcBorders>
              <w:top w:val="single" w:sz="4" w:space="0" w:color="auto"/>
              <w:left w:val="single" w:sz="4" w:space="0" w:color="auto"/>
              <w:bottom w:val="single" w:sz="4" w:space="0" w:color="auto"/>
              <w:right w:val="single" w:sz="4" w:space="0" w:color="auto"/>
            </w:tcBorders>
            <w:shd w:val="clear" w:color="000000" w:fill="BFBFBF"/>
            <w:hideMark/>
          </w:tcPr>
          <w:p w14:paraId="2F5BF9F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2506" w:type="dxa"/>
            <w:tcBorders>
              <w:top w:val="single" w:sz="4" w:space="0" w:color="auto"/>
              <w:left w:val="single" w:sz="4" w:space="0" w:color="auto"/>
              <w:bottom w:val="single" w:sz="4" w:space="0" w:color="auto"/>
              <w:right w:val="single" w:sz="4" w:space="0" w:color="auto"/>
            </w:tcBorders>
            <w:shd w:val="clear" w:color="000000" w:fill="BFBFBF"/>
            <w:hideMark/>
          </w:tcPr>
          <w:p w14:paraId="7692673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127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98E1F3D"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2977" w:type="dxa"/>
            <w:tcBorders>
              <w:top w:val="single" w:sz="4" w:space="0" w:color="auto"/>
              <w:left w:val="single" w:sz="4" w:space="0" w:color="auto"/>
              <w:bottom w:val="single" w:sz="4" w:space="0" w:color="auto"/>
              <w:right w:val="single" w:sz="4" w:space="0" w:color="auto"/>
            </w:tcBorders>
            <w:shd w:val="clear" w:color="000000" w:fill="BFBFBF"/>
            <w:hideMark/>
          </w:tcPr>
          <w:p w14:paraId="0C514FF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9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67654CF"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99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4A05002"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0</w:t>
            </w:r>
          </w:p>
        </w:tc>
        <w:tc>
          <w:tcPr>
            <w:tcW w:w="3520" w:type="dxa"/>
            <w:tcBorders>
              <w:top w:val="single" w:sz="4" w:space="0" w:color="auto"/>
              <w:left w:val="single" w:sz="4" w:space="0" w:color="auto"/>
              <w:bottom w:val="single" w:sz="4" w:space="0" w:color="auto"/>
              <w:right w:val="single" w:sz="4" w:space="0" w:color="auto"/>
            </w:tcBorders>
            <w:shd w:val="clear" w:color="000000" w:fill="BFBFBF"/>
            <w:hideMark/>
          </w:tcPr>
          <w:p w14:paraId="352A292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r>
      <w:tr w:rsidR="00F212FE" w:rsidRPr="00242EB4" w14:paraId="7F9AC0AE" w14:textId="77777777" w:rsidTr="0055381F">
        <w:trPr>
          <w:gridAfter w:val="1"/>
          <w:wAfter w:w="118" w:type="dxa"/>
          <w:trHeight w:val="155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2E35674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51C88023"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13E89B0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Imparcialidad</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D902CFD"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7F1AD0C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No se contempla activamente la inclusión de talento local de diferentes sectores o regiones del país.</w:t>
            </w:r>
          </w:p>
        </w:tc>
        <w:tc>
          <w:tcPr>
            <w:tcW w:w="2506" w:type="dxa"/>
            <w:tcBorders>
              <w:top w:val="nil"/>
              <w:left w:val="nil"/>
              <w:bottom w:val="single" w:sz="4" w:space="0" w:color="auto"/>
              <w:right w:val="single" w:sz="4" w:space="0" w:color="auto"/>
            </w:tcBorders>
            <w:hideMark/>
          </w:tcPr>
          <w:p w14:paraId="42C77D1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495E7E">
              <w:rPr>
                <w:rFonts w:ascii="Calibri" w:eastAsia="Times New Roman" w:hAnsi="Calibri" w:cs="Calibri"/>
                <w:color w:val="000000"/>
                <w:sz w:val="24"/>
                <w:lang w:eastAsia="es-CR"/>
              </w:rPr>
              <w:t>Se pueden generar barreras de acceso o desigualdad de oportunidades dentro del desarrollo del proyecto.</w:t>
            </w:r>
          </w:p>
        </w:tc>
        <w:tc>
          <w:tcPr>
            <w:tcW w:w="1276" w:type="dxa"/>
            <w:tcBorders>
              <w:top w:val="nil"/>
              <w:left w:val="nil"/>
              <w:bottom w:val="single" w:sz="4" w:space="0" w:color="auto"/>
              <w:right w:val="single" w:sz="4" w:space="0" w:color="auto"/>
            </w:tcBorders>
            <w:noWrap/>
            <w:vAlign w:val="center"/>
            <w:hideMark/>
          </w:tcPr>
          <w:p w14:paraId="7A15BFE0"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2F6EF84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Promover convocatorias abiertas con criterios claros de selección para integrar talento regional en futuras contrataciones.</w:t>
            </w:r>
          </w:p>
        </w:tc>
        <w:tc>
          <w:tcPr>
            <w:tcW w:w="966" w:type="dxa"/>
            <w:tcBorders>
              <w:top w:val="nil"/>
              <w:left w:val="nil"/>
              <w:bottom w:val="single" w:sz="4" w:space="0" w:color="auto"/>
              <w:right w:val="single" w:sz="4" w:space="0" w:color="auto"/>
            </w:tcBorders>
            <w:noWrap/>
            <w:vAlign w:val="center"/>
            <w:hideMark/>
          </w:tcPr>
          <w:p w14:paraId="4F367D1A"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992" w:type="dxa"/>
            <w:tcBorders>
              <w:top w:val="nil"/>
              <w:left w:val="nil"/>
              <w:bottom w:val="single" w:sz="4" w:space="0" w:color="auto"/>
              <w:right w:val="single" w:sz="4" w:space="0" w:color="auto"/>
            </w:tcBorders>
            <w:noWrap/>
            <w:vAlign w:val="center"/>
            <w:hideMark/>
          </w:tcPr>
          <w:p w14:paraId="786A1DB7"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1A02FC6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Se garantiza una distribución más equitativa de oportunidades y beneficios.</w:t>
            </w:r>
          </w:p>
        </w:tc>
      </w:tr>
      <w:tr w:rsidR="00F212FE" w:rsidRPr="00242EB4" w14:paraId="6A6B5EB8" w14:textId="77777777" w:rsidTr="0055381F">
        <w:trPr>
          <w:gridAfter w:val="1"/>
          <w:wAfter w:w="118" w:type="dxa"/>
          <w:trHeight w:val="1550"/>
        </w:trPr>
        <w:tc>
          <w:tcPr>
            <w:tcW w:w="2076" w:type="dxa"/>
            <w:vMerge w:val="restart"/>
            <w:tcBorders>
              <w:top w:val="single" w:sz="4" w:space="0" w:color="auto"/>
              <w:left w:val="nil"/>
              <w:bottom w:val="nil"/>
              <w:right w:val="nil"/>
            </w:tcBorders>
            <w:shd w:val="clear" w:color="auto" w:fill="ED7D31" w:themeFill="accent2"/>
            <w:noWrap/>
            <w:vAlign w:val="bottom"/>
            <w:hideMark/>
          </w:tcPr>
          <w:p w14:paraId="6EDEC04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noProof/>
                <w:color w:val="000000"/>
                <w:sz w:val="24"/>
                <w:lang w:val="es-CR" w:eastAsia="es-CR"/>
              </w:rPr>
              <w:drawing>
                <wp:anchor distT="0" distB="0" distL="114300" distR="114300" simplePos="0" relativeHeight="251666432" behindDoc="0" locked="0" layoutInCell="1" allowOverlap="1" wp14:anchorId="0AF4D0D9" wp14:editId="6CFCDC63">
                  <wp:simplePos x="0" y="0"/>
                  <wp:positionH relativeFrom="column">
                    <wp:posOffset>196850</wp:posOffset>
                  </wp:positionH>
                  <wp:positionV relativeFrom="paragraph">
                    <wp:posOffset>-1263650</wp:posOffset>
                  </wp:positionV>
                  <wp:extent cx="831850" cy="895350"/>
                  <wp:effectExtent l="0" t="0" r="6350" b="0"/>
                  <wp:wrapNone/>
                  <wp:docPr id="19" name="Imagen 17">
                    <a:extLst xmlns:a="http://schemas.openxmlformats.org/drawingml/2006/main">
                      <a:ext uri="{FF2B5EF4-FFF2-40B4-BE49-F238E27FC236}">
                        <a16:creationId xmlns:a16="http://schemas.microsoft.com/office/drawing/2014/main" id="{00000000-0008-0000-0300-000013000000}"/>
                      </a:ext>
                    </a:extLst>
                  </wp:docPr>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00000000-0008-0000-0300-000013000000}"/>
                              </a:ext>
                            </a:extLst>
                          </pic:cNvPr>
                          <pic:cNvPicPr>
                            <a:picLocks noChangeAspect="1"/>
                          </pic:cNvPicPr>
                        </pic:nvPicPr>
                        <pic:blipFill>
                          <a:blip r:embed="rId32"/>
                          <a:stretch>
                            <a:fillRect/>
                          </a:stretch>
                        </pic:blipFill>
                        <pic:spPr>
                          <a:xfrm>
                            <a:off x="0" y="0"/>
                            <a:ext cx="831850" cy="895350"/>
                          </a:xfrm>
                          <a:prstGeom prst="rect">
                            <a:avLst/>
                          </a:prstGeom>
                        </pic:spPr>
                      </pic:pic>
                    </a:graphicData>
                  </a:graphic>
                  <wp14:sizeRelH relativeFrom="page">
                    <wp14:pctWidth>0</wp14:pctWidth>
                  </wp14:sizeRelH>
                  <wp14:sizeRelV relativeFrom="page">
                    <wp14:pctHeight>0</wp14:pctHeight>
                  </wp14:sizeRelV>
                </wp:anchor>
              </w:drawing>
            </w:r>
          </w:p>
          <w:p w14:paraId="72845C2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val="restart"/>
            <w:tcBorders>
              <w:top w:val="nil"/>
              <w:left w:val="single" w:sz="4" w:space="0" w:color="auto"/>
              <w:bottom w:val="single" w:sz="4" w:space="0" w:color="auto"/>
              <w:right w:val="single" w:sz="4" w:space="0" w:color="auto"/>
            </w:tcBorders>
            <w:shd w:val="clear" w:color="000000" w:fill="F2F2F2"/>
            <w:vAlign w:val="center"/>
            <w:hideMark/>
          </w:tcPr>
          <w:p w14:paraId="5AD0530E"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r w:rsidRPr="00242EB4">
              <w:rPr>
                <w:rFonts w:ascii="Calibri" w:eastAsia="Times New Roman" w:hAnsi="Calibri" w:cs="Calibri"/>
                <w:color w:val="000000"/>
                <w:sz w:val="18"/>
                <w:szCs w:val="18"/>
                <w:lang w:val="es-CR" w:eastAsia="es-CR"/>
              </w:rPr>
              <w:t>Armonía trabajo-vida y salud mental se refiere a la capacidad de las personas para lograr un equilibrio entre sus objetivos profesionales y los compromisos dentro de sus vidas personales. Esto implica tomar descansos regulares del trabajo, desarrollar hábitos de trabajo saludables y participar en actividades que brinden una sensación de alegría y satisfacción.</w:t>
            </w:r>
          </w:p>
        </w:tc>
        <w:tc>
          <w:tcPr>
            <w:tcW w:w="1701" w:type="dxa"/>
            <w:tcBorders>
              <w:top w:val="nil"/>
              <w:left w:val="nil"/>
              <w:bottom w:val="single" w:sz="4" w:space="0" w:color="auto"/>
              <w:right w:val="single" w:sz="4" w:space="0" w:color="auto"/>
            </w:tcBorders>
            <w:shd w:val="clear" w:color="000000" w:fill="F2F2F2"/>
            <w:noWrap/>
            <w:vAlign w:val="center"/>
            <w:hideMark/>
          </w:tcPr>
          <w:p w14:paraId="050F28E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Vida Útil</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1A150E8"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14A99B1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Los equipos enfrentan jornadas extensas y carga laboral alta durante el desarrollo de proyectos Design &amp; Build.</w:t>
            </w:r>
          </w:p>
        </w:tc>
        <w:tc>
          <w:tcPr>
            <w:tcW w:w="2506" w:type="dxa"/>
            <w:tcBorders>
              <w:top w:val="nil"/>
              <w:left w:val="nil"/>
              <w:bottom w:val="single" w:sz="4" w:space="0" w:color="auto"/>
              <w:right w:val="single" w:sz="4" w:space="0" w:color="auto"/>
            </w:tcBorders>
            <w:hideMark/>
          </w:tcPr>
          <w:p w14:paraId="49AF8DC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495E7E">
              <w:rPr>
                <w:rFonts w:ascii="Calibri" w:eastAsia="Times New Roman" w:hAnsi="Calibri" w:cs="Calibri"/>
                <w:color w:val="000000"/>
                <w:sz w:val="24"/>
                <w:lang w:eastAsia="es-CR"/>
              </w:rPr>
              <w:t>Puede provocar agotamiento y disminución de la motivación a largo plazo, afectando la permanencia del talento en la organización.</w:t>
            </w:r>
          </w:p>
        </w:tc>
        <w:tc>
          <w:tcPr>
            <w:tcW w:w="1276" w:type="dxa"/>
            <w:tcBorders>
              <w:top w:val="nil"/>
              <w:left w:val="nil"/>
              <w:bottom w:val="single" w:sz="4" w:space="0" w:color="auto"/>
              <w:right w:val="single" w:sz="4" w:space="0" w:color="auto"/>
            </w:tcBorders>
            <w:noWrap/>
            <w:vAlign w:val="center"/>
            <w:hideMark/>
          </w:tcPr>
          <w:p w14:paraId="6EDF15FC"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7F5B46B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Implementar pausas activas semanales y promover horarios flexibles cuando el cronograma lo permita.</w:t>
            </w:r>
          </w:p>
        </w:tc>
        <w:tc>
          <w:tcPr>
            <w:tcW w:w="966" w:type="dxa"/>
            <w:tcBorders>
              <w:top w:val="nil"/>
              <w:left w:val="nil"/>
              <w:bottom w:val="single" w:sz="4" w:space="0" w:color="auto"/>
              <w:right w:val="single" w:sz="4" w:space="0" w:color="auto"/>
            </w:tcBorders>
            <w:noWrap/>
            <w:vAlign w:val="center"/>
            <w:hideMark/>
          </w:tcPr>
          <w:p w14:paraId="6BB43F6E"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7CF24948"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75F245C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Mejora del clima laboral y menor rotación del personal.</w:t>
            </w:r>
          </w:p>
        </w:tc>
      </w:tr>
      <w:tr w:rsidR="00F212FE" w:rsidRPr="00242EB4" w14:paraId="6907E731" w14:textId="77777777" w:rsidTr="0055381F">
        <w:trPr>
          <w:gridAfter w:val="1"/>
          <w:wAfter w:w="118" w:type="dxa"/>
          <w:trHeight w:val="1860"/>
        </w:trPr>
        <w:tc>
          <w:tcPr>
            <w:tcW w:w="2076" w:type="dxa"/>
            <w:vMerge/>
            <w:tcBorders>
              <w:top w:val="nil"/>
              <w:left w:val="nil"/>
              <w:bottom w:val="nil"/>
              <w:right w:val="nil"/>
            </w:tcBorders>
            <w:shd w:val="clear" w:color="auto" w:fill="ED7D31" w:themeFill="accent2"/>
            <w:vAlign w:val="center"/>
            <w:hideMark/>
          </w:tcPr>
          <w:p w14:paraId="341DB60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72DDD834"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43BC27A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Mantenimiento</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44AB0CD"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606D6E9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No existen iniciativas sostenidas que den seguimiento al estado emocional de los colaboradores tras proyectos exigentes.</w:t>
            </w:r>
          </w:p>
        </w:tc>
        <w:tc>
          <w:tcPr>
            <w:tcW w:w="2506" w:type="dxa"/>
            <w:tcBorders>
              <w:top w:val="nil"/>
              <w:left w:val="nil"/>
              <w:bottom w:val="single" w:sz="4" w:space="0" w:color="auto"/>
              <w:right w:val="single" w:sz="4" w:space="0" w:color="auto"/>
            </w:tcBorders>
            <w:hideMark/>
          </w:tcPr>
          <w:p w14:paraId="61390AB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495E7E">
              <w:rPr>
                <w:rFonts w:ascii="Calibri" w:eastAsia="Times New Roman" w:hAnsi="Calibri" w:cs="Calibri"/>
                <w:color w:val="000000"/>
                <w:sz w:val="24"/>
                <w:lang w:eastAsia="es-CR"/>
              </w:rPr>
              <w:t>Riesgo de desgaste progresivo, lo que reduce la productividad sostenida.</w:t>
            </w:r>
          </w:p>
        </w:tc>
        <w:tc>
          <w:tcPr>
            <w:tcW w:w="1276" w:type="dxa"/>
            <w:tcBorders>
              <w:top w:val="nil"/>
              <w:left w:val="nil"/>
              <w:bottom w:val="single" w:sz="4" w:space="0" w:color="auto"/>
              <w:right w:val="single" w:sz="4" w:space="0" w:color="auto"/>
            </w:tcBorders>
            <w:noWrap/>
            <w:vAlign w:val="center"/>
            <w:hideMark/>
          </w:tcPr>
          <w:p w14:paraId="645E2471"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2977" w:type="dxa"/>
            <w:tcBorders>
              <w:top w:val="nil"/>
              <w:left w:val="nil"/>
              <w:bottom w:val="single" w:sz="4" w:space="0" w:color="auto"/>
              <w:right w:val="single" w:sz="4" w:space="0" w:color="auto"/>
            </w:tcBorders>
            <w:hideMark/>
          </w:tcPr>
          <w:p w14:paraId="0AA8E1D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Crear espacios mensuales de retroalimentación y autocuidado liderados por RRHH.</w:t>
            </w:r>
          </w:p>
        </w:tc>
        <w:tc>
          <w:tcPr>
            <w:tcW w:w="966" w:type="dxa"/>
            <w:tcBorders>
              <w:top w:val="nil"/>
              <w:left w:val="nil"/>
              <w:bottom w:val="single" w:sz="4" w:space="0" w:color="auto"/>
              <w:right w:val="single" w:sz="4" w:space="0" w:color="auto"/>
            </w:tcBorders>
            <w:noWrap/>
            <w:vAlign w:val="center"/>
            <w:hideMark/>
          </w:tcPr>
          <w:p w14:paraId="0BEC9FF8"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992" w:type="dxa"/>
            <w:tcBorders>
              <w:top w:val="nil"/>
              <w:left w:val="nil"/>
              <w:bottom w:val="single" w:sz="4" w:space="0" w:color="auto"/>
              <w:right w:val="single" w:sz="4" w:space="0" w:color="auto"/>
            </w:tcBorders>
            <w:noWrap/>
            <w:vAlign w:val="center"/>
            <w:hideMark/>
          </w:tcPr>
          <w:p w14:paraId="0FC19CAD"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11A4597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Se promueve una cultura de cuidado continuo del bienestar.</w:t>
            </w:r>
          </w:p>
        </w:tc>
      </w:tr>
      <w:tr w:rsidR="00F212FE" w:rsidRPr="00242EB4" w14:paraId="607DBF4D" w14:textId="77777777" w:rsidTr="0055381F">
        <w:trPr>
          <w:gridAfter w:val="1"/>
          <w:wAfter w:w="118" w:type="dxa"/>
          <w:trHeight w:val="1550"/>
        </w:trPr>
        <w:tc>
          <w:tcPr>
            <w:tcW w:w="2076" w:type="dxa"/>
            <w:vMerge/>
            <w:tcBorders>
              <w:top w:val="nil"/>
              <w:left w:val="nil"/>
              <w:bottom w:val="nil"/>
              <w:right w:val="nil"/>
            </w:tcBorders>
            <w:shd w:val="clear" w:color="auto" w:fill="ED7D31" w:themeFill="accent2"/>
            <w:vAlign w:val="center"/>
            <w:hideMark/>
          </w:tcPr>
          <w:p w14:paraId="6F3D23E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179764B5"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25FF3D1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Eficacia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BD82E58"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3F76B14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El estrés prolongado por la sobrecarga puede afectar la concentración, toma de decisiones y colaboración entre equipos.</w:t>
            </w:r>
          </w:p>
        </w:tc>
        <w:tc>
          <w:tcPr>
            <w:tcW w:w="2506" w:type="dxa"/>
            <w:tcBorders>
              <w:top w:val="nil"/>
              <w:left w:val="nil"/>
              <w:bottom w:val="single" w:sz="4" w:space="0" w:color="auto"/>
              <w:right w:val="single" w:sz="4" w:space="0" w:color="auto"/>
            </w:tcBorders>
            <w:hideMark/>
          </w:tcPr>
          <w:p w14:paraId="477B92F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495E7E">
              <w:rPr>
                <w:rFonts w:ascii="Calibri" w:eastAsia="Times New Roman" w:hAnsi="Calibri" w:cs="Calibri"/>
                <w:color w:val="000000"/>
                <w:sz w:val="24"/>
                <w:lang w:eastAsia="es-CR"/>
              </w:rPr>
              <w:t>La baja energía mental y física reduce la efectividad del equipo.</w:t>
            </w:r>
          </w:p>
        </w:tc>
        <w:tc>
          <w:tcPr>
            <w:tcW w:w="1276" w:type="dxa"/>
            <w:tcBorders>
              <w:top w:val="nil"/>
              <w:left w:val="nil"/>
              <w:bottom w:val="single" w:sz="4" w:space="0" w:color="auto"/>
              <w:right w:val="single" w:sz="4" w:space="0" w:color="auto"/>
            </w:tcBorders>
            <w:noWrap/>
            <w:vAlign w:val="center"/>
            <w:hideMark/>
          </w:tcPr>
          <w:p w14:paraId="6AC1BA9C"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2520EB4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Integrar sesiones de mindfulness o manejo del estrés como parte de la inducción a proyectos de alto volumen.</w:t>
            </w:r>
          </w:p>
        </w:tc>
        <w:tc>
          <w:tcPr>
            <w:tcW w:w="966" w:type="dxa"/>
            <w:tcBorders>
              <w:top w:val="nil"/>
              <w:left w:val="nil"/>
              <w:bottom w:val="single" w:sz="4" w:space="0" w:color="auto"/>
              <w:right w:val="single" w:sz="4" w:space="0" w:color="auto"/>
            </w:tcBorders>
            <w:noWrap/>
            <w:vAlign w:val="center"/>
            <w:hideMark/>
          </w:tcPr>
          <w:p w14:paraId="7AEFFA1B"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992" w:type="dxa"/>
            <w:tcBorders>
              <w:top w:val="nil"/>
              <w:left w:val="nil"/>
              <w:bottom w:val="single" w:sz="4" w:space="0" w:color="auto"/>
              <w:right w:val="single" w:sz="4" w:space="0" w:color="auto"/>
            </w:tcBorders>
            <w:noWrap/>
            <w:vAlign w:val="center"/>
            <w:hideMark/>
          </w:tcPr>
          <w:p w14:paraId="635AD7CA"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2F15557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Se fortalece la resiliencia de los equipos frente a cargas exigentes.</w:t>
            </w:r>
          </w:p>
        </w:tc>
      </w:tr>
      <w:tr w:rsidR="00F212FE" w:rsidRPr="00242EB4" w14:paraId="331BB574" w14:textId="77777777" w:rsidTr="0055381F">
        <w:trPr>
          <w:gridAfter w:val="1"/>
          <w:wAfter w:w="118" w:type="dxa"/>
          <w:trHeight w:val="310"/>
        </w:trPr>
        <w:tc>
          <w:tcPr>
            <w:tcW w:w="2076" w:type="dxa"/>
            <w:vMerge/>
            <w:tcBorders>
              <w:top w:val="nil"/>
              <w:left w:val="nil"/>
              <w:bottom w:val="nil"/>
              <w:right w:val="nil"/>
            </w:tcBorders>
            <w:shd w:val="clear" w:color="auto" w:fill="ED7D31" w:themeFill="accent2"/>
            <w:vAlign w:val="center"/>
            <w:hideMark/>
          </w:tcPr>
          <w:p w14:paraId="5320E8D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3090F086"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4368008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Eficiencia</w:t>
            </w:r>
          </w:p>
        </w:tc>
        <w:tc>
          <w:tcPr>
            <w:tcW w:w="86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7E9D9B9"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No</w:t>
            </w:r>
          </w:p>
        </w:tc>
        <w:tc>
          <w:tcPr>
            <w:tcW w:w="2897" w:type="dxa"/>
            <w:tcBorders>
              <w:top w:val="single" w:sz="4" w:space="0" w:color="auto"/>
              <w:left w:val="single" w:sz="4" w:space="0" w:color="auto"/>
              <w:bottom w:val="single" w:sz="4" w:space="0" w:color="auto"/>
              <w:right w:val="single" w:sz="4" w:space="0" w:color="auto"/>
            </w:tcBorders>
            <w:shd w:val="clear" w:color="000000" w:fill="BFBFBF"/>
            <w:hideMark/>
          </w:tcPr>
          <w:p w14:paraId="3152400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2506" w:type="dxa"/>
            <w:tcBorders>
              <w:top w:val="single" w:sz="4" w:space="0" w:color="auto"/>
              <w:left w:val="single" w:sz="4" w:space="0" w:color="auto"/>
              <w:bottom w:val="single" w:sz="4" w:space="0" w:color="auto"/>
              <w:right w:val="single" w:sz="4" w:space="0" w:color="auto"/>
            </w:tcBorders>
            <w:shd w:val="clear" w:color="000000" w:fill="BFBFBF"/>
            <w:hideMark/>
          </w:tcPr>
          <w:p w14:paraId="3B6F6B1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127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C6C38AF"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2977" w:type="dxa"/>
            <w:tcBorders>
              <w:top w:val="single" w:sz="4" w:space="0" w:color="auto"/>
              <w:left w:val="single" w:sz="4" w:space="0" w:color="auto"/>
              <w:bottom w:val="single" w:sz="4" w:space="0" w:color="auto"/>
              <w:right w:val="single" w:sz="4" w:space="0" w:color="auto"/>
            </w:tcBorders>
            <w:shd w:val="clear" w:color="000000" w:fill="BFBFBF"/>
            <w:hideMark/>
          </w:tcPr>
          <w:p w14:paraId="1EC7578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9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076D57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99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9E7881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0</w:t>
            </w:r>
          </w:p>
        </w:tc>
        <w:tc>
          <w:tcPr>
            <w:tcW w:w="3520" w:type="dxa"/>
            <w:tcBorders>
              <w:top w:val="single" w:sz="4" w:space="0" w:color="auto"/>
              <w:left w:val="single" w:sz="4" w:space="0" w:color="auto"/>
              <w:bottom w:val="single" w:sz="4" w:space="0" w:color="auto"/>
              <w:right w:val="single" w:sz="4" w:space="0" w:color="auto"/>
            </w:tcBorders>
            <w:shd w:val="clear" w:color="000000" w:fill="BFBFBF"/>
            <w:hideMark/>
          </w:tcPr>
          <w:p w14:paraId="525C1EF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r>
      <w:tr w:rsidR="00F212FE" w:rsidRPr="00242EB4" w14:paraId="5C5C9E76" w14:textId="77777777" w:rsidTr="0055381F">
        <w:trPr>
          <w:gridAfter w:val="1"/>
          <w:wAfter w:w="118" w:type="dxa"/>
          <w:trHeight w:val="1550"/>
        </w:trPr>
        <w:tc>
          <w:tcPr>
            <w:tcW w:w="2076" w:type="dxa"/>
            <w:vMerge/>
            <w:tcBorders>
              <w:top w:val="nil"/>
              <w:left w:val="nil"/>
              <w:bottom w:val="nil"/>
              <w:right w:val="nil"/>
            </w:tcBorders>
            <w:shd w:val="clear" w:color="auto" w:fill="ED7D31" w:themeFill="accent2"/>
            <w:vAlign w:val="center"/>
            <w:hideMark/>
          </w:tcPr>
          <w:p w14:paraId="490CFBE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1229BCAB"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6637B27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Imparcialidad</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1C6E1AB"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45CC0D7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No todos los roles tienen acceso igual a tiempos de desconexión o apoyo emocional debido a la presión operativa de campo o diseño.</w:t>
            </w:r>
          </w:p>
        </w:tc>
        <w:tc>
          <w:tcPr>
            <w:tcW w:w="2506" w:type="dxa"/>
            <w:tcBorders>
              <w:top w:val="nil"/>
              <w:left w:val="nil"/>
              <w:bottom w:val="single" w:sz="4" w:space="0" w:color="auto"/>
              <w:right w:val="single" w:sz="4" w:space="0" w:color="auto"/>
            </w:tcBorders>
            <w:hideMark/>
          </w:tcPr>
          <w:p w14:paraId="402CD4B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495E7E">
              <w:rPr>
                <w:rFonts w:ascii="Calibri" w:eastAsia="Times New Roman" w:hAnsi="Calibri" w:cs="Calibri"/>
                <w:color w:val="000000"/>
                <w:sz w:val="24"/>
                <w:lang w:eastAsia="es-CR"/>
              </w:rPr>
              <w:t>Se generan desigualdades internas en el bienestar del equipo según su función.</w:t>
            </w:r>
          </w:p>
        </w:tc>
        <w:tc>
          <w:tcPr>
            <w:tcW w:w="1276" w:type="dxa"/>
            <w:tcBorders>
              <w:top w:val="nil"/>
              <w:left w:val="nil"/>
              <w:bottom w:val="single" w:sz="4" w:space="0" w:color="auto"/>
              <w:right w:val="single" w:sz="4" w:space="0" w:color="auto"/>
            </w:tcBorders>
            <w:noWrap/>
            <w:vAlign w:val="center"/>
            <w:hideMark/>
          </w:tcPr>
          <w:p w14:paraId="12E8419A"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2977" w:type="dxa"/>
            <w:tcBorders>
              <w:top w:val="nil"/>
              <w:left w:val="nil"/>
              <w:bottom w:val="single" w:sz="4" w:space="0" w:color="auto"/>
              <w:right w:val="single" w:sz="4" w:space="0" w:color="auto"/>
            </w:tcBorders>
            <w:hideMark/>
          </w:tcPr>
          <w:p w14:paraId="7329665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Establecer una política de recuperación post-proyecto para todos los roles, incluyendo administrativos y de obra.</w:t>
            </w:r>
          </w:p>
        </w:tc>
        <w:tc>
          <w:tcPr>
            <w:tcW w:w="966" w:type="dxa"/>
            <w:tcBorders>
              <w:top w:val="nil"/>
              <w:left w:val="nil"/>
              <w:bottom w:val="single" w:sz="4" w:space="0" w:color="auto"/>
              <w:right w:val="single" w:sz="4" w:space="0" w:color="auto"/>
            </w:tcBorders>
            <w:noWrap/>
            <w:vAlign w:val="center"/>
            <w:hideMark/>
          </w:tcPr>
          <w:p w14:paraId="1649118C"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992" w:type="dxa"/>
            <w:tcBorders>
              <w:top w:val="nil"/>
              <w:left w:val="nil"/>
              <w:bottom w:val="single" w:sz="4" w:space="0" w:color="auto"/>
              <w:right w:val="single" w:sz="4" w:space="0" w:color="auto"/>
            </w:tcBorders>
            <w:noWrap/>
            <w:vAlign w:val="center"/>
            <w:hideMark/>
          </w:tcPr>
          <w:p w14:paraId="0C32E2D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1734B6F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Todos los equipos tienen acceso equitativo a medidas de bienestar.</w:t>
            </w:r>
          </w:p>
        </w:tc>
      </w:tr>
      <w:tr w:rsidR="00F212FE" w:rsidRPr="00242EB4" w14:paraId="75CF48F7" w14:textId="77777777" w:rsidTr="0055381F">
        <w:trPr>
          <w:gridAfter w:val="1"/>
          <w:wAfter w:w="118" w:type="dxa"/>
          <w:trHeight w:val="320"/>
        </w:trPr>
        <w:tc>
          <w:tcPr>
            <w:tcW w:w="2076" w:type="dxa"/>
            <w:tcBorders>
              <w:top w:val="nil"/>
              <w:left w:val="single" w:sz="4" w:space="0" w:color="auto"/>
              <w:bottom w:val="single" w:sz="4" w:space="0" w:color="auto"/>
              <w:right w:val="single" w:sz="4" w:space="0" w:color="auto"/>
            </w:tcBorders>
            <w:shd w:val="clear" w:color="000000" w:fill="F4B084"/>
            <w:noWrap/>
            <w:vAlign w:val="bottom"/>
            <w:hideMark/>
          </w:tcPr>
          <w:p w14:paraId="6838088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Categoría</w:t>
            </w:r>
          </w:p>
        </w:tc>
        <w:tc>
          <w:tcPr>
            <w:tcW w:w="2035" w:type="dxa"/>
            <w:tcBorders>
              <w:top w:val="nil"/>
              <w:left w:val="nil"/>
              <w:bottom w:val="single" w:sz="4" w:space="0" w:color="auto"/>
              <w:right w:val="nil"/>
            </w:tcBorders>
            <w:shd w:val="clear" w:color="000000" w:fill="F4B084"/>
            <w:noWrap/>
            <w:vAlign w:val="center"/>
            <w:hideMark/>
          </w:tcPr>
          <w:p w14:paraId="48AD1AC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Sociedad y Clientes</w:t>
            </w:r>
          </w:p>
        </w:tc>
        <w:tc>
          <w:tcPr>
            <w:tcW w:w="1701" w:type="dxa"/>
            <w:vMerge w:val="restart"/>
            <w:tcBorders>
              <w:top w:val="nil"/>
              <w:left w:val="single" w:sz="4" w:space="0" w:color="auto"/>
              <w:bottom w:val="single" w:sz="4" w:space="0" w:color="auto"/>
              <w:right w:val="single" w:sz="4" w:space="0" w:color="auto"/>
            </w:tcBorders>
            <w:shd w:val="clear" w:color="000000" w:fill="F4B084"/>
            <w:noWrap/>
            <w:vAlign w:val="center"/>
            <w:hideMark/>
          </w:tcPr>
          <w:p w14:paraId="33EA4E44"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Lente</w:t>
            </w:r>
          </w:p>
        </w:tc>
        <w:tc>
          <w:tcPr>
            <w:tcW w:w="860" w:type="dxa"/>
            <w:vMerge w:val="restart"/>
            <w:tcBorders>
              <w:top w:val="nil"/>
              <w:left w:val="single" w:sz="4" w:space="0" w:color="auto"/>
              <w:bottom w:val="single" w:sz="4" w:space="0" w:color="auto"/>
              <w:right w:val="single" w:sz="4" w:space="0" w:color="auto"/>
            </w:tcBorders>
            <w:shd w:val="clear" w:color="000000" w:fill="F4B084"/>
            <w:vAlign w:val="center"/>
            <w:hideMark/>
          </w:tcPr>
          <w:p w14:paraId="3EC96317"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¿Calificado?</w:t>
            </w:r>
          </w:p>
        </w:tc>
        <w:tc>
          <w:tcPr>
            <w:tcW w:w="2897" w:type="dxa"/>
            <w:vMerge w:val="restart"/>
            <w:tcBorders>
              <w:top w:val="nil"/>
              <w:left w:val="single" w:sz="4" w:space="0" w:color="auto"/>
              <w:bottom w:val="single" w:sz="4" w:space="0" w:color="auto"/>
              <w:right w:val="single" w:sz="4" w:space="0" w:color="auto"/>
            </w:tcBorders>
            <w:shd w:val="clear" w:color="000000" w:fill="F4B084"/>
            <w:vAlign w:val="center"/>
            <w:hideMark/>
          </w:tcPr>
          <w:p w14:paraId="4EEB41C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Descripción (Causa)</w:t>
            </w:r>
          </w:p>
        </w:tc>
        <w:tc>
          <w:tcPr>
            <w:tcW w:w="2506" w:type="dxa"/>
            <w:vMerge w:val="restart"/>
            <w:tcBorders>
              <w:top w:val="nil"/>
              <w:left w:val="single" w:sz="4" w:space="0" w:color="auto"/>
              <w:bottom w:val="single" w:sz="4" w:space="0" w:color="000000"/>
              <w:right w:val="single" w:sz="4" w:space="0" w:color="auto"/>
            </w:tcBorders>
            <w:shd w:val="clear" w:color="000000" w:fill="F4B084"/>
            <w:vAlign w:val="center"/>
            <w:hideMark/>
          </w:tcPr>
          <w:p w14:paraId="3247094B"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Impacto Potencial en la Sostenibilidad</w:t>
            </w:r>
          </w:p>
        </w:tc>
        <w:tc>
          <w:tcPr>
            <w:tcW w:w="1276" w:type="dxa"/>
            <w:vMerge w:val="restart"/>
            <w:tcBorders>
              <w:top w:val="nil"/>
              <w:left w:val="single" w:sz="4" w:space="0" w:color="auto"/>
              <w:bottom w:val="single" w:sz="4" w:space="0" w:color="auto"/>
              <w:right w:val="single" w:sz="4" w:space="0" w:color="auto"/>
            </w:tcBorders>
            <w:shd w:val="clear" w:color="000000" w:fill="F4B084"/>
            <w:vAlign w:val="center"/>
            <w:hideMark/>
          </w:tcPr>
          <w:p w14:paraId="6A3C5D3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Puntaje Inicial del Impacto (Antes)</w:t>
            </w:r>
          </w:p>
        </w:tc>
        <w:tc>
          <w:tcPr>
            <w:tcW w:w="2977" w:type="dxa"/>
            <w:vMerge w:val="restart"/>
            <w:tcBorders>
              <w:top w:val="nil"/>
              <w:left w:val="single" w:sz="4" w:space="0" w:color="auto"/>
              <w:bottom w:val="single" w:sz="4" w:space="0" w:color="auto"/>
              <w:right w:val="single" w:sz="4" w:space="0" w:color="auto"/>
            </w:tcBorders>
            <w:shd w:val="clear" w:color="000000" w:fill="F4B084"/>
            <w:vAlign w:val="center"/>
            <w:hideMark/>
          </w:tcPr>
          <w:p w14:paraId="28D0A7BA"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Respuesta Propuesta</w:t>
            </w:r>
          </w:p>
        </w:tc>
        <w:tc>
          <w:tcPr>
            <w:tcW w:w="966" w:type="dxa"/>
            <w:vMerge w:val="restart"/>
            <w:tcBorders>
              <w:top w:val="nil"/>
              <w:left w:val="single" w:sz="4" w:space="0" w:color="auto"/>
              <w:bottom w:val="single" w:sz="4" w:space="0" w:color="auto"/>
              <w:right w:val="single" w:sz="4" w:space="0" w:color="auto"/>
            </w:tcBorders>
            <w:shd w:val="clear" w:color="000000" w:fill="F4B084"/>
            <w:vAlign w:val="center"/>
            <w:hideMark/>
          </w:tcPr>
          <w:p w14:paraId="67BF4C81"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Nuevo Puntaje del Impacto (Después)</w:t>
            </w:r>
          </w:p>
        </w:tc>
        <w:tc>
          <w:tcPr>
            <w:tcW w:w="992" w:type="dxa"/>
            <w:vMerge w:val="restart"/>
            <w:tcBorders>
              <w:top w:val="nil"/>
              <w:left w:val="single" w:sz="4" w:space="0" w:color="auto"/>
              <w:bottom w:val="single" w:sz="4" w:space="0" w:color="auto"/>
              <w:right w:val="single" w:sz="4" w:space="0" w:color="auto"/>
            </w:tcBorders>
            <w:shd w:val="clear" w:color="000000" w:fill="F4B084"/>
            <w:noWrap/>
            <w:vAlign w:val="center"/>
            <w:hideMark/>
          </w:tcPr>
          <w:p w14:paraId="30E6EB1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Cambio</w:t>
            </w:r>
          </w:p>
        </w:tc>
        <w:tc>
          <w:tcPr>
            <w:tcW w:w="3520" w:type="dxa"/>
            <w:vMerge w:val="restart"/>
            <w:tcBorders>
              <w:top w:val="nil"/>
              <w:left w:val="single" w:sz="4" w:space="0" w:color="auto"/>
              <w:bottom w:val="single" w:sz="4" w:space="0" w:color="000000"/>
              <w:right w:val="single" w:sz="4" w:space="0" w:color="auto"/>
            </w:tcBorders>
            <w:shd w:val="clear" w:color="000000" w:fill="F4B084"/>
            <w:vAlign w:val="center"/>
            <w:hideMark/>
          </w:tcPr>
          <w:p w14:paraId="25D4F532"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Resultado</w:t>
            </w:r>
          </w:p>
        </w:tc>
      </w:tr>
      <w:tr w:rsidR="00F212FE" w:rsidRPr="00242EB4" w14:paraId="6BC57490" w14:textId="77777777" w:rsidTr="0055381F">
        <w:trPr>
          <w:gridAfter w:val="1"/>
          <w:wAfter w:w="118" w:type="dxa"/>
          <w:trHeight w:val="310"/>
        </w:trPr>
        <w:tc>
          <w:tcPr>
            <w:tcW w:w="2076" w:type="dxa"/>
            <w:tcBorders>
              <w:top w:val="nil"/>
              <w:left w:val="single" w:sz="4" w:space="0" w:color="auto"/>
              <w:bottom w:val="single" w:sz="4" w:space="0" w:color="auto"/>
              <w:right w:val="single" w:sz="4" w:space="0" w:color="auto"/>
            </w:tcBorders>
            <w:shd w:val="clear" w:color="000000" w:fill="F8CBAD"/>
            <w:noWrap/>
            <w:vAlign w:val="bottom"/>
            <w:hideMark/>
          </w:tcPr>
          <w:p w14:paraId="2C2F28B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Elemento</w:t>
            </w:r>
          </w:p>
        </w:tc>
        <w:tc>
          <w:tcPr>
            <w:tcW w:w="2035" w:type="dxa"/>
            <w:tcBorders>
              <w:top w:val="nil"/>
              <w:left w:val="nil"/>
              <w:bottom w:val="single" w:sz="4" w:space="0" w:color="auto"/>
              <w:right w:val="single" w:sz="4" w:space="0" w:color="auto"/>
            </w:tcBorders>
            <w:shd w:val="clear" w:color="000000" w:fill="F8CBAD"/>
            <w:noWrap/>
            <w:vAlign w:val="center"/>
            <w:hideMark/>
          </w:tcPr>
          <w:p w14:paraId="2839A70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Descripción</w:t>
            </w:r>
          </w:p>
        </w:tc>
        <w:tc>
          <w:tcPr>
            <w:tcW w:w="1701" w:type="dxa"/>
            <w:vMerge/>
            <w:tcBorders>
              <w:top w:val="nil"/>
              <w:left w:val="single" w:sz="4" w:space="0" w:color="auto"/>
              <w:bottom w:val="single" w:sz="4" w:space="0" w:color="auto"/>
              <w:right w:val="single" w:sz="4" w:space="0" w:color="auto"/>
            </w:tcBorders>
            <w:vAlign w:val="center"/>
            <w:hideMark/>
          </w:tcPr>
          <w:p w14:paraId="46CAB53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860" w:type="dxa"/>
            <w:vMerge/>
            <w:tcBorders>
              <w:top w:val="nil"/>
              <w:left w:val="single" w:sz="4" w:space="0" w:color="auto"/>
              <w:bottom w:val="single" w:sz="4" w:space="0" w:color="auto"/>
              <w:right w:val="single" w:sz="4" w:space="0" w:color="auto"/>
            </w:tcBorders>
            <w:vAlign w:val="center"/>
            <w:hideMark/>
          </w:tcPr>
          <w:p w14:paraId="6997568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897" w:type="dxa"/>
            <w:vMerge/>
            <w:tcBorders>
              <w:top w:val="nil"/>
              <w:left w:val="single" w:sz="4" w:space="0" w:color="auto"/>
              <w:bottom w:val="single" w:sz="4" w:space="0" w:color="auto"/>
              <w:right w:val="single" w:sz="4" w:space="0" w:color="auto"/>
            </w:tcBorders>
            <w:vAlign w:val="center"/>
            <w:hideMark/>
          </w:tcPr>
          <w:p w14:paraId="6DE028F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506" w:type="dxa"/>
            <w:vMerge/>
            <w:tcBorders>
              <w:top w:val="nil"/>
              <w:left w:val="single" w:sz="4" w:space="0" w:color="auto"/>
              <w:bottom w:val="single" w:sz="4" w:space="0" w:color="000000"/>
              <w:right w:val="single" w:sz="4" w:space="0" w:color="auto"/>
            </w:tcBorders>
            <w:vAlign w:val="center"/>
            <w:hideMark/>
          </w:tcPr>
          <w:p w14:paraId="4B8FE84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1276" w:type="dxa"/>
            <w:vMerge/>
            <w:tcBorders>
              <w:top w:val="nil"/>
              <w:left w:val="single" w:sz="4" w:space="0" w:color="auto"/>
              <w:bottom w:val="single" w:sz="4" w:space="0" w:color="auto"/>
              <w:right w:val="single" w:sz="4" w:space="0" w:color="auto"/>
            </w:tcBorders>
            <w:vAlign w:val="center"/>
            <w:hideMark/>
          </w:tcPr>
          <w:p w14:paraId="6ACF3C0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977" w:type="dxa"/>
            <w:vMerge/>
            <w:tcBorders>
              <w:top w:val="nil"/>
              <w:left w:val="single" w:sz="4" w:space="0" w:color="auto"/>
              <w:bottom w:val="single" w:sz="4" w:space="0" w:color="auto"/>
              <w:right w:val="single" w:sz="4" w:space="0" w:color="auto"/>
            </w:tcBorders>
            <w:vAlign w:val="center"/>
            <w:hideMark/>
          </w:tcPr>
          <w:p w14:paraId="2B3E5D3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966" w:type="dxa"/>
            <w:vMerge/>
            <w:tcBorders>
              <w:top w:val="nil"/>
              <w:left w:val="single" w:sz="4" w:space="0" w:color="auto"/>
              <w:bottom w:val="single" w:sz="4" w:space="0" w:color="auto"/>
              <w:right w:val="single" w:sz="4" w:space="0" w:color="auto"/>
            </w:tcBorders>
            <w:vAlign w:val="center"/>
            <w:hideMark/>
          </w:tcPr>
          <w:p w14:paraId="1289DE7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992" w:type="dxa"/>
            <w:vMerge/>
            <w:tcBorders>
              <w:top w:val="nil"/>
              <w:left w:val="single" w:sz="4" w:space="0" w:color="auto"/>
              <w:bottom w:val="single" w:sz="4" w:space="0" w:color="auto"/>
              <w:right w:val="single" w:sz="4" w:space="0" w:color="auto"/>
            </w:tcBorders>
            <w:vAlign w:val="center"/>
            <w:hideMark/>
          </w:tcPr>
          <w:p w14:paraId="4E2867E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3520" w:type="dxa"/>
            <w:vMerge/>
            <w:tcBorders>
              <w:top w:val="nil"/>
              <w:left w:val="single" w:sz="4" w:space="0" w:color="auto"/>
              <w:bottom w:val="single" w:sz="4" w:space="0" w:color="000000"/>
              <w:right w:val="single" w:sz="4" w:space="0" w:color="auto"/>
            </w:tcBorders>
            <w:vAlign w:val="center"/>
            <w:hideMark/>
          </w:tcPr>
          <w:p w14:paraId="7F25E4B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r>
      <w:tr w:rsidR="00F212FE" w:rsidRPr="00242EB4" w14:paraId="0D13851D" w14:textId="77777777" w:rsidTr="0055381F">
        <w:trPr>
          <w:gridAfter w:val="1"/>
          <w:wAfter w:w="118" w:type="dxa"/>
          <w:trHeight w:val="1240"/>
        </w:trPr>
        <w:tc>
          <w:tcPr>
            <w:tcW w:w="2076" w:type="dxa"/>
            <w:vMerge w:val="restart"/>
            <w:tcBorders>
              <w:top w:val="single" w:sz="4" w:space="0" w:color="auto"/>
              <w:left w:val="single" w:sz="4" w:space="0" w:color="auto"/>
              <w:bottom w:val="single" w:sz="4" w:space="0" w:color="auto"/>
              <w:right w:val="nil"/>
            </w:tcBorders>
            <w:shd w:val="clear" w:color="auto" w:fill="ED7D31" w:themeFill="accent2"/>
            <w:noWrap/>
            <w:vAlign w:val="bottom"/>
            <w:hideMark/>
          </w:tcPr>
          <w:p w14:paraId="111597D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noProof/>
                <w:color w:val="000000"/>
                <w:sz w:val="24"/>
                <w:lang w:val="es-CR" w:eastAsia="es-CR"/>
              </w:rPr>
              <w:drawing>
                <wp:anchor distT="0" distB="0" distL="114300" distR="114300" simplePos="0" relativeHeight="251667456" behindDoc="0" locked="0" layoutInCell="1" allowOverlap="1" wp14:anchorId="3B9FADB6" wp14:editId="77D800BF">
                  <wp:simplePos x="0" y="0"/>
                  <wp:positionH relativeFrom="column">
                    <wp:posOffset>219075</wp:posOffset>
                  </wp:positionH>
                  <wp:positionV relativeFrom="paragraph">
                    <wp:posOffset>-2265680</wp:posOffset>
                  </wp:positionV>
                  <wp:extent cx="914400" cy="939800"/>
                  <wp:effectExtent l="0" t="0" r="0" b="0"/>
                  <wp:wrapNone/>
                  <wp:docPr id="23" name="Imagen 16">
                    <a:extLst xmlns:a="http://schemas.openxmlformats.org/drawingml/2006/main">
                      <a:ext uri="{FF2B5EF4-FFF2-40B4-BE49-F238E27FC236}">
                        <a16:creationId xmlns:a16="http://schemas.microsoft.com/office/drawing/2014/main" id="{00000000-0008-0000-0300-000017000000}"/>
                      </a:ext>
                    </a:extLst>
                  </wp:docPr>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00000000-0008-0000-0300-000017000000}"/>
                              </a:ext>
                            </a:extLst>
                          </pic:cNvPr>
                          <pic:cNvPicPr>
                            <a:picLocks noChangeAspect="1"/>
                          </pic:cNvPicPr>
                        </pic:nvPicPr>
                        <pic:blipFill>
                          <a:blip r:embed="rId33"/>
                          <a:stretch>
                            <a:fillRect/>
                          </a:stretch>
                        </pic:blipFill>
                        <pic:spPr>
                          <a:xfrm>
                            <a:off x="0" y="0"/>
                            <a:ext cx="914400" cy="939800"/>
                          </a:xfrm>
                          <a:prstGeom prst="rect">
                            <a:avLst/>
                          </a:prstGeom>
                        </pic:spPr>
                      </pic:pic>
                    </a:graphicData>
                  </a:graphic>
                  <wp14:sizeRelH relativeFrom="page">
                    <wp14:pctWidth>0</wp14:pctWidth>
                  </wp14:sizeRelH>
                  <wp14:sizeRelV relativeFrom="page">
                    <wp14:pctHeight>0</wp14:pctHeight>
                  </wp14:sizeRelV>
                </wp:anchor>
              </w:drawing>
            </w:r>
          </w:p>
          <w:p w14:paraId="046F2A1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val="restart"/>
            <w:tcBorders>
              <w:top w:val="nil"/>
              <w:left w:val="single" w:sz="4" w:space="0" w:color="auto"/>
              <w:bottom w:val="single" w:sz="4" w:space="0" w:color="auto"/>
              <w:right w:val="single" w:sz="4" w:space="0" w:color="auto"/>
            </w:tcBorders>
            <w:shd w:val="clear" w:color="000000" w:fill="F2F2F2"/>
            <w:vAlign w:val="center"/>
            <w:hideMark/>
          </w:tcPr>
          <w:p w14:paraId="37AE680F"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r w:rsidRPr="00242EB4">
              <w:rPr>
                <w:rFonts w:ascii="Calibri" w:eastAsia="Times New Roman" w:hAnsi="Calibri" w:cs="Calibri"/>
                <w:color w:val="000000"/>
                <w:sz w:val="18"/>
                <w:szCs w:val="18"/>
                <w:lang w:val="es-CR" w:eastAsia="es-CR"/>
              </w:rPr>
              <w:t>Participación de la comunidad es la práctica de tratar a los residentes locales como partes interesadas en el proyecto. Esto es esencial ya que asegura que las necesidades y perspectivas locales se tengan en cuenta al tomar cualquier acción que afecte a la comunidad. También requiere un intercambio bidireccional de información e ideas entre el equipo de proyecto y la comunidad para que el proyecto sea más eficaz, eficiente y beneficioso para todos los involucrados.</w:t>
            </w:r>
          </w:p>
        </w:tc>
        <w:tc>
          <w:tcPr>
            <w:tcW w:w="1701" w:type="dxa"/>
            <w:tcBorders>
              <w:top w:val="nil"/>
              <w:left w:val="nil"/>
              <w:bottom w:val="single" w:sz="4" w:space="0" w:color="auto"/>
              <w:right w:val="single" w:sz="4" w:space="0" w:color="auto"/>
            </w:tcBorders>
            <w:shd w:val="clear" w:color="000000" w:fill="F2F2F2"/>
            <w:noWrap/>
            <w:vAlign w:val="center"/>
            <w:hideMark/>
          </w:tcPr>
          <w:p w14:paraId="38DAC7A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Vida Útil</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C2A91C9"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48279B5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Sin participación comunitaria, la infraestructura puede no alinearse con necesidades reales.</w:t>
            </w:r>
          </w:p>
        </w:tc>
        <w:tc>
          <w:tcPr>
            <w:tcW w:w="2506" w:type="dxa"/>
            <w:tcBorders>
              <w:top w:val="nil"/>
              <w:left w:val="nil"/>
              <w:bottom w:val="single" w:sz="4" w:space="0" w:color="auto"/>
              <w:right w:val="single" w:sz="4" w:space="0" w:color="auto"/>
            </w:tcBorders>
            <w:hideMark/>
          </w:tcPr>
          <w:p w14:paraId="32804CB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495E7E">
              <w:rPr>
                <w:rFonts w:ascii="Calibri" w:eastAsia="Times New Roman" w:hAnsi="Calibri" w:cs="Calibri"/>
                <w:color w:val="000000"/>
                <w:sz w:val="24"/>
                <w:lang w:eastAsia="es-CR"/>
              </w:rPr>
              <w:t>Riesgo de rechazo, mal uso o desgaste prematuro si no se adapta al contexto.</w:t>
            </w:r>
          </w:p>
        </w:tc>
        <w:tc>
          <w:tcPr>
            <w:tcW w:w="1276" w:type="dxa"/>
            <w:tcBorders>
              <w:top w:val="nil"/>
              <w:left w:val="nil"/>
              <w:bottom w:val="single" w:sz="4" w:space="0" w:color="auto"/>
              <w:right w:val="single" w:sz="4" w:space="0" w:color="auto"/>
            </w:tcBorders>
            <w:noWrap/>
            <w:vAlign w:val="center"/>
            <w:hideMark/>
          </w:tcPr>
          <w:p w14:paraId="7F0B49E9"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2977" w:type="dxa"/>
            <w:tcBorders>
              <w:top w:val="nil"/>
              <w:left w:val="nil"/>
              <w:bottom w:val="single" w:sz="4" w:space="0" w:color="auto"/>
              <w:right w:val="single" w:sz="4" w:space="0" w:color="auto"/>
            </w:tcBorders>
            <w:hideMark/>
          </w:tcPr>
          <w:p w14:paraId="6F1F7C82"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Incluir entrevistas o encuestas a comunidades para identificar expectativas sobre uso futuro del espacio.</w:t>
            </w:r>
          </w:p>
        </w:tc>
        <w:tc>
          <w:tcPr>
            <w:tcW w:w="966" w:type="dxa"/>
            <w:tcBorders>
              <w:top w:val="nil"/>
              <w:left w:val="nil"/>
              <w:bottom w:val="single" w:sz="4" w:space="0" w:color="auto"/>
              <w:right w:val="single" w:sz="4" w:space="0" w:color="auto"/>
            </w:tcBorders>
            <w:noWrap/>
            <w:vAlign w:val="center"/>
            <w:hideMark/>
          </w:tcPr>
          <w:p w14:paraId="25F873A6"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992" w:type="dxa"/>
            <w:tcBorders>
              <w:top w:val="nil"/>
              <w:left w:val="nil"/>
              <w:bottom w:val="single" w:sz="4" w:space="0" w:color="auto"/>
              <w:right w:val="single" w:sz="4" w:space="0" w:color="auto"/>
            </w:tcBorders>
            <w:noWrap/>
            <w:vAlign w:val="center"/>
            <w:hideMark/>
          </w:tcPr>
          <w:p w14:paraId="47797AD9"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1A6AC4F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Diseño adaptado a largo plazo según necesidades reales.</w:t>
            </w:r>
          </w:p>
        </w:tc>
      </w:tr>
      <w:tr w:rsidR="00F212FE" w:rsidRPr="00242EB4" w14:paraId="176C8ACD" w14:textId="77777777" w:rsidTr="0055381F">
        <w:trPr>
          <w:gridAfter w:val="1"/>
          <w:wAfter w:w="118" w:type="dxa"/>
          <w:trHeight w:val="155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40E6584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5FD5F5E8"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2E47BC1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Mantenimiento</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108A7E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141D72E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Si la comunidad no siente pertenencia, es menos probable que apoye el cuidado o uso responsable del entorno construido.</w:t>
            </w:r>
          </w:p>
        </w:tc>
        <w:tc>
          <w:tcPr>
            <w:tcW w:w="2506" w:type="dxa"/>
            <w:tcBorders>
              <w:top w:val="nil"/>
              <w:left w:val="nil"/>
              <w:bottom w:val="single" w:sz="4" w:space="0" w:color="auto"/>
              <w:right w:val="single" w:sz="4" w:space="0" w:color="auto"/>
            </w:tcBorders>
            <w:hideMark/>
          </w:tcPr>
          <w:p w14:paraId="48CDCDA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495E7E">
              <w:rPr>
                <w:rFonts w:ascii="Calibri" w:eastAsia="Times New Roman" w:hAnsi="Calibri" w:cs="Calibri"/>
                <w:color w:val="000000"/>
                <w:sz w:val="24"/>
                <w:lang w:eastAsia="es-CR"/>
              </w:rPr>
              <w:t>Falta de corresponsabilidad puede elevar costos de mantenimiento o causar deterioro.</w:t>
            </w:r>
          </w:p>
        </w:tc>
        <w:tc>
          <w:tcPr>
            <w:tcW w:w="1276" w:type="dxa"/>
            <w:tcBorders>
              <w:top w:val="nil"/>
              <w:left w:val="nil"/>
              <w:bottom w:val="single" w:sz="4" w:space="0" w:color="auto"/>
              <w:right w:val="single" w:sz="4" w:space="0" w:color="auto"/>
            </w:tcBorders>
            <w:noWrap/>
            <w:vAlign w:val="center"/>
            <w:hideMark/>
          </w:tcPr>
          <w:p w14:paraId="1A5843CF"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2977" w:type="dxa"/>
            <w:tcBorders>
              <w:top w:val="nil"/>
              <w:left w:val="nil"/>
              <w:bottom w:val="single" w:sz="4" w:space="0" w:color="auto"/>
              <w:right w:val="single" w:sz="4" w:space="0" w:color="auto"/>
            </w:tcBorders>
            <w:hideMark/>
          </w:tcPr>
          <w:p w14:paraId="472E2D7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Fomentar la apropiación del espacio mediante talleres de cocreación o señalización colaborativa.</w:t>
            </w:r>
          </w:p>
        </w:tc>
        <w:tc>
          <w:tcPr>
            <w:tcW w:w="966" w:type="dxa"/>
            <w:tcBorders>
              <w:top w:val="nil"/>
              <w:left w:val="nil"/>
              <w:bottom w:val="single" w:sz="4" w:space="0" w:color="auto"/>
              <w:right w:val="single" w:sz="4" w:space="0" w:color="auto"/>
            </w:tcBorders>
            <w:noWrap/>
            <w:vAlign w:val="center"/>
            <w:hideMark/>
          </w:tcPr>
          <w:p w14:paraId="51943E0C"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992" w:type="dxa"/>
            <w:tcBorders>
              <w:top w:val="nil"/>
              <w:left w:val="nil"/>
              <w:bottom w:val="single" w:sz="4" w:space="0" w:color="auto"/>
              <w:right w:val="single" w:sz="4" w:space="0" w:color="auto"/>
            </w:tcBorders>
            <w:noWrap/>
            <w:vAlign w:val="center"/>
            <w:hideMark/>
          </w:tcPr>
          <w:p w14:paraId="3F1D3531"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5E8E62A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Mayor involucramiento y responsabilidad compartida.</w:t>
            </w:r>
          </w:p>
        </w:tc>
      </w:tr>
      <w:tr w:rsidR="00F212FE" w:rsidRPr="00242EB4" w14:paraId="24A16B20" w14:textId="77777777" w:rsidTr="0055381F">
        <w:trPr>
          <w:gridAfter w:val="1"/>
          <w:wAfter w:w="118" w:type="dxa"/>
          <w:trHeight w:val="124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3A1588E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6732DD9D"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256CB0F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Eficacia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5CEDBC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7BD1995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La falta de participación limita la adecuación del diseño a prácticas culturales o sociales específicas.</w:t>
            </w:r>
          </w:p>
        </w:tc>
        <w:tc>
          <w:tcPr>
            <w:tcW w:w="2506" w:type="dxa"/>
            <w:tcBorders>
              <w:top w:val="nil"/>
              <w:left w:val="nil"/>
              <w:bottom w:val="single" w:sz="4" w:space="0" w:color="auto"/>
              <w:right w:val="single" w:sz="4" w:space="0" w:color="auto"/>
            </w:tcBorders>
            <w:hideMark/>
          </w:tcPr>
          <w:p w14:paraId="32F5503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495E7E">
              <w:rPr>
                <w:rFonts w:ascii="Calibri" w:eastAsia="Times New Roman" w:hAnsi="Calibri" w:cs="Calibri"/>
                <w:color w:val="000000"/>
                <w:sz w:val="24"/>
                <w:lang w:eastAsia="es-CR"/>
              </w:rPr>
              <w:t>Afecta la funcionalidad del proyecto desde su implementación.</w:t>
            </w:r>
          </w:p>
        </w:tc>
        <w:tc>
          <w:tcPr>
            <w:tcW w:w="1276" w:type="dxa"/>
            <w:tcBorders>
              <w:top w:val="nil"/>
              <w:left w:val="nil"/>
              <w:bottom w:val="single" w:sz="4" w:space="0" w:color="auto"/>
              <w:right w:val="single" w:sz="4" w:space="0" w:color="auto"/>
            </w:tcBorders>
            <w:noWrap/>
            <w:vAlign w:val="center"/>
            <w:hideMark/>
          </w:tcPr>
          <w:p w14:paraId="08140AB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03EB6D5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Aplicar procesos de diseño participativo para ajustar funciones del proyecto a la realidad local.</w:t>
            </w:r>
          </w:p>
        </w:tc>
        <w:tc>
          <w:tcPr>
            <w:tcW w:w="966" w:type="dxa"/>
            <w:tcBorders>
              <w:top w:val="nil"/>
              <w:left w:val="nil"/>
              <w:bottom w:val="single" w:sz="4" w:space="0" w:color="auto"/>
              <w:right w:val="single" w:sz="4" w:space="0" w:color="auto"/>
            </w:tcBorders>
            <w:noWrap/>
            <w:vAlign w:val="center"/>
            <w:hideMark/>
          </w:tcPr>
          <w:p w14:paraId="79CF57AE"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2263B8AE"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66B0B87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Resultados más acordes a las necesidades comunitarias.</w:t>
            </w:r>
          </w:p>
        </w:tc>
      </w:tr>
      <w:tr w:rsidR="00F212FE" w:rsidRPr="00242EB4" w14:paraId="6332B2F9" w14:textId="77777777" w:rsidTr="0055381F">
        <w:trPr>
          <w:gridAfter w:val="1"/>
          <w:wAfter w:w="118" w:type="dxa"/>
          <w:trHeight w:val="155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5F975F7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4D359ACA"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1C80135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Eficiencia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87205C1"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4953BC9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Rechazo o conflictos sociales pueden generar atrasos, rehacer entregables o enfrentar demandas comunitarias.</w:t>
            </w:r>
          </w:p>
        </w:tc>
        <w:tc>
          <w:tcPr>
            <w:tcW w:w="2506" w:type="dxa"/>
            <w:tcBorders>
              <w:top w:val="nil"/>
              <w:left w:val="nil"/>
              <w:bottom w:val="single" w:sz="4" w:space="0" w:color="auto"/>
              <w:right w:val="single" w:sz="4" w:space="0" w:color="auto"/>
            </w:tcBorders>
            <w:hideMark/>
          </w:tcPr>
          <w:p w14:paraId="2C75DF7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495E7E">
              <w:rPr>
                <w:rFonts w:ascii="Calibri" w:eastAsia="Times New Roman" w:hAnsi="Calibri" w:cs="Calibri"/>
                <w:color w:val="000000"/>
                <w:sz w:val="24"/>
                <w:lang w:eastAsia="es-CR"/>
              </w:rPr>
              <w:t>Costos adicionales por falta de alineación o necesidad de renegociación.</w:t>
            </w:r>
          </w:p>
        </w:tc>
        <w:tc>
          <w:tcPr>
            <w:tcW w:w="1276" w:type="dxa"/>
            <w:tcBorders>
              <w:top w:val="nil"/>
              <w:left w:val="nil"/>
              <w:bottom w:val="single" w:sz="4" w:space="0" w:color="auto"/>
              <w:right w:val="single" w:sz="4" w:space="0" w:color="auto"/>
            </w:tcBorders>
            <w:noWrap/>
            <w:vAlign w:val="center"/>
            <w:hideMark/>
          </w:tcPr>
          <w:p w14:paraId="410ABB70"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53C57E0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Incluir representantes comunitarios en comités consultivos del proyecto desde la etapa de planificación.</w:t>
            </w:r>
          </w:p>
        </w:tc>
        <w:tc>
          <w:tcPr>
            <w:tcW w:w="966" w:type="dxa"/>
            <w:tcBorders>
              <w:top w:val="nil"/>
              <w:left w:val="nil"/>
              <w:bottom w:val="single" w:sz="4" w:space="0" w:color="auto"/>
              <w:right w:val="single" w:sz="4" w:space="0" w:color="auto"/>
            </w:tcBorders>
            <w:noWrap/>
            <w:vAlign w:val="center"/>
            <w:hideMark/>
          </w:tcPr>
          <w:p w14:paraId="5A815B57"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992" w:type="dxa"/>
            <w:tcBorders>
              <w:top w:val="nil"/>
              <w:left w:val="nil"/>
              <w:bottom w:val="single" w:sz="4" w:space="0" w:color="auto"/>
              <w:right w:val="single" w:sz="4" w:space="0" w:color="auto"/>
            </w:tcBorders>
            <w:noWrap/>
            <w:vAlign w:val="center"/>
            <w:hideMark/>
          </w:tcPr>
          <w:p w14:paraId="2F99EF4D"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3F7E1685"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Menores retrabajos y mejor aceptación del proyecto.</w:t>
            </w:r>
          </w:p>
        </w:tc>
      </w:tr>
      <w:tr w:rsidR="00F212FE" w:rsidRPr="00242EB4" w14:paraId="5CF31440" w14:textId="77777777" w:rsidTr="0055381F">
        <w:trPr>
          <w:gridAfter w:val="1"/>
          <w:wAfter w:w="118" w:type="dxa"/>
          <w:trHeight w:val="155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2B08DF5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0E6BC646"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57A2267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Imparcialidad</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2AACEE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6DCFDFF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Si no se consulta a todos los grupos sociales de forma equitativa, se pueden reforzar desigualdades existentes.</w:t>
            </w:r>
          </w:p>
        </w:tc>
        <w:tc>
          <w:tcPr>
            <w:tcW w:w="2506" w:type="dxa"/>
            <w:tcBorders>
              <w:top w:val="nil"/>
              <w:left w:val="nil"/>
              <w:bottom w:val="single" w:sz="4" w:space="0" w:color="auto"/>
              <w:right w:val="single" w:sz="4" w:space="0" w:color="auto"/>
            </w:tcBorders>
            <w:hideMark/>
          </w:tcPr>
          <w:p w14:paraId="5AD0BA9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495E7E">
              <w:rPr>
                <w:rFonts w:ascii="Calibri" w:eastAsia="Times New Roman" w:hAnsi="Calibri" w:cs="Calibri"/>
                <w:color w:val="000000"/>
                <w:sz w:val="24"/>
                <w:lang w:eastAsia="es-CR"/>
              </w:rPr>
              <w:t>Puede haber exclusión de minorías o desatención a necesidades específicas.</w:t>
            </w:r>
          </w:p>
        </w:tc>
        <w:tc>
          <w:tcPr>
            <w:tcW w:w="1276" w:type="dxa"/>
            <w:tcBorders>
              <w:top w:val="nil"/>
              <w:left w:val="nil"/>
              <w:bottom w:val="single" w:sz="4" w:space="0" w:color="auto"/>
              <w:right w:val="single" w:sz="4" w:space="0" w:color="auto"/>
            </w:tcBorders>
            <w:noWrap/>
            <w:vAlign w:val="center"/>
            <w:hideMark/>
          </w:tcPr>
          <w:p w14:paraId="1493F161"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2977" w:type="dxa"/>
            <w:tcBorders>
              <w:top w:val="nil"/>
              <w:left w:val="nil"/>
              <w:bottom w:val="single" w:sz="4" w:space="0" w:color="auto"/>
              <w:right w:val="single" w:sz="4" w:space="0" w:color="auto"/>
            </w:tcBorders>
            <w:hideMark/>
          </w:tcPr>
          <w:p w14:paraId="0A9FCFA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Establecer mecanismos de consulta inclusiva (género, edad, discapacidad, etc.) y divulgación amplia en varios canales.</w:t>
            </w:r>
          </w:p>
        </w:tc>
        <w:tc>
          <w:tcPr>
            <w:tcW w:w="966" w:type="dxa"/>
            <w:tcBorders>
              <w:top w:val="nil"/>
              <w:left w:val="nil"/>
              <w:bottom w:val="single" w:sz="4" w:space="0" w:color="auto"/>
              <w:right w:val="single" w:sz="4" w:space="0" w:color="auto"/>
            </w:tcBorders>
            <w:noWrap/>
            <w:vAlign w:val="center"/>
            <w:hideMark/>
          </w:tcPr>
          <w:p w14:paraId="2FED58F0"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3F79B5EC"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3520" w:type="dxa"/>
            <w:tcBorders>
              <w:top w:val="nil"/>
              <w:left w:val="nil"/>
              <w:bottom w:val="single" w:sz="4" w:space="0" w:color="auto"/>
              <w:right w:val="single" w:sz="4" w:space="0" w:color="auto"/>
            </w:tcBorders>
            <w:hideMark/>
          </w:tcPr>
          <w:p w14:paraId="3B44E432"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Proceso justo y con equidad en la representación de intereses.</w:t>
            </w:r>
          </w:p>
        </w:tc>
      </w:tr>
      <w:tr w:rsidR="00F212FE" w:rsidRPr="00242EB4" w14:paraId="20CF7CE6" w14:textId="77777777" w:rsidTr="0055381F">
        <w:trPr>
          <w:gridAfter w:val="1"/>
          <w:wAfter w:w="118" w:type="dxa"/>
          <w:trHeight w:val="1240"/>
        </w:trPr>
        <w:tc>
          <w:tcPr>
            <w:tcW w:w="2076" w:type="dxa"/>
            <w:vMerge w:val="restart"/>
            <w:tcBorders>
              <w:top w:val="single" w:sz="4" w:space="0" w:color="auto"/>
              <w:left w:val="single" w:sz="4" w:space="0" w:color="auto"/>
              <w:bottom w:val="single" w:sz="4" w:space="0" w:color="auto"/>
              <w:right w:val="nil"/>
            </w:tcBorders>
            <w:shd w:val="clear" w:color="auto" w:fill="ED7D31" w:themeFill="accent2"/>
            <w:noWrap/>
            <w:vAlign w:val="bottom"/>
            <w:hideMark/>
          </w:tcPr>
          <w:p w14:paraId="745CBD0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noProof/>
                <w:color w:val="000000"/>
                <w:sz w:val="24"/>
                <w:lang w:val="es-CR" w:eastAsia="es-CR"/>
              </w:rPr>
              <w:drawing>
                <wp:anchor distT="0" distB="0" distL="114300" distR="114300" simplePos="0" relativeHeight="251668480" behindDoc="0" locked="0" layoutInCell="1" allowOverlap="1" wp14:anchorId="34A1933A" wp14:editId="3599EB04">
                  <wp:simplePos x="0" y="0"/>
                  <wp:positionH relativeFrom="column">
                    <wp:posOffset>247650</wp:posOffset>
                  </wp:positionH>
                  <wp:positionV relativeFrom="paragraph">
                    <wp:posOffset>-2607310</wp:posOffset>
                  </wp:positionV>
                  <wp:extent cx="869950" cy="908050"/>
                  <wp:effectExtent l="0" t="0" r="6350" b="6350"/>
                  <wp:wrapNone/>
                  <wp:docPr id="27" name="Imagen 15">
                    <a:extLst xmlns:a="http://schemas.openxmlformats.org/drawingml/2006/main">
                      <a:ext uri="{FF2B5EF4-FFF2-40B4-BE49-F238E27FC236}">
                        <a16:creationId xmlns:a16="http://schemas.microsoft.com/office/drawing/2014/main" id="{00000000-0008-0000-0300-00001B000000}"/>
                      </a:ext>
                    </a:extLst>
                  </wp:docPr>
                  <wp:cNvGraphicFramePr/>
                  <a:graphic xmlns:a="http://schemas.openxmlformats.org/drawingml/2006/main">
                    <a:graphicData uri="http://schemas.openxmlformats.org/drawingml/2006/picture">
                      <pic:pic xmlns:pic="http://schemas.openxmlformats.org/drawingml/2006/picture">
                        <pic:nvPicPr>
                          <pic:cNvPr id="27" name="Picture 26">
                            <a:extLst>
                              <a:ext uri="{FF2B5EF4-FFF2-40B4-BE49-F238E27FC236}">
                                <a16:creationId xmlns:a16="http://schemas.microsoft.com/office/drawing/2014/main" id="{00000000-0008-0000-0300-00001B000000}"/>
                              </a:ext>
                            </a:extLst>
                          </pic:cNvPr>
                          <pic:cNvPicPr>
                            <a:picLocks noChangeAspect="1"/>
                          </pic:cNvPicPr>
                        </pic:nvPicPr>
                        <pic:blipFill>
                          <a:blip r:embed="rId34"/>
                          <a:stretch>
                            <a:fillRect/>
                          </a:stretch>
                        </pic:blipFill>
                        <pic:spPr>
                          <a:xfrm>
                            <a:off x="0" y="0"/>
                            <a:ext cx="869950" cy="908050"/>
                          </a:xfrm>
                          <a:prstGeom prst="rect">
                            <a:avLst/>
                          </a:prstGeom>
                        </pic:spPr>
                      </pic:pic>
                    </a:graphicData>
                  </a:graphic>
                  <wp14:sizeRelH relativeFrom="page">
                    <wp14:pctWidth>0</wp14:pctWidth>
                  </wp14:sizeRelH>
                  <wp14:sizeRelV relativeFrom="page">
                    <wp14:pctHeight>0</wp14:pctHeight>
                  </wp14:sizeRelV>
                </wp:anchor>
              </w:drawing>
            </w:r>
          </w:p>
          <w:p w14:paraId="24CCB752"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val="restart"/>
            <w:tcBorders>
              <w:top w:val="nil"/>
              <w:left w:val="single" w:sz="4" w:space="0" w:color="auto"/>
              <w:bottom w:val="single" w:sz="4" w:space="0" w:color="auto"/>
              <w:right w:val="single" w:sz="4" w:space="0" w:color="auto"/>
            </w:tcBorders>
            <w:shd w:val="clear" w:color="000000" w:fill="F2F2F2"/>
            <w:vAlign w:val="center"/>
            <w:hideMark/>
          </w:tcPr>
          <w:p w14:paraId="5CA18F57"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r w:rsidRPr="00242EB4">
              <w:rPr>
                <w:rFonts w:ascii="Calibri" w:eastAsia="Times New Roman" w:hAnsi="Calibri" w:cs="Calibri"/>
                <w:color w:val="000000"/>
                <w:sz w:val="18"/>
                <w:szCs w:val="18"/>
                <w:lang w:val="es-CR" w:eastAsia="es-CR"/>
              </w:rPr>
              <w:t>Políticas públicas y cumplimiento incluye los pasos tomados por el equipo de proyecto para asegurar que el proyecto cumpla con todas las leyes y regulaciones pertinentes. Esto implica investigar las leyes y regulaciones pertinentes, comprender sus implicancias para el proyecto y tomar las medidas necesarias para asegurarse de que estas leyes y regulaciones se respeten durante la duración del proyecto.</w:t>
            </w:r>
          </w:p>
        </w:tc>
        <w:tc>
          <w:tcPr>
            <w:tcW w:w="1701" w:type="dxa"/>
            <w:tcBorders>
              <w:top w:val="nil"/>
              <w:left w:val="nil"/>
              <w:bottom w:val="single" w:sz="4" w:space="0" w:color="auto"/>
              <w:right w:val="single" w:sz="4" w:space="0" w:color="auto"/>
            </w:tcBorders>
            <w:shd w:val="clear" w:color="000000" w:fill="F2F2F2"/>
            <w:noWrap/>
            <w:vAlign w:val="center"/>
            <w:hideMark/>
          </w:tcPr>
          <w:p w14:paraId="3D04F28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Vida Útil</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1D99498"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13263362"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Incumplir normas técnicas puede afectar la durabilidad o calidad del proyecto.</w:t>
            </w:r>
          </w:p>
        </w:tc>
        <w:tc>
          <w:tcPr>
            <w:tcW w:w="2506" w:type="dxa"/>
            <w:tcBorders>
              <w:top w:val="nil"/>
              <w:left w:val="nil"/>
              <w:bottom w:val="single" w:sz="4" w:space="0" w:color="auto"/>
              <w:right w:val="single" w:sz="4" w:space="0" w:color="auto"/>
            </w:tcBorders>
            <w:hideMark/>
          </w:tcPr>
          <w:p w14:paraId="3B8DF7D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495E7E">
              <w:rPr>
                <w:rFonts w:ascii="Calibri" w:eastAsia="Times New Roman" w:hAnsi="Calibri" w:cs="Calibri"/>
                <w:color w:val="000000"/>
                <w:sz w:val="24"/>
                <w:lang w:eastAsia="es-CR"/>
              </w:rPr>
              <w:t>Riesgo de sanciones o necesidad de rehacer componentes si no se cumplen estándares legales o técnicos.</w:t>
            </w:r>
          </w:p>
        </w:tc>
        <w:tc>
          <w:tcPr>
            <w:tcW w:w="1276" w:type="dxa"/>
            <w:tcBorders>
              <w:top w:val="nil"/>
              <w:left w:val="nil"/>
              <w:bottom w:val="single" w:sz="4" w:space="0" w:color="auto"/>
              <w:right w:val="single" w:sz="4" w:space="0" w:color="auto"/>
            </w:tcBorders>
            <w:noWrap/>
            <w:vAlign w:val="center"/>
            <w:hideMark/>
          </w:tcPr>
          <w:p w14:paraId="506AD22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2D0CAEC2"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Incluir revisión legal y técnica obligatoria en el diseño para garantizar cumplimiento normativo desde el inicio.</w:t>
            </w:r>
          </w:p>
        </w:tc>
        <w:tc>
          <w:tcPr>
            <w:tcW w:w="966" w:type="dxa"/>
            <w:tcBorders>
              <w:top w:val="nil"/>
              <w:left w:val="nil"/>
              <w:bottom w:val="single" w:sz="4" w:space="0" w:color="auto"/>
              <w:right w:val="single" w:sz="4" w:space="0" w:color="auto"/>
            </w:tcBorders>
            <w:noWrap/>
            <w:vAlign w:val="center"/>
            <w:hideMark/>
          </w:tcPr>
          <w:p w14:paraId="5A990FBB"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3CFD6F2C"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619EB69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Proyecto construido bajo estándares legales garantiza durabilidad y evita riesgos legales futuros.</w:t>
            </w:r>
          </w:p>
        </w:tc>
      </w:tr>
      <w:tr w:rsidR="00F212FE" w:rsidRPr="00242EB4" w14:paraId="6F5A71F8" w14:textId="77777777" w:rsidTr="0055381F">
        <w:trPr>
          <w:gridAfter w:val="1"/>
          <w:wAfter w:w="118" w:type="dxa"/>
          <w:trHeight w:val="124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52F7465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73516531"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14A40BD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Mantenimiento</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4677831"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407AF36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El incumplimiento puede generar obligaciones legales para mantenimiento no previsto.</w:t>
            </w:r>
          </w:p>
        </w:tc>
        <w:tc>
          <w:tcPr>
            <w:tcW w:w="2506" w:type="dxa"/>
            <w:tcBorders>
              <w:top w:val="nil"/>
              <w:left w:val="nil"/>
              <w:bottom w:val="single" w:sz="4" w:space="0" w:color="auto"/>
              <w:right w:val="single" w:sz="4" w:space="0" w:color="auto"/>
            </w:tcBorders>
            <w:hideMark/>
          </w:tcPr>
          <w:p w14:paraId="47D7823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495E7E">
              <w:rPr>
                <w:rFonts w:ascii="Calibri" w:eastAsia="Times New Roman" w:hAnsi="Calibri" w:cs="Calibri"/>
                <w:color w:val="000000"/>
                <w:sz w:val="24"/>
                <w:lang w:eastAsia="es-CR"/>
              </w:rPr>
              <w:t>El proyecto puede requerir ajustes posteriores o medidas correctivas impuestas por entes reguladores.</w:t>
            </w:r>
          </w:p>
        </w:tc>
        <w:tc>
          <w:tcPr>
            <w:tcW w:w="1276" w:type="dxa"/>
            <w:tcBorders>
              <w:top w:val="nil"/>
              <w:left w:val="nil"/>
              <w:bottom w:val="single" w:sz="4" w:space="0" w:color="auto"/>
              <w:right w:val="single" w:sz="4" w:space="0" w:color="auto"/>
            </w:tcBorders>
            <w:noWrap/>
            <w:vAlign w:val="center"/>
            <w:hideMark/>
          </w:tcPr>
          <w:p w14:paraId="31AB57BD"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1551CCB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Establecer un plan de mantenimiento conforme a normativas locales desde la fase de planificación.</w:t>
            </w:r>
          </w:p>
        </w:tc>
        <w:tc>
          <w:tcPr>
            <w:tcW w:w="966" w:type="dxa"/>
            <w:tcBorders>
              <w:top w:val="nil"/>
              <w:left w:val="nil"/>
              <w:bottom w:val="single" w:sz="4" w:space="0" w:color="auto"/>
              <w:right w:val="single" w:sz="4" w:space="0" w:color="auto"/>
            </w:tcBorders>
            <w:noWrap/>
            <w:vAlign w:val="center"/>
            <w:hideMark/>
          </w:tcPr>
          <w:p w14:paraId="7E28821E"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992" w:type="dxa"/>
            <w:tcBorders>
              <w:top w:val="nil"/>
              <w:left w:val="nil"/>
              <w:bottom w:val="single" w:sz="4" w:space="0" w:color="auto"/>
              <w:right w:val="single" w:sz="4" w:space="0" w:color="auto"/>
            </w:tcBorders>
            <w:noWrap/>
            <w:vAlign w:val="center"/>
            <w:hideMark/>
          </w:tcPr>
          <w:p w14:paraId="7314A4B8"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7A000F5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Menores sorpresas legales y mejor planificación de costos a largo plazo.</w:t>
            </w:r>
          </w:p>
        </w:tc>
      </w:tr>
      <w:tr w:rsidR="00F212FE" w:rsidRPr="00242EB4" w14:paraId="40D9CFA7" w14:textId="77777777" w:rsidTr="0055381F">
        <w:trPr>
          <w:gridAfter w:val="1"/>
          <w:wAfter w:w="118" w:type="dxa"/>
          <w:trHeight w:val="124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7BD33BC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71A9A898"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14B5C4E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Eficacia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C50C617"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61CC1BD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La falta de alineación con normas puede impedir la operación o uso formal del proyecto.</w:t>
            </w:r>
          </w:p>
        </w:tc>
        <w:tc>
          <w:tcPr>
            <w:tcW w:w="2506" w:type="dxa"/>
            <w:tcBorders>
              <w:top w:val="nil"/>
              <w:left w:val="nil"/>
              <w:bottom w:val="single" w:sz="4" w:space="0" w:color="auto"/>
              <w:right w:val="single" w:sz="4" w:space="0" w:color="auto"/>
            </w:tcBorders>
            <w:hideMark/>
          </w:tcPr>
          <w:p w14:paraId="6E55363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495E7E">
              <w:rPr>
                <w:rFonts w:ascii="Calibri" w:eastAsia="Times New Roman" w:hAnsi="Calibri" w:cs="Calibri"/>
                <w:color w:val="000000"/>
                <w:sz w:val="24"/>
                <w:lang w:eastAsia="es-CR"/>
              </w:rPr>
              <w:t>Riesgo de paralización, rechazo institucional o dificultades en la obtención de permisos o certificaciones.</w:t>
            </w:r>
          </w:p>
        </w:tc>
        <w:tc>
          <w:tcPr>
            <w:tcW w:w="1276" w:type="dxa"/>
            <w:tcBorders>
              <w:top w:val="nil"/>
              <w:left w:val="nil"/>
              <w:bottom w:val="single" w:sz="4" w:space="0" w:color="auto"/>
              <w:right w:val="single" w:sz="4" w:space="0" w:color="auto"/>
            </w:tcBorders>
            <w:noWrap/>
            <w:vAlign w:val="center"/>
            <w:hideMark/>
          </w:tcPr>
          <w:p w14:paraId="560DA269"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641C8C7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Asignar un responsable de cumplimiento regulatorio dentro del equipo del proyecto.</w:t>
            </w:r>
          </w:p>
        </w:tc>
        <w:tc>
          <w:tcPr>
            <w:tcW w:w="966" w:type="dxa"/>
            <w:tcBorders>
              <w:top w:val="nil"/>
              <w:left w:val="nil"/>
              <w:bottom w:val="single" w:sz="4" w:space="0" w:color="auto"/>
              <w:right w:val="single" w:sz="4" w:space="0" w:color="auto"/>
            </w:tcBorders>
            <w:noWrap/>
            <w:vAlign w:val="center"/>
            <w:hideMark/>
          </w:tcPr>
          <w:p w14:paraId="3645371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185EB430"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0433589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Mejora en la implementación legal y funcional desde el arranque.</w:t>
            </w:r>
          </w:p>
        </w:tc>
      </w:tr>
      <w:tr w:rsidR="00F212FE" w:rsidRPr="00242EB4" w14:paraId="60397FC7" w14:textId="77777777" w:rsidTr="0055381F">
        <w:trPr>
          <w:gridAfter w:val="1"/>
          <w:wAfter w:w="118" w:type="dxa"/>
          <w:trHeight w:val="124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7F0001B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3E4FF28D"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1C18CFE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Eficiencia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EEDCCF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03DC914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Incumplimientos implican retrabajos, multas o rediseños no contemplados.</w:t>
            </w:r>
          </w:p>
        </w:tc>
        <w:tc>
          <w:tcPr>
            <w:tcW w:w="2506" w:type="dxa"/>
            <w:tcBorders>
              <w:top w:val="nil"/>
              <w:left w:val="nil"/>
              <w:bottom w:val="single" w:sz="4" w:space="0" w:color="auto"/>
              <w:right w:val="single" w:sz="4" w:space="0" w:color="auto"/>
            </w:tcBorders>
            <w:hideMark/>
          </w:tcPr>
          <w:p w14:paraId="3FBDDBC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495E7E">
              <w:rPr>
                <w:rFonts w:ascii="Calibri" w:eastAsia="Times New Roman" w:hAnsi="Calibri" w:cs="Calibri"/>
                <w:color w:val="000000"/>
                <w:sz w:val="24"/>
                <w:lang w:eastAsia="es-CR"/>
              </w:rPr>
              <w:t>Aumenta tiempos y costos por sanciones o correcciones.</w:t>
            </w:r>
          </w:p>
        </w:tc>
        <w:tc>
          <w:tcPr>
            <w:tcW w:w="1276" w:type="dxa"/>
            <w:tcBorders>
              <w:top w:val="nil"/>
              <w:left w:val="nil"/>
              <w:bottom w:val="single" w:sz="4" w:space="0" w:color="auto"/>
              <w:right w:val="single" w:sz="4" w:space="0" w:color="auto"/>
            </w:tcBorders>
            <w:noWrap/>
            <w:vAlign w:val="center"/>
            <w:hideMark/>
          </w:tcPr>
          <w:p w14:paraId="71A66292"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2977" w:type="dxa"/>
            <w:tcBorders>
              <w:top w:val="nil"/>
              <w:left w:val="nil"/>
              <w:bottom w:val="single" w:sz="4" w:space="0" w:color="auto"/>
              <w:right w:val="single" w:sz="4" w:space="0" w:color="auto"/>
            </w:tcBorders>
            <w:hideMark/>
          </w:tcPr>
          <w:p w14:paraId="17207B1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Implementar checklist legal en cada fase del proyecto (inicio, diseño, ejecución y cierre).</w:t>
            </w:r>
          </w:p>
        </w:tc>
        <w:tc>
          <w:tcPr>
            <w:tcW w:w="966" w:type="dxa"/>
            <w:tcBorders>
              <w:top w:val="nil"/>
              <w:left w:val="nil"/>
              <w:bottom w:val="single" w:sz="4" w:space="0" w:color="auto"/>
              <w:right w:val="single" w:sz="4" w:space="0" w:color="auto"/>
            </w:tcBorders>
            <w:noWrap/>
            <w:vAlign w:val="center"/>
            <w:hideMark/>
          </w:tcPr>
          <w:p w14:paraId="541F0B87"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460A22A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3520" w:type="dxa"/>
            <w:tcBorders>
              <w:top w:val="nil"/>
              <w:left w:val="nil"/>
              <w:bottom w:val="single" w:sz="4" w:space="0" w:color="auto"/>
              <w:right w:val="single" w:sz="4" w:space="0" w:color="auto"/>
            </w:tcBorders>
            <w:hideMark/>
          </w:tcPr>
          <w:p w14:paraId="0DDFDD4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Mayor control de tiempos y costos por gestión preventiva del cumplimiento.</w:t>
            </w:r>
          </w:p>
        </w:tc>
      </w:tr>
      <w:tr w:rsidR="00F212FE" w:rsidRPr="00242EB4" w14:paraId="6F2B1DA7" w14:textId="77777777" w:rsidTr="0055381F">
        <w:trPr>
          <w:gridAfter w:val="1"/>
          <w:wAfter w:w="118" w:type="dxa"/>
          <w:trHeight w:val="155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18E7E6F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139433E7"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3797D1C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Imparcialidad</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65877BE"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vAlign w:val="center"/>
            <w:hideMark/>
          </w:tcPr>
          <w:p w14:paraId="1AF69EC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Si no se cumplen leyes laborales, ambientales o de accesibilidad, se afectan derechos.</w:t>
            </w:r>
          </w:p>
        </w:tc>
        <w:tc>
          <w:tcPr>
            <w:tcW w:w="2506" w:type="dxa"/>
            <w:tcBorders>
              <w:top w:val="nil"/>
              <w:left w:val="nil"/>
              <w:bottom w:val="single" w:sz="4" w:space="0" w:color="auto"/>
              <w:right w:val="single" w:sz="4" w:space="0" w:color="auto"/>
            </w:tcBorders>
            <w:hideMark/>
          </w:tcPr>
          <w:p w14:paraId="0236CBB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495E7E">
              <w:rPr>
                <w:rFonts w:ascii="Calibri" w:eastAsia="Times New Roman" w:hAnsi="Calibri" w:cs="Calibri"/>
                <w:color w:val="000000"/>
                <w:sz w:val="24"/>
                <w:lang w:eastAsia="es-CR"/>
              </w:rPr>
              <w:t>Afectación de grupos vulnerables o comunidades por incumplimientos con impactos sociales negativos.</w:t>
            </w:r>
          </w:p>
        </w:tc>
        <w:tc>
          <w:tcPr>
            <w:tcW w:w="1276" w:type="dxa"/>
            <w:tcBorders>
              <w:top w:val="nil"/>
              <w:left w:val="nil"/>
              <w:bottom w:val="single" w:sz="4" w:space="0" w:color="auto"/>
              <w:right w:val="single" w:sz="4" w:space="0" w:color="auto"/>
            </w:tcBorders>
            <w:noWrap/>
            <w:vAlign w:val="center"/>
            <w:hideMark/>
          </w:tcPr>
          <w:p w14:paraId="0B3293B0"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2E5876B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Verificar cumplimiento de normativas relacionadas con derechos humanos, accesibilidad y protección ambiental.</w:t>
            </w:r>
          </w:p>
        </w:tc>
        <w:tc>
          <w:tcPr>
            <w:tcW w:w="966" w:type="dxa"/>
            <w:tcBorders>
              <w:top w:val="nil"/>
              <w:left w:val="nil"/>
              <w:bottom w:val="single" w:sz="4" w:space="0" w:color="auto"/>
              <w:right w:val="single" w:sz="4" w:space="0" w:color="auto"/>
            </w:tcBorders>
            <w:noWrap/>
            <w:vAlign w:val="center"/>
            <w:hideMark/>
          </w:tcPr>
          <w:p w14:paraId="12D0438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5ABAC3C7"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49F5A0E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Proyecto más justo y alineado con principios de equidad y responsabilidad social.</w:t>
            </w:r>
          </w:p>
        </w:tc>
      </w:tr>
      <w:tr w:rsidR="00F212FE" w:rsidRPr="00242EB4" w14:paraId="4A86BE9E" w14:textId="77777777" w:rsidTr="0055381F">
        <w:trPr>
          <w:gridAfter w:val="1"/>
          <w:wAfter w:w="118" w:type="dxa"/>
          <w:trHeight w:val="310"/>
        </w:trPr>
        <w:tc>
          <w:tcPr>
            <w:tcW w:w="2076" w:type="dxa"/>
            <w:vMerge w:val="restart"/>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641D780B" w14:textId="77777777" w:rsidR="00F212FE" w:rsidRPr="00D23DCD" w:rsidRDefault="00F212FE" w:rsidP="0055381F">
            <w:pPr>
              <w:spacing w:line="240" w:lineRule="auto"/>
              <w:ind w:firstLine="0"/>
              <w:rPr>
                <w:rFonts w:ascii="Calibri" w:eastAsia="Times New Roman" w:hAnsi="Calibri" w:cs="Calibri"/>
                <w:color w:val="E99226"/>
                <w:szCs w:val="22"/>
                <w:lang w:val="es-CR" w:eastAsia="es-CR"/>
              </w:rPr>
            </w:pPr>
            <w:r w:rsidRPr="00D23DCD">
              <w:rPr>
                <w:rFonts w:ascii="Calibri" w:eastAsia="Times New Roman" w:hAnsi="Calibri" w:cs="Calibri"/>
                <w:noProof/>
                <w:color w:val="000000"/>
                <w:szCs w:val="22"/>
                <w:lang w:val="es-CR" w:eastAsia="es-CR"/>
              </w:rPr>
              <w:drawing>
                <wp:anchor distT="0" distB="0" distL="114300" distR="114300" simplePos="0" relativeHeight="251669504" behindDoc="0" locked="0" layoutInCell="1" allowOverlap="1" wp14:anchorId="6CD9D536" wp14:editId="7BD573DF">
                  <wp:simplePos x="0" y="0"/>
                  <wp:positionH relativeFrom="column">
                    <wp:posOffset>152400</wp:posOffset>
                  </wp:positionH>
                  <wp:positionV relativeFrom="paragraph">
                    <wp:posOffset>-323215</wp:posOffset>
                  </wp:positionV>
                  <wp:extent cx="908050" cy="952500"/>
                  <wp:effectExtent l="0" t="0" r="6350" b="0"/>
                  <wp:wrapNone/>
                  <wp:docPr id="31" name="Imagen 14">
                    <a:extLst xmlns:a="http://schemas.openxmlformats.org/drawingml/2006/main">
                      <a:ext uri="{FF2B5EF4-FFF2-40B4-BE49-F238E27FC236}">
                        <a16:creationId xmlns:a16="http://schemas.microsoft.com/office/drawing/2014/main" id="{00000000-0008-0000-0300-00001F000000}"/>
                      </a:ext>
                    </a:extLst>
                  </wp:docPr>
                  <wp:cNvGraphicFramePr/>
                  <a:graphic xmlns:a="http://schemas.openxmlformats.org/drawingml/2006/main">
                    <a:graphicData uri="http://schemas.openxmlformats.org/drawingml/2006/picture">
                      <pic:pic xmlns:pic="http://schemas.openxmlformats.org/drawingml/2006/picture">
                        <pic:nvPicPr>
                          <pic:cNvPr id="31" name="Picture 30">
                            <a:extLst>
                              <a:ext uri="{FF2B5EF4-FFF2-40B4-BE49-F238E27FC236}">
                                <a16:creationId xmlns:a16="http://schemas.microsoft.com/office/drawing/2014/main" id="{00000000-0008-0000-0300-00001F000000}"/>
                              </a:ext>
                            </a:extLst>
                          </pic:cNvPr>
                          <pic:cNvPicPr>
                            <a:picLocks noChangeAspect="1"/>
                          </pic:cNvPicPr>
                        </pic:nvPicPr>
                        <pic:blipFill>
                          <a:blip r:embed="rId35"/>
                          <a:stretch>
                            <a:fillRect/>
                          </a:stretch>
                        </pic:blipFill>
                        <pic:spPr>
                          <a:xfrm>
                            <a:off x="0" y="0"/>
                            <a:ext cx="908050" cy="952500"/>
                          </a:xfrm>
                          <a:prstGeom prst="rect">
                            <a:avLst/>
                          </a:prstGeom>
                        </pic:spPr>
                      </pic:pic>
                    </a:graphicData>
                  </a:graphic>
                  <wp14:sizeRelH relativeFrom="page">
                    <wp14:pctWidth>0</wp14:pctWidth>
                  </wp14:sizeRelH>
                  <wp14:sizeRelV relativeFrom="page">
                    <wp14:pctHeight>0</wp14:pctHeight>
                  </wp14:sizeRelV>
                </wp:anchor>
              </w:drawing>
            </w:r>
          </w:p>
        </w:tc>
        <w:tc>
          <w:tcPr>
            <w:tcW w:w="2035" w:type="dxa"/>
            <w:vMerge w:val="restart"/>
            <w:tcBorders>
              <w:top w:val="nil"/>
              <w:left w:val="single" w:sz="4" w:space="0" w:color="auto"/>
              <w:bottom w:val="single" w:sz="4" w:space="0" w:color="auto"/>
              <w:right w:val="single" w:sz="4" w:space="0" w:color="auto"/>
            </w:tcBorders>
            <w:shd w:val="clear" w:color="000000" w:fill="F2F2F2"/>
            <w:vAlign w:val="center"/>
            <w:hideMark/>
          </w:tcPr>
          <w:p w14:paraId="599318E2"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r w:rsidRPr="00242EB4">
              <w:rPr>
                <w:rFonts w:ascii="Calibri" w:eastAsia="Times New Roman" w:hAnsi="Calibri" w:cs="Calibri"/>
                <w:color w:val="000000"/>
                <w:sz w:val="18"/>
                <w:szCs w:val="18"/>
                <w:lang w:val="es-CR" w:eastAsia="es-CR"/>
              </w:rPr>
              <w:t>Protección para los pueblos indígenas y tribales incluye las medidas tomadas para garantizar los derechos y el bienestar de las poblaciones afectadas a lo largo del proyecto. Esto incluye la protección de su cultura, derechos de uso de la tierra, idioma, religión y otras formas de reconocimiento.</w:t>
            </w:r>
          </w:p>
        </w:tc>
        <w:tc>
          <w:tcPr>
            <w:tcW w:w="1701" w:type="dxa"/>
            <w:tcBorders>
              <w:top w:val="nil"/>
              <w:left w:val="nil"/>
              <w:bottom w:val="single" w:sz="4" w:space="0" w:color="auto"/>
              <w:right w:val="single" w:sz="4" w:space="0" w:color="auto"/>
            </w:tcBorders>
            <w:shd w:val="clear" w:color="000000" w:fill="F2F2F2"/>
            <w:noWrap/>
            <w:vAlign w:val="center"/>
            <w:hideMark/>
          </w:tcPr>
          <w:p w14:paraId="7B2E7C9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Vida Útil</w:t>
            </w:r>
          </w:p>
        </w:tc>
        <w:tc>
          <w:tcPr>
            <w:tcW w:w="86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16F0C5E"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No</w:t>
            </w:r>
          </w:p>
        </w:tc>
        <w:tc>
          <w:tcPr>
            <w:tcW w:w="2897" w:type="dxa"/>
            <w:tcBorders>
              <w:top w:val="single" w:sz="4" w:space="0" w:color="auto"/>
              <w:left w:val="single" w:sz="4" w:space="0" w:color="auto"/>
              <w:bottom w:val="single" w:sz="4" w:space="0" w:color="auto"/>
              <w:right w:val="single" w:sz="4" w:space="0" w:color="auto"/>
            </w:tcBorders>
            <w:shd w:val="clear" w:color="000000" w:fill="BFBFBF"/>
            <w:hideMark/>
          </w:tcPr>
          <w:p w14:paraId="5C3A45B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2506" w:type="dxa"/>
            <w:tcBorders>
              <w:top w:val="single" w:sz="4" w:space="0" w:color="auto"/>
              <w:left w:val="single" w:sz="4" w:space="0" w:color="auto"/>
              <w:bottom w:val="single" w:sz="4" w:space="0" w:color="auto"/>
              <w:right w:val="single" w:sz="4" w:space="0" w:color="auto"/>
            </w:tcBorders>
            <w:shd w:val="clear" w:color="000000" w:fill="BFBFBF"/>
            <w:hideMark/>
          </w:tcPr>
          <w:p w14:paraId="42908572"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1276" w:type="dxa"/>
            <w:tcBorders>
              <w:top w:val="nil"/>
              <w:left w:val="nil"/>
              <w:bottom w:val="single" w:sz="4" w:space="0" w:color="auto"/>
              <w:right w:val="single" w:sz="4" w:space="0" w:color="auto"/>
            </w:tcBorders>
            <w:noWrap/>
            <w:vAlign w:val="center"/>
            <w:hideMark/>
          </w:tcPr>
          <w:p w14:paraId="3D5C40B4"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2977" w:type="dxa"/>
            <w:tcBorders>
              <w:top w:val="single" w:sz="4" w:space="0" w:color="auto"/>
              <w:left w:val="single" w:sz="4" w:space="0" w:color="auto"/>
              <w:bottom w:val="single" w:sz="4" w:space="0" w:color="auto"/>
              <w:right w:val="single" w:sz="4" w:space="0" w:color="auto"/>
            </w:tcBorders>
            <w:shd w:val="clear" w:color="000000" w:fill="BFBFBF"/>
            <w:hideMark/>
          </w:tcPr>
          <w:p w14:paraId="172B0E8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966" w:type="dxa"/>
            <w:tcBorders>
              <w:top w:val="nil"/>
              <w:left w:val="nil"/>
              <w:bottom w:val="single" w:sz="4" w:space="0" w:color="auto"/>
              <w:right w:val="single" w:sz="4" w:space="0" w:color="auto"/>
            </w:tcBorders>
            <w:noWrap/>
            <w:vAlign w:val="center"/>
            <w:hideMark/>
          </w:tcPr>
          <w:p w14:paraId="69D87840"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99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08A2616"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0</w:t>
            </w:r>
          </w:p>
        </w:tc>
        <w:tc>
          <w:tcPr>
            <w:tcW w:w="3520" w:type="dxa"/>
            <w:tcBorders>
              <w:top w:val="single" w:sz="4" w:space="0" w:color="auto"/>
              <w:left w:val="single" w:sz="4" w:space="0" w:color="auto"/>
              <w:bottom w:val="single" w:sz="4" w:space="0" w:color="auto"/>
              <w:right w:val="single" w:sz="4" w:space="0" w:color="auto"/>
            </w:tcBorders>
            <w:shd w:val="clear" w:color="000000" w:fill="BFBFBF"/>
            <w:hideMark/>
          </w:tcPr>
          <w:p w14:paraId="3EE3F6F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r>
      <w:tr w:rsidR="00F212FE" w:rsidRPr="00242EB4" w14:paraId="18A6810C" w14:textId="77777777" w:rsidTr="0055381F">
        <w:trPr>
          <w:gridAfter w:val="1"/>
          <w:wAfter w:w="118" w:type="dxa"/>
          <w:trHeight w:val="310"/>
        </w:trPr>
        <w:tc>
          <w:tcPr>
            <w:tcW w:w="2076" w:type="dxa"/>
            <w:vMerge/>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2E4B9F85" w14:textId="77777777" w:rsidR="00F212FE" w:rsidRPr="00242EB4" w:rsidRDefault="00F212FE" w:rsidP="0055381F">
            <w:pPr>
              <w:spacing w:line="240" w:lineRule="auto"/>
              <w:ind w:firstLine="0"/>
              <w:rPr>
                <w:rFonts w:ascii="Calibri" w:eastAsia="Times New Roman" w:hAnsi="Calibri" w:cs="Calibri"/>
                <w:color w:val="E99226"/>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26338F47"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230C681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Mantenimiento</w:t>
            </w:r>
          </w:p>
        </w:tc>
        <w:tc>
          <w:tcPr>
            <w:tcW w:w="86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E02174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No</w:t>
            </w:r>
          </w:p>
        </w:tc>
        <w:tc>
          <w:tcPr>
            <w:tcW w:w="2897" w:type="dxa"/>
            <w:tcBorders>
              <w:top w:val="single" w:sz="4" w:space="0" w:color="auto"/>
              <w:left w:val="single" w:sz="4" w:space="0" w:color="auto"/>
              <w:bottom w:val="single" w:sz="4" w:space="0" w:color="auto"/>
              <w:right w:val="single" w:sz="4" w:space="0" w:color="auto"/>
            </w:tcBorders>
            <w:shd w:val="clear" w:color="000000" w:fill="BFBFBF"/>
            <w:hideMark/>
          </w:tcPr>
          <w:p w14:paraId="21436E8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2506" w:type="dxa"/>
            <w:tcBorders>
              <w:top w:val="single" w:sz="4" w:space="0" w:color="auto"/>
              <w:left w:val="single" w:sz="4" w:space="0" w:color="auto"/>
              <w:bottom w:val="single" w:sz="4" w:space="0" w:color="auto"/>
              <w:right w:val="single" w:sz="4" w:space="0" w:color="auto"/>
            </w:tcBorders>
            <w:shd w:val="clear" w:color="000000" w:fill="BFBFBF"/>
            <w:hideMark/>
          </w:tcPr>
          <w:p w14:paraId="32F447A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1276" w:type="dxa"/>
            <w:tcBorders>
              <w:top w:val="nil"/>
              <w:left w:val="nil"/>
              <w:bottom w:val="single" w:sz="4" w:space="0" w:color="auto"/>
              <w:right w:val="single" w:sz="4" w:space="0" w:color="auto"/>
            </w:tcBorders>
            <w:noWrap/>
            <w:vAlign w:val="center"/>
            <w:hideMark/>
          </w:tcPr>
          <w:p w14:paraId="606D88E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2977" w:type="dxa"/>
            <w:tcBorders>
              <w:top w:val="single" w:sz="4" w:space="0" w:color="auto"/>
              <w:left w:val="single" w:sz="4" w:space="0" w:color="auto"/>
              <w:bottom w:val="single" w:sz="4" w:space="0" w:color="auto"/>
              <w:right w:val="single" w:sz="4" w:space="0" w:color="auto"/>
            </w:tcBorders>
            <w:shd w:val="clear" w:color="000000" w:fill="BFBFBF"/>
            <w:hideMark/>
          </w:tcPr>
          <w:p w14:paraId="652967A5"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966" w:type="dxa"/>
            <w:tcBorders>
              <w:top w:val="nil"/>
              <w:left w:val="nil"/>
              <w:bottom w:val="single" w:sz="4" w:space="0" w:color="auto"/>
              <w:right w:val="single" w:sz="4" w:space="0" w:color="auto"/>
            </w:tcBorders>
            <w:noWrap/>
            <w:vAlign w:val="center"/>
            <w:hideMark/>
          </w:tcPr>
          <w:p w14:paraId="007A1676"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99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6BC6776"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0</w:t>
            </w:r>
          </w:p>
        </w:tc>
        <w:tc>
          <w:tcPr>
            <w:tcW w:w="3520" w:type="dxa"/>
            <w:tcBorders>
              <w:top w:val="single" w:sz="4" w:space="0" w:color="auto"/>
              <w:left w:val="single" w:sz="4" w:space="0" w:color="auto"/>
              <w:bottom w:val="single" w:sz="4" w:space="0" w:color="auto"/>
              <w:right w:val="single" w:sz="4" w:space="0" w:color="auto"/>
            </w:tcBorders>
            <w:shd w:val="clear" w:color="000000" w:fill="BFBFBF"/>
            <w:hideMark/>
          </w:tcPr>
          <w:p w14:paraId="64D9F55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r>
      <w:tr w:rsidR="00F212FE" w:rsidRPr="00242EB4" w14:paraId="2B6955C9" w14:textId="77777777" w:rsidTr="0055381F">
        <w:trPr>
          <w:gridAfter w:val="1"/>
          <w:wAfter w:w="118" w:type="dxa"/>
          <w:trHeight w:val="1240"/>
        </w:trPr>
        <w:tc>
          <w:tcPr>
            <w:tcW w:w="2076" w:type="dxa"/>
            <w:vMerge/>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46B16CCB" w14:textId="77777777" w:rsidR="00F212FE" w:rsidRPr="00242EB4" w:rsidRDefault="00F212FE" w:rsidP="0055381F">
            <w:pPr>
              <w:spacing w:line="240" w:lineRule="auto"/>
              <w:ind w:firstLine="0"/>
              <w:rPr>
                <w:rFonts w:ascii="Calibri" w:eastAsia="Times New Roman" w:hAnsi="Calibri" w:cs="Calibri"/>
                <w:color w:val="E99226"/>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1FA793DF"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7AE0899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Eficacia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30BF6F9"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4D0E651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La exclusión o afectación a comunidades puede generar oposición social que limite la ejecución del proyecto.</w:t>
            </w:r>
          </w:p>
        </w:tc>
        <w:tc>
          <w:tcPr>
            <w:tcW w:w="2506" w:type="dxa"/>
            <w:tcBorders>
              <w:top w:val="nil"/>
              <w:left w:val="nil"/>
              <w:bottom w:val="single" w:sz="4" w:space="0" w:color="auto"/>
              <w:right w:val="single" w:sz="4" w:space="0" w:color="auto"/>
            </w:tcBorders>
            <w:hideMark/>
          </w:tcPr>
          <w:p w14:paraId="3C489A1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495E7E">
              <w:rPr>
                <w:rFonts w:ascii="Calibri" w:eastAsia="Times New Roman" w:hAnsi="Calibri" w:cs="Calibri"/>
                <w:color w:val="000000"/>
                <w:sz w:val="24"/>
                <w:lang w:eastAsia="es-CR"/>
              </w:rPr>
              <w:t>Riesgo de suspensión, rechazo social o conflictos legales que impidan la operación del proyecto.</w:t>
            </w:r>
          </w:p>
        </w:tc>
        <w:tc>
          <w:tcPr>
            <w:tcW w:w="1276" w:type="dxa"/>
            <w:tcBorders>
              <w:top w:val="nil"/>
              <w:left w:val="nil"/>
              <w:bottom w:val="single" w:sz="4" w:space="0" w:color="auto"/>
              <w:right w:val="single" w:sz="4" w:space="0" w:color="auto"/>
            </w:tcBorders>
            <w:noWrap/>
            <w:vAlign w:val="center"/>
            <w:hideMark/>
          </w:tcPr>
          <w:p w14:paraId="484B43EF"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0A7A05C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Implementar consulta previa y medidas de salvaguarda cultural desde la planificación.</w:t>
            </w:r>
          </w:p>
        </w:tc>
        <w:tc>
          <w:tcPr>
            <w:tcW w:w="966" w:type="dxa"/>
            <w:tcBorders>
              <w:top w:val="nil"/>
              <w:left w:val="nil"/>
              <w:bottom w:val="single" w:sz="4" w:space="0" w:color="auto"/>
              <w:right w:val="single" w:sz="4" w:space="0" w:color="auto"/>
            </w:tcBorders>
            <w:noWrap/>
            <w:vAlign w:val="center"/>
            <w:hideMark/>
          </w:tcPr>
          <w:p w14:paraId="063CC152"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63D11D56"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685F4F12"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Mejora en la aceptación del proyecto y reducción de riesgos sociales y legales.</w:t>
            </w:r>
          </w:p>
        </w:tc>
      </w:tr>
      <w:tr w:rsidR="00F212FE" w:rsidRPr="00242EB4" w14:paraId="596A1773" w14:textId="77777777" w:rsidTr="0055381F">
        <w:trPr>
          <w:gridAfter w:val="1"/>
          <w:wAfter w:w="118" w:type="dxa"/>
          <w:trHeight w:val="1240"/>
        </w:trPr>
        <w:tc>
          <w:tcPr>
            <w:tcW w:w="2076" w:type="dxa"/>
            <w:vMerge/>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030CB73F" w14:textId="77777777" w:rsidR="00F212FE" w:rsidRPr="00242EB4" w:rsidRDefault="00F212FE" w:rsidP="0055381F">
            <w:pPr>
              <w:spacing w:line="240" w:lineRule="auto"/>
              <w:ind w:firstLine="0"/>
              <w:rPr>
                <w:rFonts w:ascii="Calibri" w:eastAsia="Times New Roman" w:hAnsi="Calibri" w:cs="Calibri"/>
                <w:color w:val="E99226"/>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19DE9A58"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0BD3ED2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Eficiencia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C3CB638"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20277B2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Omitir procesos de consulta puede generar atrasos, conflictos o costos legales no contemplados.</w:t>
            </w:r>
          </w:p>
        </w:tc>
        <w:tc>
          <w:tcPr>
            <w:tcW w:w="2506" w:type="dxa"/>
            <w:tcBorders>
              <w:top w:val="nil"/>
              <w:left w:val="nil"/>
              <w:bottom w:val="single" w:sz="4" w:space="0" w:color="auto"/>
              <w:right w:val="single" w:sz="4" w:space="0" w:color="auto"/>
            </w:tcBorders>
            <w:hideMark/>
          </w:tcPr>
          <w:p w14:paraId="25AB735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495E7E">
              <w:rPr>
                <w:rFonts w:ascii="Calibri" w:eastAsia="Times New Roman" w:hAnsi="Calibri" w:cs="Calibri"/>
                <w:color w:val="000000"/>
                <w:sz w:val="24"/>
                <w:lang w:eastAsia="es-CR"/>
              </w:rPr>
              <w:t>Desviaciones de tiempo, rediseños o medidas correctivas imprevistas.</w:t>
            </w:r>
          </w:p>
        </w:tc>
        <w:tc>
          <w:tcPr>
            <w:tcW w:w="1276" w:type="dxa"/>
            <w:tcBorders>
              <w:top w:val="nil"/>
              <w:left w:val="nil"/>
              <w:bottom w:val="single" w:sz="4" w:space="0" w:color="auto"/>
              <w:right w:val="single" w:sz="4" w:space="0" w:color="auto"/>
            </w:tcBorders>
            <w:noWrap/>
            <w:vAlign w:val="center"/>
            <w:hideMark/>
          </w:tcPr>
          <w:p w14:paraId="3D74759F"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37D1244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Incluir procesos participativos desde etapas tempranas para minimizar riesgos y fomentar cooperación.</w:t>
            </w:r>
          </w:p>
        </w:tc>
        <w:tc>
          <w:tcPr>
            <w:tcW w:w="966" w:type="dxa"/>
            <w:tcBorders>
              <w:top w:val="nil"/>
              <w:left w:val="nil"/>
              <w:bottom w:val="single" w:sz="4" w:space="0" w:color="auto"/>
              <w:right w:val="single" w:sz="4" w:space="0" w:color="auto"/>
            </w:tcBorders>
            <w:noWrap/>
            <w:vAlign w:val="center"/>
            <w:hideMark/>
          </w:tcPr>
          <w:p w14:paraId="6D68ED76"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6D6AC0E0"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337638B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Mayor previsibilidad operativa, menor riesgo de atrasos o sanciones.</w:t>
            </w:r>
          </w:p>
        </w:tc>
      </w:tr>
      <w:tr w:rsidR="00F212FE" w:rsidRPr="00242EB4" w14:paraId="13C1B439" w14:textId="77777777" w:rsidTr="0055381F">
        <w:trPr>
          <w:gridAfter w:val="1"/>
          <w:wAfter w:w="118" w:type="dxa"/>
          <w:trHeight w:val="1550"/>
        </w:trPr>
        <w:tc>
          <w:tcPr>
            <w:tcW w:w="2076" w:type="dxa"/>
            <w:vMerge/>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56126A3F" w14:textId="77777777" w:rsidR="00F212FE" w:rsidRPr="00242EB4" w:rsidRDefault="00F212FE" w:rsidP="0055381F">
            <w:pPr>
              <w:spacing w:line="240" w:lineRule="auto"/>
              <w:ind w:firstLine="0"/>
              <w:rPr>
                <w:rFonts w:ascii="Calibri" w:eastAsia="Times New Roman" w:hAnsi="Calibri" w:cs="Calibri"/>
                <w:color w:val="E99226"/>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1B82DA11"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05F4763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Imparcialidad</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E683D74"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500A4F5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No respetar derechos culturales o de territorio promueve la discriminación y desigualdad.</w:t>
            </w:r>
          </w:p>
        </w:tc>
        <w:tc>
          <w:tcPr>
            <w:tcW w:w="2506" w:type="dxa"/>
            <w:tcBorders>
              <w:top w:val="nil"/>
              <w:left w:val="nil"/>
              <w:bottom w:val="single" w:sz="4" w:space="0" w:color="auto"/>
              <w:right w:val="single" w:sz="4" w:space="0" w:color="auto"/>
            </w:tcBorders>
            <w:hideMark/>
          </w:tcPr>
          <w:p w14:paraId="3692083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495E7E">
              <w:rPr>
                <w:rFonts w:ascii="Calibri" w:eastAsia="Times New Roman" w:hAnsi="Calibri" w:cs="Calibri"/>
                <w:color w:val="000000"/>
                <w:sz w:val="24"/>
                <w:lang w:eastAsia="es-CR"/>
              </w:rPr>
              <w:t>Impacto negativo en la equidad, reputación del proyecto y cumplimiento de estándares internacionales de derechos humanos.</w:t>
            </w:r>
          </w:p>
        </w:tc>
        <w:tc>
          <w:tcPr>
            <w:tcW w:w="1276" w:type="dxa"/>
            <w:tcBorders>
              <w:top w:val="nil"/>
              <w:left w:val="nil"/>
              <w:bottom w:val="single" w:sz="4" w:space="0" w:color="auto"/>
              <w:right w:val="single" w:sz="4" w:space="0" w:color="auto"/>
            </w:tcBorders>
            <w:noWrap/>
            <w:vAlign w:val="center"/>
            <w:hideMark/>
          </w:tcPr>
          <w:p w14:paraId="1B529A8D"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2977" w:type="dxa"/>
            <w:tcBorders>
              <w:top w:val="nil"/>
              <w:left w:val="nil"/>
              <w:bottom w:val="single" w:sz="4" w:space="0" w:color="auto"/>
              <w:right w:val="single" w:sz="4" w:space="0" w:color="auto"/>
            </w:tcBorders>
            <w:hideMark/>
          </w:tcPr>
          <w:p w14:paraId="4AFFC1E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Garantizar el respeto de derechos colectivos mediante protocolos culturales y acompañamiento legal especializado.</w:t>
            </w:r>
          </w:p>
        </w:tc>
        <w:tc>
          <w:tcPr>
            <w:tcW w:w="966" w:type="dxa"/>
            <w:tcBorders>
              <w:top w:val="nil"/>
              <w:left w:val="nil"/>
              <w:bottom w:val="single" w:sz="4" w:space="0" w:color="auto"/>
              <w:right w:val="single" w:sz="4" w:space="0" w:color="auto"/>
            </w:tcBorders>
            <w:noWrap/>
            <w:vAlign w:val="center"/>
            <w:hideMark/>
          </w:tcPr>
          <w:p w14:paraId="50BE9AFA"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5</w:t>
            </w:r>
          </w:p>
        </w:tc>
        <w:tc>
          <w:tcPr>
            <w:tcW w:w="992" w:type="dxa"/>
            <w:tcBorders>
              <w:top w:val="nil"/>
              <w:left w:val="nil"/>
              <w:bottom w:val="single" w:sz="4" w:space="0" w:color="auto"/>
              <w:right w:val="single" w:sz="4" w:space="0" w:color="auto"/>
            </w:tcBorders>
            <w:noWrap/>
            <w:vAlign w:val="center"/>
            <w:hideMark/>
          </w:tcPr>
          <w:p w14:paraId="3B4C3D6A"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76DCE81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Proyecto socialmente justo, conforme con estándares de equidad e inclusión.</w:t>
            </w:r>
          </w:p>
        </w:tc>
      </w:tr>
      <w:tr w:rsidR="00F212FE" w:rsidRPr="00242EB4" w14:paraId="3B4A5BAF" w14:textId="77777777" w:rsidTr="0055381F">
        <w:trPr>
          <w:gridAfter w:val="1"/>
          <w:wAfter w:w="118" w:type="dxa"/>
          <w:trHeight w:val="1240"/>
        </w:trPr>
        <w:tc>
          <w:tcPr>
            <w:tcW w:w="2076" w:type="dxa"/>
            <w:vMerge w:val="restart"/>
            <w:tcBorders>
              <w:top w:val="single" w:sz="4" w:space="0" w:color="auto"/>
              <w:left w:val="single" w:sz="4" w:space="0" w:color="auto"/>
              <w:bottom w:val="single" w:sz="4" w:space="0" w:color="auto"/>
              <w:right w:val="nil"/>
            </w:tcBorders>
            <w:shd w:val="clear" w:color="auto" w:fill="ED7D31" w:themeFill="accent2"/>
            <w:noWrap/>
            <w:vAlign w:val="bottom"/>
            <w:hideMark/>
          </w:tcPr>
          <w:p w14:paraId="092BA2C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noProof/>
                <w:color w:val="000000"/>
                <w:sz w:val="24"/>
                <w:lang w:val="es-CR" w:eastAsia="es-CR"/>
              </w:rPr>
              <w:drawing>
                <wp:anchor distT="0" distB="0" distL="114300" distR="114300" simplePos="0" relativeHeight="251670528" behindDoc="0" locked="0" layoutInCell="1" allowOverlap="1" wp14:anchorId="46CB2A92" wp14:editId="7B2D06EA">
                  <wp:simplePos x="0" y="0"/>
                  <wp:positionH relativeFrom="column">
                    <wp:posOffset>213995</wp:posOffset>
                  </wp:positionH>
                  <wp:positionV relativeFrom="paragraph">
                    <wp:posOffset>-2929255</wp:posOffset>
                  </wp:positionV>
                  <wp:extent cx="882650" cy="927100"/>
                  <wp:effectExtent l="0" t="0" r="0" b="6350"/>
                  <wp:wrapNone/>
                  <wp:docPr id="35" name="Imagen 13">
                    <a:extLst xmlns:a="http://schemas.openxmlformats.org/drawingml/2006/main">
                      <a:ext uri="{FF2B5EF4-FFF2-40B4-BE49-F238E27FC236}">
                        <a16:creationId xmlns:a16="http://schemas.microsoft.com/office/drawing/2014/main" id="{00000000-0008-0000-0300-000023000000}"/>
                      </a:ext>
                    </a:extLst>
                  </wp:docPr>
                  <wp:cNvGraphicFramePr/>
                  <a:graphic xmlns:a="http://schemas.openxmlformats.org/drawingml/2006/main">
                    <a:graphicData uri="http://schemas.openxmlformats.org/drawingml/2006/picture">
                      <pic:pic xmlns:pic="http://schemas.openxmlformats.org/drawingml/2006/picture">
                        <pic:nvPicPr>
                          <pic:cNvPr id="35" name="Picture 34">
                            <a:extLst>
                              <a:ext uri="{FF2B5EF4-FFF2-40B4-BE49-F238E27FC236}">
                                <a16:creationId xmlns:a16="http://schemas.microsoft.com/office/drawing/2014/main" id="{00000000-0008-0000-0300-000023000000}"/>
                              </a:ext>
                            </a:extLst>
                          </pic:cNvPr>
                          <pic:cNvPicPr>
                            <a:picLocks noChangeAspect="1"/>
                          </pic:cNvPicPr>
                        </pic:nvPicPr>
                        <pic:blipFill>
                          <a:blip r:embed="rId36"/>
                          <a:stretch>
                            <a:fillRect/>
                          </a:stretch>
                        </pic:blipFill>
                        <pic:spPr>
                          <a:xfrm>
                            <a:off x="0" y="0"/>
                            <a:ext cx="882650" cy="927100"/>
                          </a:xfrm>
                          <a:prstGeom prst="rect">
                            <a:avLst/>
                          </a:prstGeom>
                        </pic:spPr>
                      </pic:pic>
                    </a:graphicData>
                  </a:graphic>
                  <wp14:sizeRelH relativeFrom="page">
                    <wp14:pctWidth>0</wp14:pctWidth>
                  </wp14:sizeRelH>
                  <wp14:sizeRelV relativeFrom="page">
                    <wp14:pctHeight>0</wp14:pctHeight>
                  </wp14:sizeRelV>
                </wp:anchor>
              </w:drawing>
            </w:r>
          </w:p>
        </w:tc>
        <w:tc>
          <w:tcPr>
            <w:tcW w:w="2035" w:type="dxa"/>
            <w:vMerge w:val="restart"/>
            <w:tcBorders>
              <w:top w:val="nil"/>
              <w:left w:val="single" w:sz="4" w:space="0" w:color="auto"/>
              <w:bottom w:val="single" w:sz="4" w:space="0" w:color="auto"/>
              <w:right w:val="single" w:sz="4" w:space="0" w:color="auto"/>
            </w:tcBorders>
            <w:shd w:val="clear" w:color="000000" w:fill="F2F2F2"/>
            <w:vAlign w:val="center"/>
            <w:hideMark/>
          </w:tcPr>
          <w:p w14:paraId="6A10B5B6"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r w:rsidRPr="00242EB4">
              <w:rPr>
                <w:rFonts w:ascii="Calibri" w:eastAsia="Times New Roman" w:hAnsi="Calibri" w:cs="Calibri"/>
                <w:color w:val="000000"/>
                <w:sz w:val="18"/>
                <w:szCs w:val="18"/>
                <w:lang w:val="es-CR" w:eastAsia="es-CR"/>
              </w:rPr>
              <w:t>Salud y seguridad del cliente incluye las medidas tomadas para asegurar el bienestar físico y mental de los usuarios finales de los productos del proyecto. Esto incluye proporcionar información sobre los riesgos y peligros, el manejo adecuado del cliente durante el proyecto y el cumplimiento de las normas, protocolos, leyes y regulaciones de seguridad pertinentes.</w:t>
            </w:r>
          </w:p>
        </w:tc>
        <w:tc>
          <w:tcPr>
            <w:tcW w:w="1701" w:type="dxa"/>
            <w:tcBorders>
              <w:top w:val="nil"/>
              <w:left w:val="nil"/>
              <w:bottom w:val="single" w:sz="4" w:space="0" w:color="auto"/>
              <w:right w:val="single" w:sz="4" w:space="0" w:color="auto"/>
            </w:tcBorders>
            <w:shd w:val="clear" w:color="000000" w:fill="F2F2F2"/>
            <w:noWrap/>
            <w:vAlign w:val="center"/>
            <w:hideMark/>
          </w:tcPr>
          <w:p w14:paraId="1E17E5E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Vida Útil</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5DBA02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259B5B0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Un producto seguro es más probable que sea utilizado durante más tiempo.</w:t>
            </w:r>
          </w:p>
        </w:tc>
        <w:tc>
          <w:tcPr>
            <w:tcW w:w="2506" w:type="dxa"/>
            <w:tcBorders>
              <w:top w:val="nil"/>
              <w:left w:val="nil"/>
              <w:bottom w:val="single" w:sz="4" w:space="0" w:color="auto"/>
              <w:right w:val="single" w:sz="4" w:space="0" w:color="auto"/>
            </w:tcBorders>
            <w:hideMark/>
          </w:tcPr>
          <w:p w14:paraId="53FFB5C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495E7E">
              <w:rPr>
                <w:rFonts w:ascii="Calibri" w:eastAsia="Times New Roman" w:hAnsi="Calibri" w:cs="Calibri"/>
                <w:color w:val="000000"/>
                <w:sz w:val="24"/>
                <w:lang w:eastAsia="es-CR"/>
              </w:rPr>
              <w:t>Reduce el riesgo de obsolescencia o rechazo por parte de los usuarios, al garantizar condiciones seguras de uso.</w:t>
            </w:r>
          </w:p>
        </w:tc>
        <w:tc>
          <w:tcPr>
            <w:tcW w:w="1276" w:type="dxa"/>
            <w:tcBorders>
              <w:top w:val="nil"/>
              <w:left w:val="nil"/>
              <w:bottom w:val="single" w:sz="4" w:space="0" w:color="auto"/>
              <w:right w:val="single" w:sz="4" w:space="0" w:color="auto"/>
            </w:tcBorders>
            <w:noWrap/>
            <w:vAlign w:val="center"/>
            <w:hideMark/>
          </w:tcPr>
          <w:p w14:paraId="13ED101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2977" w:type="dxa"/>
            <w:tcBorders>
              <w:top w:val="nil"/>
              <w:left w:val="nil"/>
              <w:bottom w:val="single" w:sz="4" w:space="0" w:color="auto"/>
              <w:right w:val="single" w:sz="4" w:space="0" w:color="auto"/>
            </w:tcBorders>
            <w:hideMark/>
          </w:tcPr>
          <w:p w14:paraId="088E63A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Incorporar normas de seguridad desde el diseño y realizar pruebas de uso con usuarios finales.</w:t>
            </w:r>
          </w:p>
        </w:tc>
        <w:tc>
          <w:tcPr>
            <w:tcW w:w="966" w:type="dxa"/>
            <w:tcBorders>
              <w:top w:val="nil"/>
              <w:left w:val="nil"/>
              <w:bottom w:val="single" w:sz="4" w:space="0" w:color="auto"/>
              <w:right w:val="single" w:sz="4" w:space="0" w:color="auto"/>
            </w:tcBorders>
            <w:noWrap/>
            <w:vAlign w:val="center"/>
            <w:hideMark/>
          </w:tcPr>
          <w:p w14:paraId="59919A5D"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41DBD16E"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28FE352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Mayor aceptación del producto y mayor tiempo de uso previsto.</w:t>
            </w:r>
          </w:p>
        </w:tc>
      </w:tr>
      <w:tr w:rsidR="00F212FE" w:rsidRPr="00242EB4" w14:paraId="503513CC" w14:textId="77777777" w:rsidTr="0055381F">
        <w:trPr>
          <w:gridAfter w:val="1"/>
          <w:wAfter w:w="118" w:type="dxa"/>
          <w:trHeight w:val="155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2EAC10B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1A0AACB4"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269035E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Mantenimiento</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570C7D2"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52AE822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Las medidas de seguridad pueden reducir incidentes durante la operación y facilitar mantenimientos seguros.</w:t>
            </w:r>
          </w:p>
        </w:tc>
        <w:tc>
          <w:tcPr>
            <w:tcW w:w="2506" w:type="dxa"/>
            <w:tcBorders>
              <w:top w:val="nil"/>
              <w:left w:val="nil"/>
              <w:bottom w:val="single" w:sz="4" w:space="0" w:color="auto"/>
              <w:right w:val="single" w:sz="4" w:space="0" w:color="auto"/>
            </w:tcBorders>
            <w:hideMark/>
          </w:tcPr>
          <w:p w14:paraId="0BC3FB3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495E7E">
              <w:rPr>
                <w:rFonts w:ascii="Calibri" w:eastAsia="Times New Roman" w:hAnsi="Calibri" w:cs="Calibri"/>
                <w:color w:val="000000"/>
                <w:sz w:val="24"/>
                <w:lang w:eastAsia="es-CR"/>
              </w:rPr>
              <w:t>Mejora la seguridad durante la operación continua, minimiza accidentes durante mantenimientos o actualizaciones del producto.</w:t>
            </w:r>
          </w:p>
        </w:tc>
        <w:tc>
          <w:tcPr>
            <w:tcW w:w="1276" w:type="dxa"/>
            <w:tcBorders>
              <w:top w:val="nil"/>
              <w:left w:val="nil"/>
              <w:bottom w:val="single" w:sz="4" w:space="0" w:color="auto"/>
              <w:right w:val="single" w:sz="4" w:space="0" w:color="auto"/>
            </w:tcBorders>
            <w:noWrap/>
            <w:vAlign w:val="center"/>
            <w:hideMark/>
          </w:tcPr>
          <w:p w14:paraId="78896024"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2977" w:type="dxa"/>
            <w:tcBorders>
              <w:top w:val="nil"/>
              <w:left w:val="nil"/>
              <w:bottom w:val="single" w:sz="4" w:space="0" w:color="auto"/>
              <w:right w:val="single" w:sz="4" w:space="0" w:color="auto"/>
            </w:tcBorders>
            <w:hideMark/>
          </w:tcPr>
          <w:p w14:paraId="493A4C4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Diseñar con criterios de mantenimiento seguro (manuales claros, señalización, materiales accesibles).</w:t>
            </w:r>
          </w:p>
        </w:tc>
        <w:tc>
          <w:tcPr>
            <w:tcW w:w="966" w:type="dxa"/>
            <w:tcBorders>
              <w:top w:val="nil"/>
              <w:left w:val="nil"/>
              <w:bottom w:val="single" w:sz="4" w:space="0" w:color="auto"/>
              <w:right w:val="single" w:sz="4" w:space="0" w:color="auto"/>
            </w:tcBorders>
            <w:noWrap/>
            <w:vAlign w:val="center"/>
            <w:hideMark/>
          </w:tcPr>
          <w:p w14:paraId="5C8C00CD"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0207923E"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7781F8D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Menor riesgo durante el mantenimiento, menos interrupciones del servicio.</w:t>
            </w:r>
          </w:p>
        </w:tc>
      </w:tr>
      <w:tr w:rsidR="00F212FE" w:rsidRPr="00242EB4" w14:paraId="3EA3B769" w14:textId="77777777" w:rsidTr="0055381F">
        <w:trPr>
          <w:gridAfter w:val="1"/>
          <w:wAfter w:w="118" w:type="dxa"/>
          <w:trHeight w:val="124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1F455E0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433572CF"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74824C7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Eficacia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5BD105B"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01294EB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Un producto que protege al usuario es más efectivo para su propósito.</w:t>
            </w:r>
          </w:p>
        </w:tc>
        <w:tc>
          <w:tcPr>
            <w:tcW w:w="2506" w:type="dxa"/>
            <w:tcBorders>
              <w:top w:val="nil"/>
              <w:left w:val="nil"/>
              <w:bottom w:val="single" w:sz="4" w:space="0" w:color="auto"/>
              <w:right w:val="single" w:sz="4" w:space="0" w:color="auto"/>
            </w:tcBorders>
            <w:hideMark/>
          </w:tcPr>
          <w:p w14:paraId="28BCE22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495E7E">
              <w:rPr>
                <w:rFonts w:ascii="Calibri" w:eastAsia="Times New Roman" w:hAnsi="Calibri" w:cs="Calibri"/>
                <w:color w:val="000000"/>
                <w:sz w:val="24"/>
                <w:lang w:eastAsia="es-CR"/>
              </w:rPr>
              <w:t>Aumenta la confianza del cliente y asegura el cumplimiento del propósito previsto del producto.</w:t>
            </w:r>
          </w:p>
        </w:tc>
        <w:tc>
          <w:tcPr>
            <w:tcW w:w="1276" w:type="dxa"/>
            <w:tcBorders>
              <w:top w:val="nil"/>
              <w:left w:val="nil"/>
              <w:bottom w:val="single" w:sz="4" w:space="0" w:color="auto"/>
              <w:right w:val="single" w:sz="4" w:space="0" w:color="auto"/>
            </w:tcBorders>
            <w:noWrap/>
            <w:vAlign w:val="center"/>
            <w:hideMark/>
          </w:tcPr>
          <w:p w14:paraId="713BA8D6"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2977" w:type="dxa"/>
            <w:tcBorders>
              <w:top w:val="nil"/>
              <w:left w:val="nil"/>
              <w:bottom w:val="single" w:sz="4" w:space="0" w:color="auto"/>
              <w:right w:val="single" w:sz="4" w:space="0" w:color="auto"/>
            </w:tcBorders>
            <w:hideMark/>
          </w:tcPr>
          <w:p w14:paraId="18C8FC7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Implementar señalización, capacitación al cliente, protocolos de uso seguro, retroalimentación postventa.</w:t>
            </w:r>
          </w:p>
        </w:tc>
        <w:tc>
          <w:tcPr>
            <w:tcW w:w="966" w:type="dxa"/>
            <w:tcBorders>
              <w:top w:val="nil"/>
              <w:left w:val="nil"/>
              <w:bottom w:val="single" w:sz="4" w:space="0" w:color="auto"/>
              <w:right w:val="single" w:sz="4" w:space="0" w:color="auto"/>
            </w:tcBorders>
            <w:noWrap/>
            <w:vAlign w:val="center"/>
            <w:hideMark/>
          </w:tcPr>
          <w:p w14:paraId="718A0D8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5</w:t>
            </w:r>
          </w:p>
        </w:tc>
        <w:tc>
          <w:tcPr>
            <w:tcW w:w="992" w:type="dxa"/>
            <w:tcBorders>
              <w:top w:val="nil"/>
              <w:left w:val="nil"/>
              <w:bottom w:val="single" w:sz="4" w:space="0" w:color="auto"/>
              <w:right w:val="single" w:sz="4" w:space="0" w:color="auto"/>
            </w:tcBorders>
            <w:noWrap/>
            <w:vAlign w:val="center"/>
            <w:hideMark/>
          </w:tcPr>
          <w:p w14:paraId="583541D7"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0E2BBAA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Reducción de incidentes y mejor funcionamiento del producto según el uso previsto.</w:t>
            </w:r>
          </w:p>
        </w:tc>
      </w:tr>
      <w:tr w:rsidR="00F212FE" w:rsidRPr="00242EB4" w14:paraId="30F6E25D" w14:textId="77777777" w:rsidTr="0055381F">
        <w:trPr>
          <w:gridAfter w:val="1"/>
          <w:wAfter w:w="118" w:type="dxa"/>
          <w:trHeight w:val="93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29C019D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49AB95F5"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56A4BDD5"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Eficiencia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9136874"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489AD5F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Menores accidentes reducen costos imprevistos, legales o de soporte técnico.</w:t>
            </w:r>
          </w:p>
        </w:tc>
        <w:tc>
          <w:tcPr>
            <w:tcW w:w="2506" w:type="dxa"/>
            <w:tcBorders>
              <w:top w:val="nil"/>
              <w:left w:val="nil"/>
              <w:bottom w:val="single" w:sz="4" w:space="0" w:color="auto"/>
              <w:right w:val="single" w:sz="4" w:space="0" w:color="auto"/>
            </w:tcBorders>
            <w:hideMark/>
          </w:tcPr>
          <w:p w14:paraId="770F9542"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495E7E">
              <w:rPr>
                <w:rFonts w:ascii="Calibri" w:eastAsia="Times New Roman" w:hAnsi="Calibri" w:cs="Calibri"/>
                <w:color w:val="000000"/>
                <w:sz w:val="24"/>
                <w:lang w:eastAsia="es-CR"/>
              </w:rPr>
              <w:t>Permite operar el producto con menos riesgos, disminuye costos legales o de garantías.</w:t>
            </w:r>
          </w:p>
        </w:tc>
        <w:tc>
          <w:tcPr>
            <w:tcW w:w="1276" w:type="dxa"/>
            <w:tcBorders>
              <w:top w:val="nil"/>
              <w:left w:val="nil"/>
              <w:bottom w:val="single" w:sz="4" w:space="0" w:color="auto"/>
              <w:right w:val="single" w:sz="4" w:space="0" w:color="auto"/>
            </w:tcBorders>
            <w:noWrap/>
            <w:vAlign w:val="center"/>
            <w:hideMark/>
          </w:tcPr>
          <w:p w14:paraId="2BDE031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7F290B1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Validación anticipada de normativas de seguridad y protocolos de uso preventivo.</w:t>
            </w:r>
          </w:p>
        </w:tc>
        <w:tc>
          <w:tcPr>
            <w:tcW w:w="966" w:type="dxa"/>
            <w:tcBorders>
              <w:top w:val="nil"/>
              <w:left w:val="nil"/>
              <w:bottom w:val="single" w:sz="4" w:space="0" w:color="auto"/>
              <w:right w:val="single" w:sz="4" w:space="0" w:color="auto"/>
            </w:tcBorders>
            <w:noWrap/>
            <w:vAlign w:val="center"/>
            <w:hideMark/>
          </w:tcPr>
          <w:p w14:paraId="649ADEEC"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2466E9DD"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1B268CD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Ahorro en costos asociados a incidentes, mejor gestión operativa.</w:t>
            </w:r>
          </w:p>
        </w:tc>
      </w:tr>
      <w:tr w:rsidR="00F212FE" w:rsidRPr="00242EB4" w14:paraId="1C3CB3E4" w14:textId="77777777" w:rsidTr="0055381F">
        <w:trPr>
          <w:gridAfter w:val="1"/>
          <w:wAfter w:w="118" w:type="dxa"/>
          <w:trHeight w:val="31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0A56C8B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3E5F513A"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69BBE6C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Imparcialidad</w:t>
            </w:r>
          </w:p>
        </w:tc>
        <w:tc>
          <w:tcPr>
            <w:tcW w:w="86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89034EE"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No</w:t>
            </w:r>
          </w:p>
        </w:tc>
        <w:tc>
          <w:tcPr>
            <w:tcW w:w="2897" w:type="dxa"/>
            <w:tcBorders>
              <w:top w:val="single" w:sz="4" w:space="0" w:color="auto"/>
              <w:left w:val="single" w:sz="4" w:space="0" w:color="auto"/>
              <w:bottom w:val="single" w:sz="4" w:space="0" w:color="auto"/>
              <w:right w:val="single" w:sz="4" w:space="0" w:color="auto"/>
            </w:tcBorders>
            <w:shd w:val="clear" w:color="000000" w:fill="BFBFBF"/>
            <w:hideMark/>
          </w:tcPr>
          <w:p w14:paraId="7F4B7ED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2506" w:type="dxa"/>
            <w:tcBorders>
              <w:top w:val="single" w:sz="4" w:space="0" w:color="auto"/>
              <w:left w:val="single" w:sz="4" w:space="0" w:color="auto"/>
              <w:bottom w:val="single" w:sz="4" w:space="0" w:color="auto"/>
              <w:right w:val="single" w:sz="4" w:space="0" w:color="auto"/>
            </w:tcBorders>
            <w:shd w:val="clear" w:color="000000" w:fill="BFBFBF"/>
            <w:hideMark/>
          </w:tcPr>
          <w:p w14:paraId="0E4E5CB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1276" w:type="dxa"/>
            <w:tcBorders>
              <w:top w:val="nil"/>
              <w:left w:val="nil"/>
              <w:bottom w:val="single" w:sz="4" w:space="0" w:color="auto"/>
              <w:right w:val="single" w:sz="4" w:space="0" w:color="auto"/>
            </w:tcBorders>
            <w:noWrap/>
            <w:vAlign w:val="center"/>
            <w:hideMark/>
          </w:tcPr>
          <w:p w14:paraId="6F47CB7E"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2977" w:type="dxa"/>
            <w:tcBorders>
              <w:top w:val="single" w:sz="4" w:space="0" w:color="auto"/>
              <w:left w:val="single" w:sz="4" w:space="0" w:color="auto"/>
              <w:bottom w:val="single" w:sz="4" w:space="0" w:color="auto"/>
              <w:right w:val="single" w:sz="4" w:space="0" w:color="auto"/>
            </w:tcBorders>
            <w:shd w:val="clear" w:color="000000" w:fill="BFBFBF"/>
            <w:hideMark/>
          </w:tcPr>
          <w:p w14:paraId="30569A02"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966" w:type="dxa"/>
            <w:tcBorders>
              <w:top w:val="nil"/>
              <w:left w:val="nil"/>
              <w:bottom w:val="single" w:sz="4" w:space="0" w:color="auto"/>
              <w:right w:val="single" w:sz="4" w:space="0" w:color="auto"/>
            </w:tcBorders>
            <w:noWrap/>
            <w:vAlign w:val="center"/>
            <w:hideMark/>
          </w:tcPr>
          <w:p w14:paraId="055F14AC"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99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BA8CB1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0</w:t>
            </w:r>
          </w:p>
        </w:tc>
        <w:tc>
          <w:tcPr>
            <w:tcW w:w="3520" w:type="dxa"/>
            <w:tcBorders>
              <w:top w:val="single" w:sz="4" w:space="0" w:color="auto"/>
              <w:left w:val="single" w:sz="4" w:space="0" w:color="auto"/>
              <w:bottom w:val="single" w:sz="4" w:space="0" w:color="auto"/>
              <w:right w:val="single" w:sz="4" w:space="0" w:color="auto"/>
            </w:tcBorders>
            <w:shd w:val="clear" w:color="000000" w:fill="BFBFBF"/>
            <w:hideMark/>
          </w:tcPr>
          <w:p w14:paraId="0583616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r>
      <w:tr w:rsidR="00F212FE" w:rsidRPr="00242EB4" w14:paraId="5A208E6C" w14:textId="77777777" w:rsidTr="0055381F">
        <w:trPr>
          <w:gridAfter w:val="1"/>
          <w:wAfter w:w="118" w:type="dxa"/>
          <w:trHeight w:val="1240"/>
        </w:trPr>
        <w:tc>
          <w:tcPr>
            <w:tcW w:w="2076" w:type="dxa"/>
            <w:vMerge w:val="restart"/>
            <w:tcBorders>
              <w:top w:val="single" w:sz="4" w:space="0" w:color="auto"/>
              <w:left w:val="nil"/>
              <w:bottom w:val="nil"/>
              <w:right w:val="nil"/>
            </w:tcBorders>
            <w:shd w:val="clear" w:color="auto" w:fill="ED7D31" w:themeFill="accent2"/>
            <w:noWrap/>
            <w:vAlign w:val="bottom"/>
            <w:hideMark/>
          </w:tcPr>
          <w:p w14:paraId="5FCDF4E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p w14:paraId="7B38981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val="restart"/>
            <w:tcBorders>
              <w:top w:val="nil"/>
              <w:left w:val="single" w:sz="4" w:space="0" w:color="auto"/>
              <w:bottom w:val="single" w:sz="4" w:space="0" w:color="auto"/>
              <w:right w:val="single" w:sz="4" w:space="0" w:color="auto"/>
            </w:tcBorders>
            <w:shd w:val="clear" w:color="000000" w:fill="F2F2F2"/>
            <w:vAlign w:val="center"/>
            <w:hideMark/>
          </w:tcPr>
          <w:p w14:paraId="45303660"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r w:rsidRPr="00242EB4">
              <w:rPr>
                <w:rFonts w:ascii="Calibri" w:eastAsia="Times New Roman" w:hAnsi="Calibri" w:cs="Calibri"/>
                <w:color w:val="000000"/>
                <w:sz w:val="18"/>
                <w:szCs w:val="18"/>
                <w:lang w:val="es-CR" w:eastAsia="es-CR"/>
              </w:rPr>
              <w:t xml:space="preserve">Etiquetado de productos y servicios incluye procedimientos utilizados para asegurar que los bienes y servicios se etiqueten con precisión de acuerdo con los estándares legales y éticos. Esto incluye la divulgación adecuada de los posibles riesgos, peligros y efectos </w:t>
            </w:r>
            <w:r w:rsidRPr="00242EB4">
              <w:rPr>
                <w:rFonts w:ascii="Calibri" w:eastAsia="Times New Roman" w:hAnsi="Calibri" w:cs="Calibri"/>
                <w:color w:val="000000"/>
                <w:sz w:val="18"/>
                <w:szCs w:val="18"/>
                <w:lang w:val="es-CR" w:eastAsia="es-CR"/>
              </w:rPr>
              <w:lastRenderedPageBreak/>
              <w:t xml:space="preserve">secundarios asociados </w:t>
            </w:r>
            <w:r w:rsidRPr="00242EB4">
              <w:rPr>
                <w:rFonts w:ascii="Calibri" w:eastAsia="Times New Roman" w:hAnsi="Calibri" w:cs="Calibri"/>
                <w:noProof/>
                <w:color w:val="000000"/>
                <w:sz w:val="24"/>
                <w:lang w:val="es-CR" w:eastAsia="es-CR"/>
              </w:rPr>
              <w:drawing>
                <wp:anchor distT="0" distB="0" distL="114300" distR="114300" simplePos="0" relativeHeight="251671552" behindDoc="0" locked="0" layoutInCell="1" allowOverlap="1" wp14:anchorId="096F4416" wp14:editId="0C93A3E3">
                  <wp:simplePos x="0" y="0"/>
                  <wp:positionH relativeFrom="column">
                    <wp:posOffset>-1114425</wp:posOffset>
                  </wp:positionH>
                  <wp:positionV relativeFrom="paragraph">
                    <wp:posOffset>347980</wp:posOffset>
                  </wp:positionV>
                  <wp:extent cx="882650" cy="958850"/>
                  <wp:effectExtent l="0" t="0" r="0" b="0"/>
                  <wp:wrapNone/>
                  <wp:docPr id="47" name="Imagen 12">
                    <a:extLst xmlns:a="http://schemas.openxmlformats.org/drawingml/2006/main">
                      <a:ext uri="{FF2B5EF4-FFF2-40B4-BE49-F238E27FC236}">
                        <a16:creationId xmlns:a16="http://schemas.microsoft.com/office/drawing/2014/main" id="{00000000-0008-0000-0300-00002F000000}"/>
                      </a:ext>
                    </a:extLst>
                  </wp:docPr>
                  <wp:cNvGraphicFramePr/>
                  <a:graphic xmlns:a="http://schemas.openxmlformats.org/drawingml/2006/main">
                    <a:graphicData uri="http://schemas.openxmlformats.org/drawingml/2006/picture">
                      <pic:pic xmlns:pic="http://schemas.openxmlformats.org/drawingml/2006/picture">
                        <pic:nvPicPr>
                          <pic:cNvPr id="47" name="Picture 46">
                            <a:extLst>
                              <a:ext uri="{FF2B5EF4-FFF2-40B4-BE49-F238E27FC236}">
                                <a16:creationId xmlns:a16="http://schemas.microsoft.com/office/drawing/2014/main" id="{00000000-0008-0000-0300-00002F000000}"/>
                              </a:ext>
                            </a:extLst>
                          </pic:cNvPr>
                          <pic:cNvPicPr>
                            <a:picLocks noChangeAspect="1"/>
                          </pic:cNvPicPr>
                        </pic:nvPicPr>
                        <pic:blipFill>
                          <a:blip r:embed="rId37"/>
                          <a:stretch>
                            <a:fillRect/>
                          </a:stretch>
                        </pic:blipFill>
                        <pic:spPr>
                          <a:xfrm>
                            <a:off x="0" y="0"/>
                            <a:ext cx="882650" cy="958850"/>
                          </a:xfrm>
                          <a:prstGeom prst="rect">
                            <a:avLst/>
                          </a:prstGeom>
                        </pic:spPr>
                      </pic:pic>
                    </a:graphicData>
                  </a:graphic>
                  <wp14:sizeRelH relativeFrom="page">
                    <wp14:pctWidth>0</wp14:pctWidth>
                  </wp14:sizeRelH>
                  <wp14:sizeRelV relativeFrom="page">
                    <wp14:pctHeight>0</wp14:pctHeight>
                  </wp14:sizeRelV>
                </wp:anchor>
              </w:drawing>
            </w:r>
            <w:r w:rsidRPr="00242EB4">
              <w:rPr>
                <w:rFonts w:ascii="Calibri" w:eastAsia="Times New Roman" w:hAnsi="Calibri" w:cs="Calibri"/>
                <w:color w:val="000000"/>
                <w:sz w:val="18"/>
                <w:szCs w:val="18"/>
                <w:lang w:val="es-CR" w:eastAsia="es-CR"/>
              </w:rPr>
              <w:t>con el uso de productos y servicios, así como el suministro de información adecuada sobre los orígenes de estos productos y servicios.</w:t>
            </w:r>
          </w:p>
        </w:tc>
        <w:tc>
          <w:tcPr>
            <w:tcW w:w="1701" w:type="dxa"/>
            <w:tcBorders>
              <w:top w:val="nil"/>
              <w:left w:val="nil"/>
              <w:bottom w:val="single" w:sz="4" w:space="0" w:color="auto"/>
              <w:right w:val="single" w:sz="4" w:space="0" w:color="auto"/>
            </w:tcBorders>
            <w:shd w:val="clear" w:color="000000" w:fill="F2F2F2"/>
            <w:noWrap/>
            <w:vAlign w:val="center"/>
            <w:hideMark/>
          </w:tcPr>
          <w:p w14:paraId="65A2D05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lastRenderedPageBreak/>
              <w:t>Vida Útil</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220C200"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2DBF4CA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Una etiqueta clara ayuda al usuario a comprender el uso correcto del producto, evitando fallas prematuras.</w:t>
            </w:r>
          </w:p>
        </w:tc>
        <w:tc>
          <w:tcPr>
            <w:tcW w:w="2506" w:type="dxa"/>
            <w:tcBorders>
              <w:top w:val="nil"/>
              <w:left w:val="nil"/>
              <w:bottom w:val="single" w:sz="4" w:space="0" w:color="auto"/>
              <w:right w:val="single" w:sz="4" w:space="0" w:color="auto"/>
            </w:tcBorders>
            <w:hideMark/>
          </w:tcPr>
          <w:p w14:paraId="1EEC3D32"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495E7E">
              <w:rPr>
                <w:rFonts w:ascii="Calibri" w:eastAsia="Times New Roman" w:hAnsi="Calibri" w:cs="Calibri"/>
                <w:color w:val="000000"/>
                <w:sz w:val="24"/>
                <w:lang w:eastAsia="es-CR"/>
              </w:rPr>
              <w:t>Aumenta la vida útil al reducir el mal uso o almacenamiento inadecuado del producto.</w:t>
            </w:r>
          </w:p>
        </w:tc>
        <w:tc>
          <w:tcPr>
            <w:tcW w:w="1276" w:type="dxa"/>
            <w:tcBorders>
              <w:top w:val="nil"/>
              <w:left w:val="nil"/>
              <w:bottom w:val="single" w:sz="4" w:space="0" w:color="auto"/>
              <w:right w:val="single" w:sz="4" w:space="0" w:color="auto"/>
            </w:tcBorders>
            <w:noWrap/>
            <w:vAlign w:val="center"/>
            <w:hideMark/>
          </w:tcPr>
          <w:p w14:paraId="67F4662D"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2977" w:type="dxa"/>
            <w:tcBorders>
              <w:top w:val="nil"/>
              <w:left w:val="nil"/>
              <w:bottom w:val="single" w:sz="4" w:space="0" w:color="auto"/>
              <w:right w:val="single" w:sz="4" w:space="0" w:color="auto"/>
            </w:tcBorders>
            <w:hideMark/>
          </w:tcPr>
          <w:p w14:paraId="2600C35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Incluir instrucciones claras de uso y advertencias visibles en cada unidad de producto.</w:t>
            </w:r>
          </w:p>
        </w:tc>
        <w:tc>
          <w:tcPr>
            <w:tcW w:w="966" w:type="dxa"/>
            <w:tcBorders>
              <w:top w:val="nil"/>
              <w:left w:val="nil"/>
              <w:bottom w:val="single" w:sz="4" w:space="0" w:color="auto"/>
              <w:right w:val="single" w:sz="4" w:space="0" w:color="auto"/>
            </w:tcBorders>
            <w:noWrap/>
            <w:vAlign w:val="center"/>
            <w:hideMark/>
          </w:tcPr>
          <w:p w14:paraId="06527ECE"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25D76008"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528BD96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Uso más adecuado del producto, menos devoluciones o reclamos.</w:t>
            </w:r>
          </w:p>
        </w:tc>
      </w:tr>
      <w:tr w:rsidR="00F212FE" w:rsidRPr="00242EB4" w14:paraId="6F3CA783" w14:textId="77777777" w:rsidTr="0055381F">
        <w:trPr>
          <w:gridAfter w:val="1"/>
          <w:wAfter w:w="118" w:type="dxa"/>
          <w:trHeight w:val="1240"/>
        </w:trPr>
        <w:tc>
          <w:tcPr>
            <w:tcW w:w="2076" w:type="dxa"/>
            <w:vMerge/>
            <w:tcBorders>
              <w:top w:val="nil"/>
              <w:left w:val="nil"/>
              <w:bottom w:val="nil"/>
              <w:right w:val="nil"/>
            </w:tcBorders>
            <w:shd w:val="clear" w:color="auto" w:fill="ED7D31" w:themeFill="accent2"/>
            <w:vAlign w:val="center"/>
            <w:hideMark/>
          </w:tcPr>
          <w:p w14:paraId="2E04BA0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06623F05"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0218626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Mantenimiento</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C84F7F7"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1429AF0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La información técnica y advertencias pueden facilitar su uso continuo sin riesgos.</w:t>
            </w:r>
          </w:p>
        </w:tc>
        <w:tc>
          <w:tcPr>
            <w:tcW w:w="2506" w:type="dxa"/>
            <w:tcBorders>
              <w:top w:val="nil"/>
              <w:left w:val="nil"/>
              <w:bottom w:val="single" w:sz="4" w:space="0" w:color="auto"/>
              <w:right w:val="single" w:sz="4" w:space="0" w:color="auto"/>
            </w:tcBorders>
            <w:hideMark/>
          </w:tcPr>
          <w:p w14:paraId="1E2D5AE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495E7E">
              <w:rPr>
                <w:rFonts w:ascii="Calibri" w:eastAsia="Times New Roman" w:hAnsi="Calibri" w:cs="Calibri"/>
                <w:color w:val="000000"/>
                <w:sz w:val="24"/>
                <w:lang w:eastAsia="es-CR"/>
              </w:rPr>
              <w:t>Mejora el mantenimiento seguro y adecuado por parte del usuario.</w:t>
            </w:r>
          </w:p>
        </w:tc>
        <w:tc>
          <w:tcPr>
            <w:tcW w:w="1276" w:type="dxa"/>
            <w:tcBorders>
              <w:top w:val="nil"/>
              <w:left w:val="nil"/>
              <w:bottom w:val="single" w:sz="4" w:space="0" w:color="auto"/>
              <w:right w:val="single" w:sz="4" w:space="0" w:color="auto"/>
            </w:tcBorders>
            <w:noWrap/>
            <w:vAlign w:val="center"/>
            <w:hideMark/>
          </w:tcPr>
          <w:p w14:paraId="4D05B101"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2977" w:type="dxa"/>
            <w:tcBorders>
              <w:top w:val="nil"/>
              <w:left w:val="nil"/>
              <w:bottom w:val="single" w:sz="4" w:space="0" w:color="auto"/>
              <w:right w:val="single" w:sz="4" w:space="0" w:color="auto"/>
            </w:tcBorders>
            <w:hideMark/>
          </w:tcPr>
          <w:p w14:paraId="6E643FB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Añadir información sobre mantenimiento preventivo en las etiquetas o manuales adjuntos.</w:t>
            </w:r>
          </w:p>
        </w:tc>
        <w:tc>
          <w:tcPr>
            <w:tcW w:w="966" w:type="dxa"/>
            <w:tcBorders>
              <w:top w:val="nil"/>
              <w:left w:val="nil"/>
              <w:bottom w:val="single" w:sz="4" w:space="0" w:color="auto"/>
              <w:right w:val="single" w:sz="4" w:space="0" w:color="auto"/>
            </w:tcBorders>
            <w:noWrap/>
            <w:vAlign w:val="center"/>
            <w:hideMark/>
          </w:tcPr>
          <w:p w14:paraId="16ED2CD8"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23DE1A89"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1AACB8D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Disminución de fallas operativas y mayor confiabilidad del producto.</w:t>
            </w:r>
          </w:p>
        </w:tc>
      </w:tr>
      <w:tr w:rsidR="00F212FE" w:rsidRPr="00242EB4" w14:paraId="6AFC1DA5" w14:textId="77777777" w:rsidTr="0055381F">
        <w:trPr>
          <w:gridAfter w:val="1"/>
          <w:wAfter w:w="118" w:type="dxa"/>
          <w:trHeight w:val="1240"/>
        </w:trPr>
        <w:tc>
          <w:tcPr>
            <w:tcW w:w="2076" w:type="dxa"/>
            <w:vMerge/>
            <w:tcBorders>
              <w:top w:val="nil"/>
              <w:left w:val="nil"/>
              <w:bottom w:val="nil"/>
              <w:right w:val="nil"/>
            </w:tcBorders>
            <w:shd w:val="clear" w:color="auto" w:fill="ED7D31" w:themeFill="accent2"/>
            <w:vAlign w:val="center"/>
            <w:hideMark/>
          </w:tcPr>
          <w:p w14:paraId="04F33365"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01076543"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13C47E5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Eficacia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42F1ED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4EBE86D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Una etiqueta precisa asegura que el producto se utilice como se espera.</w:t>
            </w:r>
          </w:p>
        </w:tc>
        <w:tc>
          <w:tcPr>
            <w:tcW w:w="2506" w:type="dxa"/>
            <w:tcBorders>
              <w:top w:val="nil"/>
              <w:left w:val="nil"/>
              <w:bottom w:val="single" w:sz="4" w:space="0" w:color="auto"/>
              <w:right w:val="single" w:sz="4" w:space="0" w:color="auto"/>
            </w:tcBorders>
            <w:hideMark/>
          </w:tcPr>
          <w:p w14:paraId="7E47C3D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495E7E">
              <w:rPr>
                <w:rFonts w:ascii="Calibri" w:eastAsia="Times New Roman" w:hAnsi="Calibri" w:cs="Calibri"/>
                <w:color w:val="000000"/>
                <w:sz w:val="24"/>
                <w:lang w:eastAsia="es-CR"/>
              </w:rPr>
              <w:t>El producto alcanza su propósito funcional gracias a una mejor comprensión de sus características.</w:t>
            </w:r>
          </w:p>
        </w:tc>
        <w:tc>
          <w:tcPr>
            <w:tcW w:w="1276" w:type="dxa"/>
            <w:tcBorders>
              <w:top w:val="nil"/>
              <w:left w:val="nil"/>
              <w:bottom w:val="single" w:sz="4" w:space="0" w:color="auto"/>
              <w:right w:val="single" w:sz="4" w:space="0" w:color="auto"/>
            </w:tcBorders>
            <w:noWrap/>
            <w:vAlign w:val="center"/>
            <w:hideMark/>
          </w:tcPr>
          <w:p w14:paraId="2230F1DD"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2977" w:type="dxa"/>
            <w:tcBorders>
              <w:top w:val="nil"/>
              <w:left w:val="nil"/>
              <w:bottom w:val="single" w:sz="4" w:space="0" w:color="auto"/>
              <w:right w:val="single" w:sz="4" w:space="0" w:color="auto"/>
            </w:tcBorders>
            <w:hideMark/>
          </w:tcPr>
          <w:p w14:paraId="4ABB6E5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Incluir información sobre limitaciones del producto, buenas prácticas y condiciones ideales de uso.</w:t>
            </w:r>
          </w:p>
        </w:tc>
        <w:tc>
          <w:tcPr>
            <w:tcW w:w="966" w:type="dxa"/>
            <w:tcBorders>
              <w:top w:val="nil"/>
              <w:left w:val="nil"/>
              <w:bottom w:val="single" w:sz="4" w:space="0" w:color="auto"/>
              <w:right w:val="single" w:sz="4" w:space="0" w:color="auto"/>
            </w:tcBorders>
            <w:noWrap/>
            <w:vAlign w:val="center"/>
            <w:hideMark/>
          </w:tcPr>
          <w:p w14:paraId="1385159D"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5</w:t>
            </w:r>
          </w:p>
        </w:tc>
        <w:tc>
          <w:tcPr>
            <w:tcW w:w="992" w:type="dxa"/>
            <w:tcBorders>
              <w:top w:val="nil"/>
              <w:left w:val="nil"/>
              <w:bottom w:val="single" w:sz="4" w:space="0" w:color="auto"/>
              <w:right w:val="single" w:sz="4" w:space="0" w:color="auto"/>
            </w:tcBorders>
            <w:noWrap/>
            <w:vAlign w:val="center"/>
            <w:hideMark/>
          </w:tcPr>
          <w:p w14:paraId="739AF43C"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1A98979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Menores errores de uso, mayor satisfacción del cliente.</w:t>
            </w:r>
          </w:p>
        </w:tc>
      </w:tr>
      <w:tr w:rsidR="00F212FE" w:rsidRPr="00242EB4" w14:paraId="22A61171" w14:textId="77777777" w:rsidTr="0055381F">
        <w:trPr>
          <w:gridAfter w:val="1"/>
          <w:wAfter w:w="118" w:type="dxa"/>
          <w:trHeight w:val="1240"/>
        </w:trPr>
        <w:tc>
          <w:tcPr>
            <w:tcW w:w="2076" w:type="dxa"/>
            <w:vMerge/>
            <w:tcBorders>
              <w:top w:val="nil"/>
              <w:left w:val="nil"/>
              <w:bottom w:val="nil"/>
              <w:right w:val="nil"/>
            </w:tcBorders>
            <w:shd w:val="clear" w:color="auto" w:fill="ED7D31" w:themeFill="accent2"/>
            <w:vAlign w:val="center"/>
            <w:hideMark/>
          </w:tcPr>
          <w:p w14:paraId="650A4012"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5548D991"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66CF602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Eficiencia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CA86ECB"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24AF252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Reduce tiempos y recursos dedicados a aclaraciones postventa o soporte.</w:t>
            </w:r>
          </w:p>
        </w:tc>
        <w:tc>
          <w:tcPr>
            <w:tcW w:w="2506" w:type="dxa"/>
            <w:tcBorders>
              <w:top w:val="nil"/>
              <w:left w:val="nil"/>
              <w:bottom w:val="single" w:sz="4" w:space="0" w:color="auto"/>
              <w:right w:val="single" w:sz="4" w:space="0" w:color="auto"/>
            </w:tcBorders>
            <w:hideMark/>
          </w:tcPr>
          <w:p w14:paraId="6E3241D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495E7E">
              <w:rPr>
                <w:rFonts w:ascii="Calibri" w:eastAsia="Times New Roman" w:hAnsi="Calibri" w:cs="Calibri"/>
                <w:color w:val="000000"/>
                <w:sz w:val="24"/>
                <w:lang w:eastAsia="es-CR"/>
              </w:rPr>
              <w:t>Mejora la eficiencia operativa al disminuir consultas, errores de uso y reclamos.</w:t>
            </w:r>
          </w:p>
        </w:tc>
        <w:tc>
          <w:tcPr>
            <w:tcW w:w="1276" w:type="dxa"/>
            <w:tcBorders>
              <w:top w:val="nil"/>
              <w:left w:val="nil"/>
              <w:bottom w:val="single" w:sz="4" w:space="0" w:color="auto"/>
              <w:right w:val="single" w:sz="4" w:space="0" w:color="auto"/>
            </w:tcBorders>
            <w:noWrap/>
            <w:vAlign w:val="center"/>
            <w:hideMark/>
          </w:tcPr>
          <w:p w14:paraId="19146657"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3EA6E90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Etiquetado con códigos QR para acceso digital a fichas técnicas y manuales en múltiples idiomas.</w:t>
            </w:r>
          </w:p>
        </w:tc>
        <w:tc>
          <w:tcPr>
            <w:tcW w:w="966" w:type="dxa"/>
            <w:tcBorders>
              <w:top w:val="nil"/>
              <w:left w:val="nil"/>
              <w:bottom w:val="single" w:sz="4" w:space="0" w:color="auto"/>
              <w:right w:val="single" w:sz="4" w:space="0" w:color="auto"/>
            </w:tcBorders>
            <w:noWrap/>
            <w:vAlign w:val="center"/>
            <w:hideMark/>
          </w:tcPr>
          <w:p w14:paraId="2447829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6668F5A0"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63A3EC1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Menores costos en soporte, mayor claridad en la comunicación técnica.</w:t>
            </w:r>
          </w:p>
        </w:tc>
      </w:tr>
      <w:tr w:rsidR="00F212FE" w:rsidRPr="00242EB4" w14:paraId="57DA6EFD" w14:textId="77777777" w:rsidTr="0055381F">
        <w:trPr>
          <w:gridAfter w:val="1"/>
          <w:wAfter w:w="118" w:type="dxa"/>
          <w:trHeight w:val="1240"/>
        </w:trPr>
        <w:tc>
          <w:tcPr>
            <w:tcW w:w="2076" w:type="dxa"/>
            <w:vMerge/>
            <w:tcBorders>
              <w:top w:val="nil"/>
              <w:left w:val="nil"/>
              <w:bottom w:val="single" w:sz="4" w:space="0" w:color="auto"/>
              <w:right w:val="nil"/>
            </w:tcBorders>
            <w:shd w:val="clear" w:color="auto" w:fill="ED7D31" w:themeFill="accent2"/>
            <w:vAlign w:val="center"/>
            <w:hideMark/>
          </w:tcPr>
          <w:p w14:paraId="57F7EE05"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5D732B14"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2648825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Imparcialidad</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6BE43C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0C3A741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La información clara y accesible para todos los usuarios promueve la equidad.</w:t>
            </w:r>
          </w:p>
        </w:tc>
        <w:tc>
          <w:tcPr>
            <w:tcW w:w="2506" w:type="dxa"/>
            <w:tcBorders>
              <w:top w:val="nil"/>
              <w:left w:val="nil"/>
              <w:bottom w:val="single" w:sz="4" w:space="0" w:color="auto"/>
              <w:right w:val="single" w:sz="4" w:space="0" w:color="auto"/>
            </w:tcBorders>
            <w:hideMark/>
          </w:tcPr>
          <w:p w14:paraId="398497E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495E7E">
              <w:rPr>
                <w:rFonts w:ascii="Calibri" w:eastAsia="Times New Roman" w:hAnsi="Calibri" w:cs="Calibri"/>
                <w:color w:val="000000"/>
                <w:sz w:val="24"/>
                <w:lang w:eastAsia="es-CR"/>
              </w:rPr>
              <w:t>Asegura que todos los usuarios, sin importar su nivel educativo o idioma, accedan a la misma información relevante.</w:t>
            </w:r>
          </w:p>
        </w:tc>
        <w:tc>
          <w:tcPr>
            <w:tcW w:w="1276" w:type="dxa"/>
            <w:tcBorders>
              <w:top w:val="nil"/>
              <w:left w:val="nil"/>
              <w:bottom w:val="single" w:sz="4" w:space="0" w:color="auto"/>
              <w:right w:val="single" w:sz="4" w:space="0" w:color="auto"/>
            </w:tcBorders>
            <w:noWrap/>
            <w:vAlign w:val="center"/>
            <w:hideMark/>
          </w:tcPr>
          <w:p w14:paraId="2EC47B4B"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2977" w:type="dxa"/>
            <w:tcBorders>
              <w:top w:val="nil"/>
              <w:left w:val="nil"/>
              <w:bottom w:val="single" w:sz="4" w:space="0" w:color="auto"/>
              <w:right w:val="single" w:sz="4" w:space="0" w:color="auto"/>
            </w:tcBorders>
            <w:hideMark/>
          </w:tcPr>
          <w:p w14:paraId="42BAC82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Diseñar etiquetas inclusivas, con lenguaje accesible, íconos universales y traducciones.</w:t>
            </w:r>
          </w:p>
        </w:tc>
        <w:tc>
          <w:tcPr>
            <w:tcW w:w="966" w:type="dxa"/>
            <w:tcBorders>
              <w:top w:val="nil"/>
              <w:left w:val="nil"/>
              <w:bottom w:val="single" w:sz="4" w:space="0" w:color="auto"/>
              <w:right w:val="single" w:sz="4" w:space="0" w:color="auto"/>
            </w:tcBorders>
            <w:noWrap/>
            <w:vAlign w:val="center"/>
            <w:hideMark/>
          </w:tcPr>
          <w:p w14:paraId="129E880C"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66D5E71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370F0FB5"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Mejora la accesibilidad, reduce sesgos en la experiencia de uso.</w:t>
            </w:r>
          </w:p>
        </w:tc>
      </w:tr>
      <w:tr w:rsidR="00F212FE" w:rsidRPr="00242EB4" w14:paraId="102A9436" w14:textId="77777777" w:rsidTr="0055381F">
        <w:trPr>
          <w:gridAfter w:val="1"/>
          <w:wAfter w:w="118" w:type="dxa"/>
          <w:trHeight w:val="310"/>
        </w:trPr>
        <w:tc>
          <w:tcPr>
            <w:tcW w:w="2076" w:type="dxa"/>
            <w:vMerge w:val="restart"/>
            <w:tcBorders>
              <w:top w:val="single" w:sz="4" w:space="0" w:color="auto"/>
              <w:left w:val="single" w:sz="4" w:space="0" w:color="auto"/>
              <w:bottom w:val="single" w:sz="4" w:space="0" w:color="auto"/>
              <w:right w:val="nil"/>
            </w:tcBorders>
            <w:shd w:val="clear" w:color="auto" w:fill="ED7D31" w:themeFill="accent2"/>
            <w:noWrap/>
            <w:vAlign w:val="bottom"/>
            <w:hideMark/>
          </w:tcPr>
          <w:p w14:paraId="71E0D0C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p w14:paraId="58B544B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val="restart"/>
            <w:tcBorders>
              <w:top w:val="nil"/>
              <w:left w:val="single" w:sz="4" w:space="0" w:color="auto"/>
              <w:bottom w:val="single" w:sz="4" w:space="0" w:color="auto"/>
              <w:right w:val="single" w:sz="4" w:space="0" w:color="auto"/>
            </w:tcBorders>
            <w:shd w:val="clear" w:color="000000" w:fill="F2F2F2"/>
            <w:vAlign w:val="center"/>
            <w:hideMark/>
          </w:tcPr>
          <w:p w14:paraId="3D1A2122"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r w:rsidRPr="00242EB4">
              <w:rPr>
                <w:rFonts w:ascii="Calibri" w:eastAsia="Times New Roman" w:hAnsi="Calibri" w:cs="Calibri"/>
                <w:color w:val="000000"/>
                <w:sz w:val="18"/>
                <w:szCs w:val="18"/>
                <w:lang w:val="es-CR" w:eastAsia="es-CR"/>
              </w:rPr>
              <w:t xml:space="preserve">Privacidad y protección de datos del cliente abarca las medidas tomadas para salvaguardar los datos del cliente, como información personal o detalles financieros. Incluye proporcionar </w:t>
            </w:r>
            <w:r w:rsidRPr="00242EB4">
              <w:rPr>
                <w:rFonts w:ascii="Calibri" w:eastAsia="Times New Roman" w:hAnsi="Calibri" w:cs="Calibri"/>
                <w:noProof/>
                <w:color w:val="000000"/>
                <w:sz w:val="24"/>
                <w:lang w:val="es-CR" w:eastAsia="es-CR"/>
              </w:rPr>
              <w:drawing>
                <wp:anchor distT="0" distB="0" distL="114300" distR="114300" simplePos="0" relativeHeight="251672576" behindDoc="0" locked="0" layoutInCell="1" allowOverlap="1" wp14:anchorId="1702EF2B" wp14:editId="669E04D5">
                  <wp:simplePos x="0" y="0"/>
                  <wp:positionH relativeFrom="column">
                    <wp:posOffset>-1019175</wp:posOffset>
                  </wp:positionH>
                  <wp:positionV relativeFrom="paragraph">
                    <wp:posOffset>840105</wp:posOffset>
                  </wp:positionV>
                  <wp:extent cx="806450" cy="876300"/>
                  <wp:effectExtent l="0" t="0" r="0" b="0"/>
                  <wp:wrapNone/>
                  <wp:docPr id="48" name="Imagen 11">
                    <a:extLst xmlns:a="http://schemas.openxmlformats.org/drawingml/2006/main">
                      <a:ext uri="{FF2B5EF4-FFF2-40B4-BE49-F238E27FC236}">
                        <a16:creationId xmlns:a16="http://schemas.microsoft.com/office/drawing/2014/main" id="{00000000-0008-0000-0300-000030000000}"/>
                      </a:ext>
                    </a:extLst>
                  </wp:docPr>
                  <wp:cNvGraphicFramePr/>
                  <a:graphic xmlns:a="http://schemas.openxmlformats.org/drawingml/2006/main">
                    <a:graphicData uri="http://schemas.openxmlformats.org/drawingml/2006/picture">
                      <pic:pic xmlns:pic="http://schemas.openxmlformats.org/drawingml/2006/picture">
                        <pic:nvPicPr>
                          <pic:cNvPr id="48" name="Picture 47">
                            <a:extLst>
                              <a:ext uri="{FF2B5EF4-FFF2-40B4-BE49-F238E27FC236}">
                                <a16:creationId xmlns:a16="http://schemas.microsoft.com/office/drawing/2014/main" id="{00000000-0008-0000-0300-000030000000}"/>
                              </a:ext>
                            </a:extLst>
                          </pic:cNvPr>
                          <pic:cNvPicPr>
                            <a:picLocks noChangeAspect="1"/>
                          </pic:cNvPicPr>
                        </pic:nvPicPr>
                        <pic:blipFill>
                          <a:blip r:embed="rId38"/>
                          <a:stretch>
                            <a:fillRect/>
                          </a:stretch>
                        </pic:blipFill>
                        <pic:spPr>
                          <a:xfrm>
                            <a:off x="0" y="0"/>
                            <a:ext cx="806450" cy="876300"/>
                          </a:xfrm>
                          <a:prstGeom prst="rect">
                            <a:avLst/>
                          </a:prstGeom>
                        </pic:spPr>
                      </pic:pic>
                    </a:graphicData>
                  </a:graphic>
                  <wp14:sizeRelH relativeFrom="page">
                    <wp14:pctWidth>0</wp14:pctWidth>
                  </wp14:sizeRelH>
                  <wp14:sizeRelV relativeFrom="page">
                    <wp14:pctHeight>0</wp14:pctHeight>
                  </wp14:sizeRelV>
                </wp:anchor>
              </w:drawing>
            </w:r>
            <w:r w:rsidRPr="00242EB4">
              <w:rPr>
                <w:rFonts w:ascii="Calibri" w:eastAsia="Times New Roman" w:hAnsi="Calibri" w:cs="Calibri"/>
                <w:color w:val="000000"/>
                <w:sz w:val="18"/>
                <w:szCs w:val="18"/>
                <w:lang w:val="es-CR" w:eastAsia="es-CR"/>
              </w:rPr>
              <w:t>instalaciones de almacenamiento seguras y tecnologías de encriptación, implementar controles de acceso y procedimientos de autenticación apropiados, y garantizar el cumplimiento de las leyes y regulaciones pertinentes.</w:t>
            </w:r>
          </w:p>
        </w:tc>
        <w:tc>
          <w:tcPr>
            <w:tcW w:w="1701" w:type="dxa"/>
            <w:tcBorders>
              <w:top w:val="nil"/>
              <w:left w:val="nil"/>
              <w:bottom w:val="single" w:sz="4" w:space="0" w:color="auto"/>
              <w:right w:val="single" w:sz="4" w:space="0" w:color="auto"/>
            </w:tcBorders>
            <w:shd w:val="clear" w:color="000000" w:fill="F2F2F2"/>
            <w:noWrap/>
            <w:vAlign w:val="center"/>
            <w:hideMark/>
          </w:tcPr>
          <w:p w14:paraId="2E75EA7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Vida Útil</w:t>
            </w:r>
          </w:p>
        </w:tc>
        <w:tc>
          <w:tcPr>
            <w:tcW w:w="86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CB0E49E"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No</w:t>
            </w:r>
          </w:p>
        </w:tc>
        <w:tc>
          <w:tcPr>
            <w:tcW w:w="2897" w:type="dxa"/>
            <w:tcBorders>
              <w:top w:val="single" w:sz="4" w:space="0" w:color="auto"/>
              <w:left w:val="single" w:sz="4" w:space="0" w:color="auto"/>
              <w:bottom w:val="single" w:sz="4" w:space="0" w:color="auto"/>
              <w:right w:val="single" w:sz="4" w:space="0" w:color="auto"/>
            </w:tcBorders>
            <w:shd w:val="clear" w:color="000000" w:fill="BFBFBF"/>
            <w:hideMark/>
          </w:tcPr>
          <w:p w14:paraId="293F783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2506" w:type="dxa"/>
            <w:tcBorders>
              <w:top w:val="single" w:sz="4" w:space="0" w:color="auto"/>
              <w:left w:val="single" w:sz="4" w:space="0" w:color="auto"/>
              <w:bottom w:val="single" w:sz="4" w:space="0" w:color="auto"/>
              <w:right w:val="single" w:sz="4" w:space="0" w:color="auto"/>
            </w:tcBorders>
            <w:shd w:val="clear" w:color="000000" w:fill="BFBFBF"/>
            <w:hideMark/>
          </w:tcPr>
          <w:p w14:paraId="02F472F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1276" w:type="dxa"/>
            <w:tcBorders>
              <w:top w:val="nil"/>
              <w:left w:val="nil"/>
              <w:bottom w:val="single" w:sz="4" w:space="0" w:color="auto"/>
              <w:right w:val="single" w:sz="4" w:space="0" w:color="auto"/>
            </w:tcBorders>
            <w:noWrap/>
            <w:vAlign w:val="center"/>
            <w:hideMark/>
          </w:tcPr>
          <w:p w14:paraId="76EA0C31"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2977" w:type="dxa"/>
            <w:tcBorders>
              <w:top w:val="single" w:sz="4" w:space="0" w:color="auto"/>
              <w:left w:val="single" w:sz="4" w:space="0" w:color="auto"/>
              <w:bottom w:val="single" w:sz="4" w:space="0" w:color="auto"/>
              <w:right w:val="single" w:sz="4" w:space="0" w:color="auto"/>
            </w:tcBorders>
            <w:shd w:val="clear" w:color="000000" w:fill="BFBFBF"/>
            <w:hideMark/>
          </w:tcPr>
          <w:p w14:paraId="0BE2BE0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966" w:type="dxa"/>
            <w:tcBorders>
              <w:top w:val="nil"/>
              <w:left w:val="nil"/>
              <w:bottom w:val="single" w:sz="4" w:space="0" w:color="auto"/>
              <w:right w:val="single" w:sz="4" w:space="0" w:color="auto"/>
            </w:tcBorders>
            <w:noWrap/>
            <w:vAlign w:val="center"/>
            <w:hideMark/>
          </w:tcPr>
          <w:p w14:paraId="14A1A1B6"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99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7C5844F"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0</w:t>
            </w:r>
          </w:p>
        </w:tc>
        <w:tc>
          <w:tcPr>
            <w:tcW w:w="3520" w:type="dxa"/>
            <w:tcBorders>
              <w:top w:val="single" w:sz="4" w:space="0" w:color="auto"/>
              <w:left w:val="single" w:sz="4" w:space="0" w:color="auto"/>
              <w:bottom w:val="single" w:sz="4" w:space="0" w:color="auto"/>
              <w:right w:val="single" w:sz="4" w:space="0" w:color="auto"/>
            </w:tcBorders>
            <w:shd w:val="clear" w:color="000000" w:fill="BFBFBF"/>
            <w:hideMark/>
          </w:tcPr>
          <w:p w14:paraId="0F717F3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r>
      <w:tr w:rsidR="00F212FE" w:rsidRPr="00242EB4" w14:paraId="21A59081" w14:textId="77777777" w:rsidTr="0055381F">
        <w:trPr>
          <w:gridAfter w:val="1"/>
          <w:wAfter w:w="118" w:type="dxa"/>
          <w:trHeight w:val="31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4C84A1A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173B3D52"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56AC339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Mantenimiento</w:t>
            </w:r>
          </w:p>
        </w:tc>
        <w:tc>
          <w:tcPr>
            <w:tcW w:w="86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744795B"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No</w:t>
            </w:r>
          </w:p>
        </w:tc>
        <w:tc>
          <w:tcPr>
            <w:tcW w:w="2897" w:type="dxa"/>
            <w:tcBorders>
              <w:top w:val="single" w:sz="4" w:space="0" w:color="auto"/>
              <w:left w:val="single" w:sz="4" w:space="0" w:color="auto"/>
              <w:bottom w:val="single" w:sz="4" w:space="0" w:color="auto"/>
              <w:right w:val="single" w:sz="4" w:space="0" w:color="auto"/>
            </w:tcBorders>
            <w:shd w:val="clear" w:color="000000" w:fill="BFBFBF"/>
            <w:hideMark/>
          </w:tcPr>
          <w:p w14:paraId="08F06CC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2506" w:type="dxa"/>
            <w:tcBorders>
              <w:top w:val="single" w:sz="4" w:space="0" w:color="auto"/>
              <w:left w:val="single" w:sz="4" w:space="0" w:color="auto"/>
              <w:bottom w:val="single" w:sz="4" w:space="0" w:color="auto"/>
              <w:right w:val="single" w:sz="4" w:space="0" w:color="auto"/>
            </w:tcBorders>
            <w:shd w:val="clear" w:color="000000" w:fill="BFBFBF"/>
            <w:hideMark/>
          </w:tcPr>
          <w:p w14:paraId="0A8ADF0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1276" w:type="dxa"/>
            <w:tcBorders>
              <w:top w:val="nil"/>
              <w:left w:val="nil"/>
              <w:bottom w:val="single" w:sz="4" w:space="0" w:color="auto"/>
              <w:right w:val="single" w:sz="4" w:space="0" w:color="auto"/>
            </w:tcBorders>
            <w:noWrap/>
            <w:vAlign w:val="center"/>
            <w:hideMark/>
          </w:tcPr>
          <w:p w14:paraId="0C9AA7E6"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2977" w:type="dxa"/>
            <w:tcBorders>
              <w:top w:val="single" w:sz="4" w:space="0" w:color="auto"/>
              <w:left w:val="single" w:sz="4" w:space="0" w:color="auto"/>
              <w:bottom w:val="single" w:sz="4" w:space="0" w:color="auto"/>
              <w:right w:val="single" w:sz="4" w:space="0" w:color="auto"/>
            </w:tcBorders>
            <w:shd w:val="clear" w:color="000000" w:fill="BFBFBF"/>
            <w:hideMark/>
          </w:tcPr>
          <w:p w14:paraId="2427D74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966" w:type="dxa"/>
            <w:tcBorders>
              <w:top w:val="nil"/>
              <w:left w:val="nil"/>
              <w:bottom w:val="single" w:sz="4" w:space="0" w:color="auto"/>
              <w:right w:val="single" w:sz="4" w:space="0" w:color="auto"/>
            </w:tcBorders>
            <w:noWrap/>
            <w:vAlign w:val="center"/>
            <w:hideMark/>
          </w:tcPr>
          <w:p w14:paraId="277BA062"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99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CC4894C"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0</w:t>
            </w:r>
          </w:p>
        </w:tc>
        <w:tc>
          <w:tcPr>
            <w:tcW w:w="3520" w:type="dxa"/>
            <w:tcBorders>
              <w:top w:val="single" w:sz="4" w:space="0" w:color="auto"/>
              <w:left w:val="single" w:sz="4" w:space="0" w:color="auto"/>
              <w:bottom w:val="single" w:sz="4" w:space="0" w:color="auto"/>
              <w:right w:val="single" w:sz="4" w:space="0" w:color="auto"/>
            </w:tcBorders>
            <w:shd w:val="clear" w:color="000000" w:fill="BFBFBF"/>
            <w:hideMark/>
          </w:tcPr>
          <w:p w14:paraId="2AD3FD3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r>
      <w:tr w:rsidR="00F212FE" w:rsidRPr="00242EB4" w14:paraId="51EF336A" w14:textId="77777777" w:rsidTr="0055381F">
        <w:trPr>
          <w:gridAfter w:val="1"/>
          <w:wAfter w:w="118" w:type="dxa"/>
          <w:trHeight w:val="93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67A56BD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502631A7"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644BAFC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Eficacia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6A2620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5E972AA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La protección adecuada de los datos mejora la confianza y percepción del cliente.</w:t>
            </w:r>
          </w:p>
        </w:tc>
        <w:tc>
          <w:tcPr>
            <w:tcW w:w="2506" w:type="dxa"/>
            <w:tcBorders>
              <w:top w:val="nil"/>
              <w:left w:val="nil"/>
              <w:bottom w:val="single" w:sz="4" w:space="0" w:color="auto"/>
              <w:right w:val="single" w:sz="4" w:space="0" w:color="auto"/>
            </w:tcBorders>
            <w:hideMark/>
          </w:tcPr>
          <w:p w14:paraId="684C953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495E7E">
              <w:rPr>
                <w:rFonts w:ascii="Calibri" w:eastAsia="Times New Roman" w:hAnsi="Calibri" w:cs="Calibri"/>
                <w:color w:val="000000"/>
                <w:sz w:val="24"/>
                <w:lang w:eastAsia="es-CR"/>
              </w:rPr>
              <w:t>Contribuye a que el servicio cumpla su propósito de forma segura y confiable.</w:t>
            </w:r>
          </w:p>
        </w:tc>
        <w:tc>
          <w:tcPr>
            <w:tcW w:w="1276" w:type="dxa"/>
            <w:tcBorders>
              <w:top w:val="nil"/>
              <w:left w:val="nil"/>
              <w:bottom w:val="single" w:sz="4" w:space="0" w:color="auto"/>
              <w:right w:val="single" w:sz="4" w:space="0" w:color="auto"/>
            </w:tcBorders>
            <w:noWrap/>
            <w:vAlign w:val="center"/>
            <w:hideMark/>
          </w:tcPr>
          <w:p w14:paraId="5D0580E6"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2977" w:type="dxa"/>
            <w:tcBorders>
              <w:top w:val="nil"/>
              <w:left w:val="nil"/>
              <w:bottom w:val="single" w:sz="4" w:space="0" w:color="auto"/>
              <w:right w:val="single" w:sz="4" w:space="0" w:color="auto"/>
            </w:tcBorders>
            <w:hideMark/>
          </w:tcPr>
          <w:p w14:paraId="372EE58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Implementar controles de acceso, protocolos de cifrado y auditorías periódicas.</w:t>
            </w:r>
          </w:p>
        </w:tc>
        <w:tc>
          <w:tcPr>
            <w:tcW w:w="966" w:type="dxa"/>
            <w:tcBorders>
              <w:top w:val="nil"/>
              <w:left w:val="nil"/>
              <w:bottom w:val="single" w:sz="4" w:space="0" w:color="auto"/>
              <w:right w:val="single" w:sz="4" w:space="0" w:color="auto"/>
            </w:tcBorders>
            <w:noWrap/>
            <w:vAlign w:val="center"/>
            <w:hideMark/>
          </w:tcPr>
          <w:p w14:paraId="1D291E94"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5</w:t>
            </w:r>
          </w:p>
        </w:tc>
        <w:tc>
          <w:tcPr>
            <w:tcW w:w="992" w:type="dxa"/>
            <w:tcBorders>
              <w:top w:val="nil"/>
              <w:left w:val="nil"/>
              <w:bottom w:val="single" w:sz="4" w:space="0" w:color="auto"/>
              <w:right w:val="single" w:sz="4" w:space="0" w:color="auto"/>
            </w:tcBorders>
            <w:noWrap/>
            <w:vAlign w:val="center"/>
            <w:hideMark/>
          </w:tcPr>
          <w:p w14:paraId="4D86CAC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471D811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Mayor confianza del cliente, menor riesgo de filtraciones.</w:t>
            </w:r>
          </w:p>
        </w:tc>
      </w:tr>
      <w:tr w:rsidR="00F212FE" w:rsidRPr="00242EB4" w14:paraId="00D2039A" w14:textId="77777777" w:rsidTr="0055381F">
        <w:trPr>
          <w:gridAfter w:val="1"/>
          <w:wAfter w:w="118" w:type="dxa"/>
          <w:trHeight w:val="124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6094495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33CE74A9"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125E3A02"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Eficiencia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3E4248F"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225B66E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Previene pérdidas de datos, errores administrativos y costos por incidentes.</w:t>
            </w:r>
          </w:p>
        </w:tc>
        <w:tc>
          <w:tcPr>
            <w:tcW w:w="2506" w:type="dxa"/>
            <w:tcBorders>
              <w:top w:val="nil"/>
              <w:left w:val="nil"/>
              <w:bottom w:val="single" w:sz="4" w:space="0" w:color="auto"/>
              <w:right w:val="single" w:sz="4" w:space="0" w:color="auto"/>
            </w:tcBorders>
            <w:hideMark/>
          </w:tcPr>
          <w:p w14:paraId="278692E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495E7E">
              <w:rPr>
                <w:rFonts w:ascii="Calibri" w:eastAsia="Times New Roman" w:hAnsi="Calibri" w:cs="Calibri"/>
                <w:color w:val="000000"/>
                <w:sz w:val="24"/>
                <w:lang w:eastAsia="es-CR"/>
              </w:rPr>
              <w:t>Mejora el desempeño del sistema al evitar interrupciones y procesos reactivos.</w:t>
            </w:r>
          </w:p>
        </w:tc>
        <w:tc>
          <w:tcPr>
            <w:tcW w:w="1276" w:type="dxa"/>
            <w:tcBorders>
              <w:top w:val="nil"/>
              <w:left w:val="nil"/>
              <w:bottom w:val="single" w:sz="4" w:space="0" w:color="auto"/>
              <w:right w:val="single" w:sz="4" w:space="0" w:color="auto"/>
            </w:tcBorders>
            <w:noWrap/>
            <w:vAlign w:val="center"/>
            <w:hideMark/>
          </w:tcPr>
          <w:p w14:paraId="70BEF84A"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2977" w:type="dxa"/>
            <w:tcBorders>
              <w:top w:val="nil"/>
              <w:left w:val="nil"/>
              <w:bottom w:val="single" w:sz="4" w:space="0" w:color="auto"/>
              <w:right w:val="single" w:sz="4" w:space="0" w:color="auto"/>
            </w:tcBorders>
            <w:hideMark/>
          </w:tcPr>
          <w:p w14:paraId="6948348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Integrar sistemas automatizados de protección de datos y respuesta ante incidentes.</w:t>
            </w:r>
          </w:p>
        </w:tc>
        <w:tc>
          <w:tcPr>
            <w:tcW w:w="966" w:type="dxa"/>
            <w:tcBorders>
              <w:top w:val="nil"/>
              <w:left w:val="nil"/>
              <w:bottom w:val="single" w:sz="4" w:space="0" w:color="auto"/>
              <w:right w:val="single" w:sz="4" w:space="0" w:color="auto"/>
            </w:tcBorders>
            <w:noWrap/>
            <w:vAlign w:val="center"/>
            <w:hideMark/>
          </w:tcPr>
          <w:p w14:paraId="1215073A"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4BC2F52A"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114435D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Mayor continuidad operativa y reducción de errores humanos.</w:t>
            </w:r>
          </w:p>
        </w:tc>
      </w:tr>
      <w:tr w:rsidR="00F212FE" w:rsidRPr="00242EB4" w14:paraId="1EB7C0D6" w14:textId="77777777" w:rsidTr="0055381F">
        <w:trPr>
          <w:gridAfter w:val="1"/>
          <w:wAfter w:w="118" w:type="dxa"/>
          <w:trHeight w:val="124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13E0C88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317A4CAC"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3BDC2F1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Imparcialidad</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907B4A7"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07AA2F4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La protección uniforme de datos evita discriminación o mal uso de la información.</w:t>
            </w:r>
          </w:p>
        </w:tc>
        <w:tc>
          <w:tcPr>
            <w:tcW w:w="2506" w:type="dxa"/>
            <w:tcBorders>
              <w:top w:val="nil"/>
              <w:left w:val="nil"/>
              <w:bottom w:val="single" w:sz="4" w:space="0" w:color="auto"/>
              <w:right w:val="single" w:sz="4" w:space="0" w:color="auto"/>
            </w:tcBorders>
            <w:hideMark/>
          </w:tcPr>
          <w:p w14:paraId="26E5858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495E7E">
              <w:rPr>
                <w:rFonts w:ascii="Calibri" w:eastAsia="Times New Roman" w:hAnsi="Calibri" w:cs="Calibri"/>
                <w:color w:val="000000"/>
                <w:sz w:val="24"/>
                <w:lang w:eastAsia="es-CR"/>
              </w:rPr>
              <w:t>Garantiza trato equitativo a todos los usuarios al evitar uso indebido de información personal.</w:t>
            </w:r>
          </w:p>
        </w:tc>
        <w:tc>
          <w:tcPr>
            <w:tcW w:w="1276" w:type="dxa"/>
            <w:tcBorders>
              <w:top w:val="nil"/>
              <w:left w:val="nil"/>
              <w:bottom w:val="single" w:sz="4" w:space="0" w:color="auto"/>
              <w:right w:val="single" w:sz="4" w:space="0" w:color="auto"/>
            </w:tcBorders>
            <w:noWrap/>
            <w:vAlign w:val="center"/>
            <w:hideMark/>
          </w:tcPr>
          <w:p w14:paraId="4E3F41E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2977" w:type="dxa"/>
            <w:tcBorders>
              <w:top w:val="nil"/>
              <w:left w:val="nil"/>
              <w:bottom w:val="single" w:sz="4" w:space="0" w:color="auto"/>
              <w:right w:val="single" w:sz="4" w:space="0" w:color="auto"/>
            </w:tcBorders>
            <w:hideMark/>
          </w:tcPr>
          <w:p w14:paraId="6BCF78C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Políticas claras de privacidad, consentimiento informado y medidas igualitarias de acceso a servicios digitales.</w:t>
            </w:r>
          </w:p>
        </w:tc>
        <w:tc>
          <w:tcPr>
            <w:tcW w:w="966" w:type="dxa"/>
            <w:tcBorders>
              <w:top w:val="nil"/>
              <w:left w:val="nil"/>
              <w:bottom w:val="single" w:sz="4" w:space="0" w:color="auto"/>
              <w:right w:val="single" w:sz="4" w:space="0" w:color="auto"/>
            </w:tcBorders>
            <w:noWrap/>
            <w:vAlign w:val="center"/>
            <w:hideMark/>
          </w:tcPr>
          <w:p w14:paraId="11587568"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099CE2D6"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62B6ED3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Equidad en el tratamiento de datos personales.</w:t>
            </w:r>
          </w:p>
        </w:tc>
      </w:tr>
      <w:tr w:rsidR="00F212FE" w:rsidRPr="00242EB4" w14:paraId="3DF71978" w14:textId="77777777" w:rsidTr="0055381F">
        <w:trPr>
          <w:gridAfter w:val="1"/>
          <w:wAfter w:w="118" w:type="dxa"/>
          <w:trHeight w:val="320"/>
        </w:trPr>
        <w:tc>
          <w:tcPr>
            <w:tcW w:w="2076" w:type="dxa"/>
            <w:tcBorders>
              <w:top w:val="single" w:sz="4" w:space="0" w:color="auto"/>
              <w:left w:val="single" w:sz="4" w:space="0" w:color="auto"/>
              <w:bottom w:val="single" w:sz="4" w:space="0" w:color="auto"/>
              <w:right w:val="single" w:sz="4" w:space="0" w:color="auto"/>
            </w:tcBorders>
            <w:shd w:val="clear" w:color="000000" w:fill="F4B084"/>
            <w:noWrap/>
            <w:vAlign w:val="bottom"/>
            <w:hideMark/>
          </w:tcPr>
          <w:p w14:paraId="0A6D816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Categoría</w:t>
            </w:r>
          </w:p>
        </w:tc>
        <w:tc>
          <w:tcPr>
            <w:tcW w:w="2035" w:type="dxa"/>
            <w:tcBorders>
              <w:top w:val="nil"/>
              <w:left w:val="nil"/>
              <w:bottom w:val="single" w:sz="4" w:space="0" w:color="auto"/>
              <w:right w:val="nil"/>
            </w:tcBorders>
            <w:shd w:val="clear" w:color="000000" w:fill="F4B084"/>
            <w:noWrap/>
            <w:vAlign w:val="center"/>
            <w:hideMark/>
          </w:tcPr>
          <w:p w14:paraId="2609ED9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Derechos Humanos</w:t>
            </w:r>
          </w:p>
        </w:tc>
        <w:tc>
          <w:tcPr>
            <w:tcW w:w="1701" w:type="dxa"/>
            <w:vMerge w:val="restart"/>
            <w:tcBorders>
              <w:top w:val="nil"/>
              <w:left w:val="single" w:sz="4" w:space="0" w:color="auto"/>
              <w:bottom w:val="single" w:sz="4" w:space="0" w:color="auto"/>
              <w:right w:val="single" w:sz="4" w:space="0" w:color="auto"/>
            </w:tcBorders>
            <w:shd w:val="clear" w:color="000000" w:fill="F4B084"/>
            <w:noWrap/>
            <w:vAlign w:val="center"/>
            <w:hideMark/>
          </w:tcPr>
          <w:p w14:paraId="65ED656B"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Lente</w:t>
            </w:r>
          </w:p>
        </w:tc>
        <w:tc>
          <w:tcPr>
            <w:tcW w:w="860" w:type="dxa"/>
            <w:vMerge w:val="restart"/>
            <w:tcBorders>
              <w:top w:val="nil"/>
              <w:left w:val="single" w:sz="4" w:space="0" w:color="auto"/>
              <w:bottom w:val="single" w:sz="4" w:space="0" w:color="auto"/>
              <w:right w:val="single" w:sz="4" w:space="0" w:color="auto"/>
            </w:tcBorders>
            <w:shd w:val="clear" w:color="000000" w:fill="F4B084"/>
            <w:vAlign w:val="center"/>
            <w:hideMark/>
          </w:tcPr>
          <w:p w14:paraId="5F589B5A"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¿Calificado?</w:t>
            </w:r>
          </w:p>
        </w:tc>
        <w:tc>
          <w:tcPr>
            <w:tcW w:w="2897" w:type="dxa"/>
            <w:vMerge w:val="restart"/>
            <w:tcBorders>
              <w:top w:val="nil"/>
              <w:left w:val="single" w:sz="4" w:space="0" w:color="auto"/>
              <w:bottom w:val="single" w:sz="4" w:space="0" w:color="auto"/>
              <w:right w:val="single" w:sz="4" w:space="0" w:color="auto"/>
            </w:tcBorders>
            <w:shd w:val="clear" w:color="000000" w:fill="F4B084"/>
            <w:vAlign w:val="center"/>
            <w:hideMark/>
          </w:tcPr>
          <w:p w14:paraId="654CB199"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Descripción (Causa)</w:t>
            </w:r>
          </w:p>
        </w:tc>
        <w:tc>
          <w:tcPr>
            <w:tcW w:w="2506" w:type="dxa"/>
            <w:vMerge w:val="restart"/>
            <w:tcBorders>
              <w:top w:val="nil"/>
              <w:left w:val="single" w:sz="4" w:space="0" w:color="auto"/>
              <w:bottom w:val="single" w:sz="4" w:space="0" w:color="000000"/>
              <w:right w:val="single" w:sz="4" w:space="0" w:color="auto"/>
            </w:tcBorders>
            <w:shd w:val="clear" w:color="000000" w:fill="F4B084"/>
            <w:vAlign w:val="center"/>
            <w:hideMark/>
          </w:tcPr>
          <w:p w14:paraId="4A46159F"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Impacto Potencial en la Sostenibilidad</w:t>
            </w:r>
          </w:p>
        </w:tc>
        <w:tc>
          <w:tcPr>
            <w:tcW w:w="1276" w:type="dxa"/>
            <w:vMerge w:val="restart"/>
            <w:tcBorders>
              <w:top w:val="nil"/>
              <w:left w:val="single" w:sz="4" w:space="0" w:color="auto"/>
              <w:bottom w:val="single" w:sz="4" w:space="0" w:color="auto"/>
              <w:right w:val="single" w:sz="4" w:space="0" w:color="auto"/>
            </w:tcBorders>
            <w:shd w:val="clear" w:color="000000" w:fill="F4B084"/>
            <w:vAlign w:val="center"/>
            <w:hideMark/>
          </w:tcPr>
          <w:p w14:paraId="7DB842D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Puntaje Inicial del Impacto (Antes)</w:t>
            </w:r>
          </w:p>
        </w:tc>
        <w:tc>
          <w:tcPr>
            <w:tcW w:w="2977" w:type="dxa"/>
            <w:vMerge w:val="restart"/>
            <w:tcBorders>
              <w:top w:val="nil"/>
              <w:left w:val="single" w:sz="4" w:space="0" w:color="auto"/>
              <w:bottom w:val="single" w:sz="4" w:space="0" w:color="auto"/>
              <w:right w:val="single" w:sz="4" w:space="0" w:color="auto"/>
            </w:tcBorders>
            <w:shd w:val="clear" w:color="000000" w:fill="F4B084"/>
            <w:vAlign w:val="center"/>
            <w:hideMark/>
          </w:tcPr>
          <w:p w14:paraId="20E8EFEC"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Respuesta Propuesta</w:t>
            </w:r>
          </w:p>
        </w:tc>
        <w:tc>
          <w:tcPr>
            <w:tcW w:w="966" w:type="dxa"/>
            <w:vMerge w:val="restart"/>
            <w:tcBorders>
              <w:top w:val="nil"/>
              <w:left w:val="single" w:sz="4" w:space="0" w:color="auto"/>
              <w:bottom w:val="single" w:sz="4" w:space="0" w:color="auto"/>
              <w:right w:val="single" w:sz="4" w:space="0" w:color="auto"/>
            </w:tcBorders>
            <w:shd w:val="clear" w:color="000000" w:fill="F4B084"/>
            <w:vAlign w:val="center"/>
            <w:hideMark/>
          </w:tcPr>
          <w:p w14:paraId="23490508"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Nuevo Puntaje del Impacto (Después)</w:t>
            </w:r>
          </w:p>
        </w:tc>
        <w:tc>
          <w:tcPr>
            <w:tcW w:w="992" w:type="dxa"/>
            <w:vMerge w:val="restart"/>
            <w:tcBorders>
              <w:top w:val="nil"/>
              <w:left w:val="single" w:sz="4" w:space="0" w:color="auto"/>
              <w:bottom w:val="single" w:sz="4" w:space="0" w:color="auto"/>
              <w:right w:val="single" w:sz="4" w:space="0" w:color="auto"/>
            </w:tcBorders>
            <w:shd w:val="clear" w:color="000000" w:fill="F4B084"/>
            <w:noWrap/>
            <w:vAlign w:val="center"/>
            <w:hideMark/>
          </w:tcPr>
          <w:p w14:paraId="4352C4A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Cambio</w:t>
            </w:r>
          </w:p>
        </w:tc>
        <w:tc>
          <w:tcPr>
            <w:tcW w:w="3520" w:type="dxa"/>
            <w:vMerge w:val="restart"/>
            <w:tcBorders>
              <w:top w:val="nil"/>
              <w:left w:val="single" w:sz="4" w:space="0" w:color="auto"/>
              <w:bottom w:val="single" w:sz="4" w:space="0" w:color="000000"/>
              <w:right w:val="single" w:sz="4" w:space="0" w:color="auto"/>
            </w:tcBorders>
            <w:shd w:val="clear" w:color="000000" w:fill="F4B084"/>
            <w:vAlign w:val="center"/>
            <w:hideMark/>
          </w:tcPr>
          <w:p w14:paraId="594EC562"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Resultado</w:t>
            </w:r>
          </w:p>
        </w:tc>
      </w:tr>
      <w:tr w:rsidR="00F212FE" w:rsidRPr="00242EB4" w14:paraId="23B192ED" w14:textId="77777777" w:rsidTr="0055381F">
        <w:trPr>
          <w:gridAfter w:val="1"/>
          <w:wAfter w:w="118" w:type="dxa"/>
          <w:trHeight w:val="310"/>
        </w:trPr>
        <w:tc>
          <w:tcPr>
            <w:tcW w:w="2076" w:type="dxa"/>
            <w:tcBorders>
              <w:top w:val="nil"/>
              <w:left w:val="single" w:sz="4" w:space="0" w:color="auto"/>
              <w:bottom w:val="single" w:sz="4" w:space="0" w:color="auto"/>
              <w:right w:val="single" w:sz="4" w:space="0" w:color="auto"/>
            </w:tcBorders>
            <w:shd w:val="clear" w:color="000000" w:fill="F8CBAD"/>
            <w:noWrap/>
            <w:vAlign w:val="bottom"/>
            <w:hideMark/>
          </w:tcPr>
          <w:p w14:paraId="4B98D46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Elemento</w:t>
            </w:r>
          </w:p>
        </w:tc>
        <w:tc>
          <w:tcPr>
            <w:tcW w:w="2035" w:type="dxa"/>
            <w:tcBorders>
              <w:top w:val="nil"/>
              <w:left w:val="nil"/>
              <w:bottom w:val="single" w:sz="4" w:space="0" w:color="auto"/>
              <w:right w:val="single" w:sz="4" w:space="0" w:color="auto"/>
            </w:tcBorders>
            <w:shd w:val="clear" w:color="000000" w:fill="F8CBAD"/>
            <w:noWrap/>
            <w:vAlign w:val="center"/>
            <w:hideMark/>
          </w:tcPr>
          <w:p w14:paraId="41195C05"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Descripción</w:t>
            </w:r>
          </w:p>
        </w:tc>
        <w:tc>
          <w:tcPr>
            <w:tcW w:w="1701" w:type="dxa"/>
            <w:vMerge/>
            <w:tcBorders>
              <w:top w:val="nil"/>
              <w:left w:val="single" w:sz="4" w:space="0" w:color="auto"/>
              <w:bottom w:val="single" w:sz="4" w:space="0" w:color="auto"/>
              <w:right w:val="single" w:sz="4" w:space="0" w:color="auto"/>
            </w:tcBorders>
            <w:vAlign w:val="center"/>
            <w:hideMark/>
          </w:tcPr>
          <w:p w14:paraId="04EBF52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860" w:type="dxa"/>
            <w:vMerge/>
            <w:tcBorders>
              <w:top w:val="nil"/>
              <w:left w:val="single" w:sz="4" w:space="0" w:color="auto"/>
              <w:bottom w:val="single" w:sz="4" w:space="0" w:color="auto"/>
              <w:right w:val="single" w:sz="4" w:space="0" w:color="auto"/>
            </w:tcBorders>
            <w:vAlign w:val="center"/>
            <w:hideMark/>
          </w:tcPr>
          <w:p w14:paraId="6B296C2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897" w:type="dxa"/>
            <w:vMerge/>
            <w:tcBorders>
              <w:top w:val="nil"/>
              <w:left w:val="single" w:sz="4" w:space="0" w:color="auto"/>
              <w:bottom w:val="single" w:sz="4" w:space="0" w:color="auto"/>
              <w:right w:val="single" w:sz="4" w:space="0" w:color="auto"/>
            </w:tcBorders>
            <w:vAlign w:val="center"/>
            <w:hideMark/>
          </w:tcPr>
          <w:p w14:paraId="2F2705D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506" w:type="dxa"/>
            <w:vMerge/>
            <w:tcBorders>
              <w:top w:val="nil"/>
              <w:left w:val="single" w:sz="4" w:space="0" w:color="auto"/>
              <w:bottom w:val="single" w:sz="4" w:space="0" w:color="000000"/>
              <w:right w:val="single" w:sz="4" w:space="0" w:color="auto"/>
            </w:tcBorders>
            <w:vAlign w:val="center"/>
            <w:hideMark/>
          </w:tcPr>
          <w:p w14:paraId="0717AB5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1276" w:type="dxa"/>
            <w:vMerge/>
            <w:tcBorders>
              <w:top w:val="nil"/>
              <w:left w:val="single" w:sz="4" w:space="0" w:color="auto"/>
              <w:bottom w:val="single" w:sz="4" w:space="0" w:color="auto"/>
              <w:right w:val="single" w:sz="4" w:space="0" w:color="auto"/>
            </w:tcBorders>
            <w:vAlign w:val="center"/>
            <w:hideMark/>
          </w:tcPr>
          <w:p w14:paraId="32154F8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977" w:type="dxa"/>
            <w:vMerge/>
            <w:tcBorders>
              <w:top w:val="nil"/>
              <w:left w:val="single" w:sz="4" w:space="0" w:color="auto"/>
              <w:bottom w:val="single" w:sz="4" w:space="0" w:color="auto"/>
              <w:right w:val="single" w:sz="4" w:space="0" w:color="auto"/>
            </w:tcBorders>
            <w:vAlign w:val="center"/>
            <w:hideMark/>
          </w:tcPr>
          <w:p w14:paraId="76997C02"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966" w:type="dxa"/>
            <w:vMerge/>
            <w:tcBorders>
              <w:top w:val="nil"/>
              <w:left w:val="single" w:sz="4" w:space="0" w:color="auto"/>
              <w:bottom w:val="single" w:sz="4" w:space="0" w:color="auto"/>
              <w:right w:val="single" w:sz="4" w:space="0" w:color="auto"/>
            </w:tcBorders>
            <w:vAlign w:val="center"/>
            <w:hideMark/>
          </w:tcPr>
          <w:p w14:paraId="793743D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992" w:type="dxa"/>
            <w:vMerge/>
            <w:tcBorders>
              <w:top w:val="nil"/>
              <w:left w:val="single" w:sz="4" w:space="0" w:color="auto"/>
              <w:bottom w:val="single" w:sz="4" w:space="0" w:color="auto"/>
              <w:right w:val="single" w:sz="4" w:space="0" w:color="auto"/>
            </w:tcBorders>
            <w:vAlign w:val="center"/>
            <w:hideMark/>
          </w:tcPr>
          <w:p w14:paraId="5833B89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3520" w:type="dxa"/>
            <w:vMerge/>
            <w:tcBorders>
              <w:top w:val="nil"/>
              <w:left w:val="single" w:sz="4" w:space="0" w:color="auto"/>
              <w:bottom w:val="single" w:sz="4" w:space="0" w:color="000000"/>
              <w:right w:val="single" w:sz="4" w:space="0" w:color="auto"/>
            </w:tcBorders>
            <w:vAlign w:val="center"/>
            <w:hideMark/>
          </w:tcPr>
          <w:p w14:paraId="533E9A4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r>
      <w:tr w:rsidR="00F212FE" w:rsidRPr="00242EB4" w14:paraId="6470580E" w14:textId="77777777" w:rsidTr="0055381F">
        <w:trPr>
          <w:gridAfter w:val="1"/>
          <w:wAfter w:w="118" w:type="dxa"/>
          <w:trHeight w:val="1550"/>
        </w:trPr>
        <w:tc>
          <w:tcPr>
            <w:tcW w:w="2076" w:type="dxa"/>
            <w:vMerge w:val="restart"/>
            <w:tcBorders>
              <w:top w:val="nil"/>
              <w:left w:val="nil"/>
              <w:bottom w:val="nil"/>
              <w:right w:val="nil"/>
            </w:tcBorders>
            <w:shd w:val="clear" w:color="auto" w:fill="ED7D31" w:themeFill="accent2"/>
            <w:noWrap/>
            <w:vAlign w:val="bottom"/>
            <w:hideMark/>
          </w:tcPr>
          <w:p w14:paraId="6E5E4E9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p w14:paraId="32FA9F9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val="restart"/>
            <w:tcBorders>
              <w:top w:val="nil"/>
              <w:left w:val="single" w:sz="4" w:space="0" w:color="auto"/>
              <w:bottom w:val="single" w:sz="4" w:space="0" w:color="auto"/>
              <w:right w:val="single" w:sz="4" w:space="0" w:color="auto"/>
            </w:tcBorders>
            <w:shd w:val="clear" w:color="000000" w:fill="F2F2F2"/>
            <w:vAlign w:val="center"/>
            <w:hideMark/>
          </w:tcPr>
          <w:p w14:paraId="53C88944"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r w:rsidRPr="00242EB4">
              <w:rPr>
                <w:rFonts w:ascii="Calibri" w:eastAsia="Times New Roman" w:hAnsi="Calibri" w:cs="Calibri"/>
                <w:color w:val="000000"/>
                <w:sz w:val="18"/>
                <w:szCs w:val="18"/>
                <w:lang w:val="es-CR" w:eastAsia="es-CR"/>
              </w:rPr>
              <w:t xml:space="preserve">Acoso y discriminación implica las medidas adoptadas para asegurar un entorno laboral seguro, respetuoso y no discriminatorio. Esto incluye el desarrollo de políticas que protejan a </w:t>
            </w:r>
            <w:r w:rsidRPr="00242EB4">
              <w:rPr>
                <w:rFonts w:ascii="Calibri" w:eastAsia="Times New Roman" w:hAnsi="Calibri" w:cs="Calibri"/>
                <w:color w:val="000000"/>
                <w:sz w:val="18"/>
                <w:szCs w:val="18"/>
                <w:lang w:val="es-CR" w:eastAsia="es-CR"/>
              </w:rPr>
              <w:lastRenderedPageBreak/>
              <w:t xml:space="preserve">los empleados del trato injusto, la creación de un entorno inclusivo, la </w:t>
            </w:r>
            <w:r w:rsidRPr="00242EB4">
              <w:rPr>
                <w:rFonts w:ascii="Calibri" w:eastAsia="Times New Roman" w:hAnsi="Calibri" w:cs="Calibri"/>
                <w:noProof/>
                <w:color w:val="000000"/>
                <w:sz w:val="24"/>
                <w:lang w:val="es-CR" w:eastAsia="es-CR"/>
              </w:rPr>
              <w:drawing>
                <wp:anchor distT="0" distB="0" distL="114300" distR="114300" simplePos="0" relativeHeight="251673600" behindDoc="0" locked="0" layoutInCell="1" allowOverlap="1" wp14:anchorId="572C52C4" wp14:editId="5A701EEA">
                  <wp:simplePos x="0" y="0"/>
                  <wp:positionH relativeFrom="column">
                    <wp:posOffset>-1120775</wp:posOffset>
                  </wp:positionH>
                  <wp:positionV relativeFrom="paragraph">
                    <wp:posOffset>590550</wp:posOffset>
                  </wp:positionV>
                  <wp:extent cx="869950" cy="927100"/>
                  <wp:effectExtent l="0" t="0" r="6350" b="6350"/>
                  <wp:wrapNone/>
                  <wp:docPr id="50" name="Imagen 10">
                    <a:extLst xmlns:a="http://schemas.openxmlformats.org/drawingml/2006/main">
                      <a:ext uri="{FF2B5EF4-FFF2-40B4-BE49-F238E27FC236}">
                        <a16:creationId xmlns:a16="http://schemas.microsoft.com/office/drawing/2014/main" id="{00000000-0008-0000-0300-000032000000}"/>
                      </a:ext>
                    </a:extLst>
                  </wp:docPr>
                  <wp:cNvGraphicFramePr/>
                  <a:graphic xmlns:a="http://schemas.openxmlformats.org/drawingml/2006/main">
                    <a:graphicData uri="http://schemas.openxmlformats.org/drawingml/2006/picture">
                      <pic:pic xmlns:pic="http://schemas.openxmlformats.org/drawingml/2006/picture">
                        <pic:nvPicPr>
                          <pic:cNvPr id="50" name="Picture 49">
                            <a:extLst>
                              <a:ext uri="{FF2B5EF4-FFF2-40B4-BE49-F238E27FC236}">
                                <a16:creationId xmlns:a16="http://schemas.microsoft.com/office/drawing/2014/main" id="{00000000-0008-0000-0300-000032000000}"/>
                              </a:ext>
                            </a:extLst>
                          </pic:cNvPr>
                          <pic:cNvPicPr>
                            <a:picLocks noChangeAspect="1"/>
                          </pic:cNvPicPr>
                        </pic:nvPicPr>
                        <pic:blipFill>
                          <a:blip r:embed="rId39"/>
                          <a:stretch>
                            <a:fillRect/>
                          </a:stretch>
                        </pic:blipFill>
                        <pic:spPr>
                          <a:xfrm>
                            <a:off x="0" y="0"/>
                            <a:ext cx="869950" cy="927100"/>
                          </a:xfrm>
                          <a:prstGeom prst="rect">
                            <a:avLst/>
                          </a:prstGeom>
                        </pic:spPr>
                      </pic:pic>
                    </a:graphicData>
                  </a:graphic>
                  <wp14:sizeRelH relativeFrom="page">
                    <wp14:pctWidth>0</wp14:pctWidth>
                  </wp14:sizeRelH>
                  <wp14:sizeRelV relativeFrom="page">
                    <wp14:pctHeight>0</wp14:pctHeight>
                  </wp14:sizeRelV>
                </wp:anchor>
              </w:drawing>
            </w:r>
            <w:r w:rsidRPr="00242EB4">
              <w:rPr>
                <w:rFonts w:ascii="Calibri" w:eastAsia="Times New Roman" w:hAnsi="Calibri" w:cs="Calibri"/>
                <w:color w:val="000000"/>
                <w:sz w:val="18"/>
                <w:szCs w:val="18"/>
                <w:lang w:val="es-CR" w:eastAsia="es-CR"/>
              </w:rPr>
              <w:t>implementación de procedimientos de denuncia efectivos para casos de comportamiento inapropiado y la capacitación suficiente para la gerencia sobre cómo manejar tales problemas.</w:t>
            </w:r>
          </w:p>
        </w:tc>
        <w:tc>
          <w:tcPr>
            <w:tcW w:w="1701" w:type="dxa"/>
            <w:tcBorders>
              <w:top w:val="nil"/>
              <w:left w:val="nil"/>
              <w:bottom w:val="single" w:sz="4" w:space="0" w:color="auto"/>
              <w:right w:val="single" w:sz="4" w:space="0" w:color="auto"/>
            </w:tcBorders>
            <w:shd w:val="clear" w:color="000000" w:fill="F2F2F2"/>
            <w:noWrap/>
            <w:vAlign w:val="center"/>
            <w:hideMark/>
          </w:tcPr>
          <w:p w14:paraId="4F46DEC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lastRenderedPageBreak/>
              <w:t>Vida Útil</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CDC5EEA"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5D3217D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La discriminación puede aumentar la rotación de personal, reduciendo la continuidad del conocimiento y la experiencia técnica.</w:t>
            </w:r>
          </w:p>
        </w:tc>
        <w:tc>
          <w:tcPr>
            <w:tcW w:w="2506" w:type="dxa"/>
            <w:tcBorders>
              <w:top w:val="nil"/>
              <w:left w:val="nil"/>
              <w:bottom w:val="single" w:sz="4" w:space="0" w:color="auto"/>
              <w:right w:val="single" w:sz="4" w:space="0" w:color="auto"/>
            </w:tcBorders>
            <w:hideMark/>
          </w:tcPr>
          <w:p w14:paraId="65C87A7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1276" w:type="dxa"/>
            <w:tcBorders>
              <w:top w:val="nil"/>
              <w:left w:val="nil"/>
              <w:bottom w:val="single" w:sz="4" w:space="0" w:color="auto"/>
              <w:right w:val="single" w:sz="4" w:space="0" w:color="auto"/>
            </w:tcBorders>
            <w:noWrap/>
            <w:vAlign w:val="center"/>
            <w:hideMark/>
          </w:tcPr>
          <w:p w14:paraId="570F741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2977" w:type="dxa"/>
            <w:tcBorders>
              <w:top w:val="nil"/>
              <w:left w:val="nil"/>
              <w:bottom w:val="single" w:sz="4" w:space="0" w:color="auto"/>
              <w:right w:val="single" w:sz="4" w:space="0" w:color="auto"/>
            </w:tcBorders>
            <w:hideMark/>
          </w:tcPr>
          <w:p w14:paraId="06E53AB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Implementar capacitaciones periódicas sobre inclusión, respeto y protocolos de denuncia.</w:t>
            </w:r>
          </w:p>
        </w:tc>
        <w:tc>
          <w:tcPr>
            <w:tcW w:w="966" w:type="dxa"/>
            <w:tcBorders>
              <w:top w:val="nil"/>
              <w:left w:val="nil"/>
              <w:bottom w:val="single" w:sz="4" w:space="0" w:color="auto"/>
              <w:right w:val="single" w:sz="4" w:space="0" w:color="auto"/>
            </w:tcBorders>
            <w:noWrap/>
            <w:vAlign w:val="center"/>
            <w:hideMark/>
          </w:tcPr>
          <w:p w14:paraId="23099C2D"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42B9383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56ADCBC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Mejora la estabilidad del equipo y la retención del talento.</w:t>
            </w:r>
          </w:p>
        </w:tc>
      </w:tr>
      <w:tr w:rsidR="00F212FE" w:rsidRPr="00242EB4" w14:paraId="5A8908C0" w14:textId="77777777" w:rsidTr="0055381F">
        <w:trPr>
          <w:gridAfter w:val="1"/>
          <w:wAfter w:w="118" w:type="dxa"/>
          <w:trHeight w:val="1550"/>
        </w:trPr>
        <w:tc>
          <w:tcPr>
            <w:tcW w:w="2076" w:type="dxa"/>
            <w:vMerge/>
            <w:tcBorders>
              <w:top w:val="nil"/>
              <w:left w:val="nil"/>
              <w:bottom w:val="nil"/>
              <w:right w:val="nil"/>
            </w:tcBorders>
            <w:shd w:val="clear" w:color="auto" w:fill="ED7D31" w:themeFill="accent2"/>
            <w:vAlign w:val="center"/>
            <w:hideMark/>
          </w:tcPr>
          <w:p w14:paraId="44EEF01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1D7DAED9"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79A9846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Mantenimiento</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7499838"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5D6181B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Un entorno hostil puede reducir la cooperación, afectando el mantenimiento de relaciones de trabajo y sistemas.</w:t>
            </w:r>
          </w:p>
        </w:tc>
        <w:tc>
          <w:tcPr>
            <w:tcW w:w="2506" w:type="dxa"/>
            <w:tcBorders>
              <w:top w:val="nil"/>
              <w:left w:val="nil"/>
              <w:bottom w:val="single" w:sz="4" w:space="0" w:color="auto"/>
              <w:right w:val="single" w:sz="4" w:space="0" w:color="auto"/>
            </w:tcBorders>
            <w:hideMark/>
          </w:tcPr>
          <w:p w14:paraId="00BA66E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1276" w:type="dxa"/>
            <w:tcBorders>
              <w:top w:val="nil"/>
              <w:left w:val="nil"/>
              <w:bottom w:val="single" w:sz="4" w:space="0" w:color="auto"/>
              <w:right w:val="single" w:sz="4" w:space="0" w:color="auto"/>
            </w:tcBorders>
            <w:noWrap/>
            <w:vAlign w:val="center"/>
            <w:hideMark/>
          </w:tcPr>
          <w:p w14:paraId="0A0A9DD0"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nil"/>
              <w:right w:val="nil"/>
            </w:tcBorders>
            <w:hideMark/>
          </w:tcPr>
          <w:p w14:paraId="5454EBA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Incorporar políticas de bienestar laboral y monitoreo del clima organizacional.</w:t>
            </w:r>
          </w:p>
        </w:tc>
        <w:tc>
          <w:tcPr>
            <w:tcW w:w="966" w:type="dxa"/>
            <w:tcBorders>
              <w:top w:val="nil"/>
              <w:left w:val="single" w:sz="4" w:space="0" w:color="auto"/>
              <w:bottom w:val="single" w:sz="4" w:space="0" w:color="auto"/>
              <w:right w:val="single" w:sz="4" w:space="0" w:color="auto"/>
            </w:tcBorders>
            <w:noWrap/>
            <w:vAlign w:val="center"/>
            <w:hideMark/>
          </w:tcPr>
          <w:p w14:paraId="58E09E99"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992" w:type="dxa"/>
            <w:tcBorders>
              <w:top w:val="nil"/>
              <w:left w:val="nil"/>
              <w:bottom w:val="single" w:sz="4" w:space="0" w:color="auto"/>
              <w:right w:val="single" w:sz="4" w:space="0" w:color="auto"/>
            </w:tcBorders>
            <w:noWrap/>
            <w:vAlign w:val="center"/>
            <w:hideMark/>
          </w:tcPr>
          <w:p w14:paraId="3C313597"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46E1ABC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Favorece la cooperación y la eficiencia operativa.</w:t>
            </w:r>
          </w:p>
        </w:tc>
      </w:tr>
      <w:tr w:rsidR="00F212FE" w:rsidRPr="00242EB4" w14:paraId="417392E9" w14:textId="77777777" w:rsidTr="0055381F">
        <w:trPr>
          <w:gridAfter w:val="1"/>
          <w:wAfter w:w="118" w:type="dxa"/>
          <w:trHeight w:val="1550"/>
        </w:trPr>
        <w:tc>
          <w:tcPr>
            <w:tcW w:w="2076" w:type="dxa"/>
            <w:vMerge/>
            <w:tcBorders>
              <w:top w:val="nil"/>
              <w:left w:val="nil"/>
              <w:bottom w:val="nil"/>
              <w:right w:val="nil"/>
            </w:tcBorders>
            <w:shd w:val="clear" w:color="auto" w:fill="ED7D31" w:themeFill="accent2"/>
            <w:vAlign w:val="center"/>
            <w:hideMark/>
          </w:tcPr>
          <w:p w14:paraId="5621A4C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63BC8B17"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5330CEC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Eficacia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27A08A2"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6EA9DBE2"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Mejora el clima laboral, facilitando el logro de los objetivos del proyecto y la participación efectiva del equipo.</w:t>
            </w:r>
          </w:p>
        </w:tc>
        <w:tc>
          <w:tcPr>
            <w:tcW w:w="2506" w:type="dxa"/>
            <w:tcBorders>
              <w:top w:val="nil"/>
              <w:left w:val="nil"/>
              <w:bottom w:val="single" w:sz="4" w:space="0" w:color="auto"/>
              <w:right w:val="single" w:sz="4" w:space="0" w:color="auto"/>
            </w:tcBorders>
            <w:hideMark/>
          </w:tcPr>
          <w:p w14:paraId="05654D5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1276" w:type="dxa"/>
            <w:tcBorders>
              <w:top w:val="nil"/>
              <w:left w:val="nil"/>
              <w:bottom w:val="single" w:sz="4" w:space="0" w:color="auto"/>
              <w:right w:val="single" w:sz="4" w:space="0" w:color="auto"/>
            </w:tcBorders>
            <w:noWrap/>
            <w:vAlign w:val="center"/>
            <w:hideMark/>
          </w:tcPr>
          <w:p w14:paraId="1A53B23C"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2977" w:type="dxa"/>
            <w:tcBorders>
              <w:top w:val="single" w:sz="4" w:space="0" w:color="auto"/>
              <w:left w:val="nil"/>
              <w:bottom w:val="single" w:sz="4" w:space="0" w:color="auto"/>
              <w:right w:val="single" w:sz="4" w:space="0" w:color="auto"/>
            </w:tcBorders>
            <w:hideMark/>
          </w:tcPr>
          <w:p w14:paraId="17E955C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Establecer canales de comunicación seguros y accesibles para todos.</w:t>
            </w:r>
          </w:p>
        </w:tc>
        <w:tc>
          <w:tcPr>
            <w:tcW w:w="966" w:type="dxa"/>
            <w:tcBorders>
              <w:top w:val="nil"/>
              <w:left w:val="nil"/>
              <w:bottom w:val="single" w:sz="4" w:space="0" w:color="auto"/>
              <w:right w:val="single" w:sz="4" w:space="0" w:color="auto"/>
            </w:tcBorders>
            <w:noWrap/>
            <w:vAlign w:val="center"/>
            <w:hideMark/>
          </w:tcPr>
          <w:p w14:paraId="6D8D878A"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5</w:t>
            </w:r>
          </w:p>
        </w:tc>
        <w:tc>
          <w:tcPr>
            <w:tcW w:w="992" w:type="dxa"/>
            <w:tcBorders>
              <w:top w:val="nil"/>
              <w:left w:val="nil"/>
              <w:bottom w:val="single" w:sz="4" w:space="0" w:color="auto"/>
              <w:right w:val="single" w:sz="4" w:space="0" w:color="auto"/>
            </w:tcBorders>
            <w:noWrap/>
            <w:vAlign w:val="center"/>
            <w:hideMark/>
          </w:tcPr>
          <w:p w14:paraId="6995B2D0"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2EF9D52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Aumenta el cumplimiento de objetivos y satisfacción del personal.</w:t>
            </w:r>
          </w:p>
        </w:tc>
      </w:tr>
      <w:tr w:rsidR="00F212FE" w:rsidRPr="00242EB4" w14:paraId="1013426B" w14:textId="77777777" w:rsidTr="0055381F">
        <w:trPr>
          <w:gridAfter w:val="1"/>
          <w:wAfter w:w="118" w:type="dxa"/>
          <w:trHeight w:val="1240"/>
        </w:trPr>
        <w:tc>
          <w:tcPr>
            <w:tcW w:w="2076" w:type="dxa"/>
            <w:vMerge/>
            <w:tcBorders>
              <w:top w:val="nil"/>
              <w:left w:val="nil"/>
              <w:bottom w:val="nil"/>
              <w:right w:val="nil"/>
            </w:tcBorders>
            <w:shd w:val="clear" w:color="auto" w:fill="ED7D31" w:themeFill="accent2"/>
            <w:vAlign w:val="center"/>
            <w:hideMark/>
          </w:tcPr>
          <w:p w14:paraId="09D7C8A5"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363906CF"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44C6F4C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Eficiencia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FA8B43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2616272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Reduce conflictos y mejora la utilización de recursos humanos, optimizando procesos y tiempos.</w:t>
            </w:r>
          </w:p>
        </w:tc>
        <w:tc>
          <w:tcPr>
            <w:tcW w:w="2506" w:type="dxa"/>
            <w:tcBorders>
              <w:top w:val="nil"/>
              <w:left w:val="nil"/>
              <w:bottom w:val="single" w:sz="4" w:space="0" w:color="auto"/>
              <w:right w:val="single" w:sz="4" w:space="0" w:color="auto"/>
            </w:tcBorders>
            <w:hideMark/>
          </w:tcPr>
          <w:p w14:paraId="3AE8CB1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1276" w:type="dxa"/>
            <w:tcBorders>
              <w:top w:val="nil"/>
              <w:left w:val="nil"/>
              <w:bottom w:val="single" w:sz="4" w:space="0" w:color="auto"/>
              <w:right w:val="single" w:sz="4" w:space="0" w:color="auto"/>
            </w:tcBorders>
            <w:noWrap/>
            <w:vAlign w:val="center"/>
            <w:hideMark/>
          </w:tcPr>
          <w:p w14:paraId="0FC46650"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2977" w:type="dxa"/>
            <w:tcBorders>
              <w:top w:val="nil"/>
              <w:left w:val="nil"/>
              <w:bottom w:val="single" w:sz="4" w:space="0" w:color="auto"/>
              <w:right w:val="single" w:sz="4" w:space="0" w:color="auto"/>
            </w:tcBorders>
            <w:hideMark/>
          </w:tcPr>
          <w:p w14:paraId="7C95B19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Optimizar roles y responsabilidades reduciendo tensiones mediante liderazgo positivo.</w:t>
            </w:r>
          </w:p>
        </w:tc>
        <w:tc>
          <w:tcPr>
            <w:tcW w:w="966" w:type="dxa"/>
            <w:tcBorders>
              <w:top w:val="nil"/>
              <w:left w:val="nil"/>
              <w:bottom w:val="single" w:sz="4" w:space="0" w:color="auto"/>
              <w:right w:val="single" w:sz="4" w:space="0" w:color="auto"/>
            </w:tcBorders>
            <w:noWrap/>
            <w:vAlign w:val="center"/>
            <w:hideMark/>
          </w:tcPr>
          <w:p w14:paraId="15CA3C2E"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0A737A38"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0B24711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Reducción de conflictos y mayor eficiencia de recursos.</w:t>
            </w:r>
          </w:p>
        </w:tc>
      </w:tr>
      <w:tr w:rsidR="00F212FE" w:rsidRPr="00242EB4" w14:paraId="25663C79" w14:textId="77777777" w:rsidTr="0055381F">
        <w:trPr>
          <w:gridAfter w:val="1"/>
          <w:wAfter w:w="118" w:type="dxa"/>
          <w:trHeight w:val="1240"/>
        </w:trPr>
        <w:tc>
          <w:tcPr>
            <w:tcW w:w="2076" w:type="dxa"/>
            <w:vMerge/>
            <w:tcBorders>
              <w:top w:val="nil"/>
              <w:left w:val="nil"/>
              <w:bottom w:val="single" w:sz="4" w:space="0" w:color="auto"/>
              <w:right w:val="nil"/>
            </w:tcBorders>
            <w:shd w:val="clear" w:color="auto" w:fill="ED7D31" w:themeFill="accent2"/>
            <w:vAlign w:val="center"/>
            <w:hideMark/>
          </w:tcPr>
          <w:p w14:paraId="4DE7CC2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508FC05F"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35D3CBF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Imparcialidad</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9437E59"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4D52CCB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Fomenta la igualdad de oportunidades, asegurando que todos los colaboradores reciban un trato justo.</w:t>
            </w:r>
          </w:p>
        </w:tc>
        <w:tc>
          <w:tcPr>
            <w:tcW w:w="2506" w:type="dxa"/>
            <w:tcBorders>
              <w:top w:val="nil"/>
              <w:left w:val="nil"/>
              <w:bottom w:val="single" w:sz="4" w:space="0" w:color="auto"/>
              <w:right w:val="single" w:sz="4" w:space="0" w:color="auto"/>
            </w:tcBorders>
            <w:hideMark/>
          </w:tcPr>
          <w:p w14:paraId="7C852F2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1276" w:type="dxa"/>
            <w:tcBorders>
              <w:top w:val="nil"/>
              <w:left w:val="nil"/>
              <w:bottom w:val="single" w:sz="4" w:space="0" w:color="auto"/>
              <w:right w:val="single" w:sz="4" w:space="0" w:color="auto"/>
            </w:tcBorders>
            <w:noWrap/>
            <w:vAlign w:val="center"/>
            <w:hideMark/>
          </w:tcPr>
          <w:p w14:paraId="1C6F93E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2977" w:type="dxa"/>
            <w:tcBorders>
              <w:top w:val="nil"/>
              <w:left w:val="nil"/>
              <w:bottom w:val="single" w:sz="4" w:space="0" w:color="auto"/>
              <w:right w:val="single" w:sz="4" w:space="0" w:color="auto"/>
            </w:tcBorders>
            <w:hideMark/>
          </w:tcPr>
          <w:p w14:paraId="7F892A5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Reforzar los principios de equidad en todos los procesos de RRHH y gestión del talento.</w:t>
            </w:r>
          </w:p>
        </w:tc>
        <w:tc>
          <w:tcPr>
            <w:tcW w:w="966" w:type="dxa"/>
            <w:tcBorders>
              <w:top w:val="nil"/>
              <w:left w:val="nil"/>
              <w:bottom w:val="single" w:sz="4" w:space="0" w:color="auto"/>
              <w:right w:val="single" w:sz="4" w:space="0" w:color="auto"/>
            </w:tcBorders>
            <w:noWrap/>
            <w:vAlign w:val="center"/>
            <w:hideMark/>
          </w:tcPr>
          <w:p w14:paraId="4C29C191"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78F3A4A0"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35FF7CD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Fortalece la cultura organizacional basada en derechos humanos.</w:t>
            </w:r>
          </w:p>
        </w:tc>
      </w:tr>
      <w:tr w:rsidR="00F212FE" w:rsidRPr="00242EB4" w14:paraId="7576E756" w14:textId="77777777" w:rsidTr="0055381F">
        <w:trPr>
          <w:gridAfter w:val="1"/>
          <w:wAfter w:w="118" w:type="dxa"/>
          <w:trHeight w:val="1550"/>
        </w:trPr>
        <w:tc>
          <w:tcPr>
            <w:tcW w:w="2076" w:type="dxa"/>
            <w:vMerge w:val="restart"/>
            <w:tcBorders>
              <w:top w:val="single" w:sz="4" w:space="0" w:color="auto"/>
              <w:left w:val="single" w:sz="4" w:space="0" w:color="auto"/>
              <w:bottom w:val="single" w:sz="4" w:space="0" w:color="auto"/>
              <w:right w:val="single" w:sz="4" w:space="0" w:color="auto"/>
            </w:tcBorders>
            <w:shd w:val="clear" w:color="auto" w:fill="ED7D31" w:themeFill="accent2"/>
            <w:noWrap/>
            <w:vAlign w:val="bottom"/>
            <w:hideMark/>
          </w:tcPr>
          <w:p w14:paraId="5E2AB00B" w14:textId="77777777" w:rsidR="00F212FE" w:rsidRPr="00242EB4" w:rsidRDefault="00F212FE" w:rsidP="0055381F">
            <w:pPr>
              <w:shd w:val="clear" w:color="auto" w:fill="ED7D31" w:themeFill="accent2"/>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noProof/>
                <w:color w:val="000000"/>
                <w:sz w:val="24"/>
                <w:lang w:val="es-CR" w:eastAsia="es-CR"/>
              </w:rPr>
              <w:drawing>
                <wp:anchor distT="0" distB="0" distL="114300" distR="114300" simplePos="0" relativeHeight="251674624" behindDoc="0" locked="0" layoutInCell="1" allowOverlap="1" wp14:anchorId="1A5EDE90" wp14:editId="448CEED6">
                  <wp:simplePos x="0" y="0"/>
                  <wp:positionH relativeFrom="column">
                    <wp:posOffset>190500</wp:posOffset>
                  </wp:positionH>
                  <wp:positionV relativeFrom="paragraph">
                    <wp:posOffset>-2331720</wp:posOffset>
                  </wp:positionV>
                  <wp:extent cx="882650" cy="914400"/>
                  <wp:effectExtent l="0" t="0" r="0" b="0"/>
                  <wp:wrapNone/>
                  <wp:docPr id="51" name="Imagen 9">
                    <a:extLst xmlns:a="http://schemas.openxmlformats.org/drawingml/2006/main">
                      <a:ext uri="{FF2B5EF4-FFF2-40B4-BE49-F238E27FC236}">
                        <a16:creationId xmlns:a16="http://schemas.microsoft.com/office/drawing/2014/main" id="{00000000-0008-0000-0300-000033000000}"/>
                      </a:ext>
                    </a:extLst>
                  </wp:docPr>
                  <wp:cNvGraphicFramePr/>
                  <a:graphic xmlns:a="http://schemas.openxmlformats.org/drawingml/2006/main">
                    <a:graphicData uri="http://schemas.openxmlformats.org/drawingml/2006/picture">
                      <pic:pic xmlns:pic="http://schemas.openxmlformats.org/drawingml/2006/picture">
                        <pic:nvPicPr>
                          <pic:cNvPr id="51" name="Picture 50">
                            <a:extLst>
                              <a:ext uri="{FF2B5EF4-FFF2-40B4-BE49-F238E27FC236}">
                                <a16:creationId xmlns:a16="http://schemas.microsoft.com/office/drawing/2014/main" id="{00000000-0008-0000-0300-000033000000}"/>
                              </a:ext>
                            </a:extLst>
                          </pic:cNvPr>
                          <pic:cNvPicPr>
                            <a:picLocks noChangeAspect="1"/>
                          </pic:cNvPicPr>
                        </pic:nvPicPr>
                        <pic:blipFill>
                          <a:blip r:embed="rId40"/>
                          <a:stretch>
                            <a:fillRect/>
                          </a:stretch>
                        </pic:blipFill>
                        <pic:spPr>
                          <a:xfrm>
                            <a:off x="0" y="0"/>
                            <a:ext cx="882650" cy="914400"/>
                          </a:xfrm>
                          <a:prstGeom prst="rect">
                            <a:avLst/>
                          </a:prstGeom>
                        </pic:spPr>
                      </pic:pic>
                    </a:graphicData>
                  </a:graphic>
                  <wp14:sizeRelH relativeFrom="page">
                    <wp14:pctWidth>0</wp14:pctWidth>
                  </wp14:sizeRelH>
                  <wp14:sizeRelV relativeFrom="page">
                    <wp14:pctHeight>0</wp14:pctHeight>
                  </wp14:sizeRelV>
                </wp:anchor>
              </w:drawing>
            </w:r>
          </w:p>
          <w:p w14:paraId="26B077C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val="restart"/>
            <w:tcBorders>
              <w:top w:val="nil"/>
              <w:left w:val="single" w:sz="4" w:space="0" w:color="auto"/>
              <w:bottom w:val="single" w:sz="4" w:space="0" w:color="auto"/>
              <w:right w:val="single" w:sz="4" w:space="0" w:color="auto"/>
            </w:tcBorders>
            <w:shd w:val="clear" w:color="000000" w:fill="F2F2F2"/>
            <w:vAlign w:val="center"/>
            <w:hideMark/>
          </w:tcPr>
          <w:p w14:paraId="5AEFE8B4"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r w:rsidRPr="00242EB4">
              <w:rPr>
                <w:rFonts w:ascii="Calibri" w:eastAsia="Times New Roman" w:hAnsi="Calibri" w:cs="Calibri"/>
                <w:color w:val="000000"/>
                <w:sz w:val="18"/>
                <w:szCs w:val="18"/>
                <w:lang w:val="es-CR" w:eastAsia="es-CR"/>
              </w:rPr>
              <w:t>Trabajo apropiado a la edad significa garantizar que los niños no se encuentren en situaciones peligrosas o de explotación y, al mismo tiempo, permitirles desarrollar habilidades laborales esenciales. Se utiliza para describir el trabajo adecuado para el nivel de habilidad y madurez de una persona.</w:t>
            </w:r>
          </w:p>
        </w:tc>
        <w:tc>
          <w:tcPr>
            <w:tcW w:w="1701" w:type="dxa"/>
            <w:tcBorders>
              <w:top w:val="nil"/>
              <w:left w:val="nil"/>
              <w:bottom w:val="single" w:sz="4" w:space="0" w:color="auto"/>
              <w:right w:val="single" w:sz="4" w:space="0" w:color="auto"/>
            </w:tcBorders>
            <w:shd w:val="clear" w:color="000000" w:fill="F2F2F2"/>
            <w:noWrap/>
            <w:vAlign w:val="center"/>
            <w:hideMark/>
          </w:tcPr>
          <w:p w14:paraId="40BF324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Vida Útil</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1F9D047"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67B7E385"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La discriminación puede aumentar la rotación de personal, reduciendo la continuidad del conocimiento y la experiencia técnica.</w:t>
            </w:r>
          </w:p>
        </w:tc>
        <w:tc>
          <w:tcPr>
            <w:tcW w:w="2506" w:type="dxa"/>
            <w:tcBorders>
              <w:top w:val="nil"/>
              <w:left w:val="nil"/>
              <w:bottom w:val="single" w:sz="4" w:space="0" w:color="auto"/>
              <w:right w:val="single" w:sz="4" w:space="0" w:color="auto"/>
            </w:tcBorders>
            <w:hideMark/>
          </w:tcPr>
          <w:p w14:paraId="14A05A3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1276" w:type="dxa"/>
            <w:tcBorders>
              <w:top w:val="nil"/>
              <w:left w:val="nil"/>
              <w:bottom w:val="single" w:sz="4" w:space="0" w:color="auto"/>
              <w:right w:val="single" w:sz="4" w:space="0" w:color="auto"/>
            </w:tcBorders>
            <w:noWrap/>
            <w:vAlign w:val="center"/>
            <w:hideMark/>
          </w:tcPr>
          <w:p w14:paraId="66B17B84"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2977" w:type="dxa"/>
            <w:tcBorders>
              <w:top w:val="nil"/>
              <w:left w:val="nil"/>
              <w:bottom w:val="single" w:sz="4" w:space="0" w:color="auto"/>
              <w:right w:val="single" w:sz="4" w:space="0" w:color="auto"/>
            </w:tcBorders>
            <w:hideMark/>
          </w:tcPr>
          <w:p w14:paraId="41DC761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Implementar capacitaciones periódicas sobre inclusión, respeto y protocolos de denuncia.</w:t>
            </w:r>
          </w:p>
        </w:tc>
        <w:tc>
          <w:tcPr>
            <w:tcW w:w="966" w:type="dxa"/>
            <w:tcBorders>
              <w:top w:val="nil"/>
              <w:left w:val="nil"/>
              <w:bottom w:val="single" w:sz="4" w:space="0" w:color="auto"/>
              <w:right w:val="single" w:sz="4" w:space="0" w:color="auto"/>
            </w:tcBorders>
            <w:noWrap/>
            <w:vAlign w:val="center"/>
            <w:hideMark/>
          </w:tcPr>
          <w:p w14:paraId="41ABCD04"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76E4D8CF"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445E6C8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Mejora la estabilidad del equipo y la retención del talento.</w:t>
            </w:r>
          </w:p>
        </w:tc>
      </w:tr>
      <w:tr w:rsidR="00F212FE" w:rsidRPr="00242EB4" w14:paraId="15E675E2" w14:textId="77777777" w:rsidTr="0055381F">
        <w:trPr>
          <w:gridAfter w:val="1"/>
          <w:wAfter w:w="118" w:type="dxa"/>
          <w:trHeight w:val="1550"/>
        </w:trPr>
        <w:tc>
          <w:tcPr>
            <w:tcW w:w="2076" w:type="dxa"/>
            <w:vMerge/>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6D95BC1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245D7CEC"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318E36F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Mantenimiento</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7E045CD"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31E2A4A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Un entorno hostil puede reducir la cooperación, afectando el mantenimiento de relaciones de trabajo y sistemas.</w:t>
            </w:r>
          </w:p>
        </w:tc>
        <w:tc>
          <w:tcPr>
            <w:tcW w:w="2506" w:type="dxa"/>
            <w:tcBorders>
              <w:top w:val="nil"/>
              <w:left w:val="nil"/>
              <w:bottom w:val="single" w:sz="4" w:space="0" w:color="auto"/>
              <w:right w:val="single" w:sz="4" w:space="0" w:color="auto"/>
            </w:tcBorders>
            <w:hideMark/>
          </w:tcPr>
          <w:p w14:paraId="5ED3C36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1276" w:type="dxa"/>
            <w:tcBorders>
              <w:top w:val="nil"/>
              <w:left w:val="nil"/>
              <w:bottom w:val="single" w:sz="4" w:space="0" w:color="auto"/>
              <w:right w:val="single" w:sz="4" w:space="0" w:color="auto"/>
            </w:tcBorders>
            <w:noWrap/>
            <w:vAlign w:val="center"/>
            <w:hideMark/>
          </w:tcPr>
          <w:p w14:paraId="7CFC48B7"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757E8FC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Incorporar políticas de bienestar laboral y monitoreo del clima organizacional.</w:t>
            </w:r>
          </w:p>
        </w:tc>
        <w:tc>
          <w:tcPr>
            <w:tcW w:w="966" w:type="dxa"/>
            <w:tcBorders>
              <w:top w:val="nil"/>
              <w:left w:val="nil"/>
              <w:bottom w:val="single" w:sz="4" w:space="0" w:color="auto"/>
              <w:right w:val="single" w:sz="4" w:space="0" w:color="auto"/>
            </w:tcBorders>
            <w:noWrap/>
            <w:vAlign w:val="center"/>
            <w:hideMark/>
          </w:tcPr>
          <w:p w14:paraId="135FF7CE"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992" w:type="dxa"/>
            <w:tcBorders>
              <w:top w:val="nil"/>
              <w:left w:val="nil"/>
              <w:bottom w:val="single" w:sz="4" w:space="0" w:color="auto"/>
              <w:right w:val="single" w:sz="4" w:space="0" w:color="auto"/>
            </w:tcBorders>
            <w:noWrap/>
            <w:vAlign w:val="center"/>
            <w:hideMark/>
          </w:tcPr>
          <w:p w14:paraId="63B25A3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4C3B317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Favorece la cooperación y la eficiencia operativa.</w:t>
            </w:r>
          </w:p>
        </w:tc>
      </w:tr>
      <w:tr w:rsidR="00F212FE" w:rsidRPr="00242EB4" w14:paraId="6A3898DE" w14:textId="77777777" w:rsidTr="0055381F">
        <w:trPr>
          <w:gridAfter w:val="1"/>
          <w:wAfter w:w="118" w:type="dxa"/>
          <w:trHeight w:val="1550"/>
        </w:trPr>
        <w:tc>
          <w:tcPr>
            <w:tcW w:w="2076" w:type="dxa"/>
            <w:vMerge/>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4545210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0811507B"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1B493BF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Eficacia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38EAF9F"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73F463B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Mejora el clima laboral, facilitando el logro de los objetivos del proyecto y la participación efectiva del equipo.</w:t>
            </w:r>
          </w:p>
        </w:tc>
        <w:tc>
          <w:tcPr>
            <w:tcW w:w="2506" w:type="dxa"/>
            <w:tcBorders>
              <w:top w:val="nil"/>
              <w:left w:val="nil"/>
              <w:bottom w:val="single" w:sz="4" w:space="0" w:color="auto"/>
              <w:right w:val="single" w:sz="4" w:space="0" w:color="auto"/>
            </w:tcBorders>
            <w:hideMark/>
          </w:tcPr>
          <w:p w14:paraId="01A348F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1276" w:type="dxa"/>
            <w:tcBorders>
              <w:top w:val="nil"/>
              <w:left w:val="nil"/>
              <w:bottom w:val="single" w:sz="4" w:space="0" w:color="auto"/>
              <w:right w:val="single" w:sz="4" w:space="0" w:color="auto"/>
            </w:tcBorders>
            <w:noWrap/>
            <w:vAlign w:val="center"/>
            <w:hideMark/>
          </w:tcPr>
          <w:p w14:paraId="7032F69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2977" w:type="dxa"/>
            <w:tcBorders>
              <w:top w:val="nil"/>
              <w:left w:val="nil"/>
              <w:bottom w:val="single" w:sz="4" w:space="0" w:color="auto"/>
              <w:right w:val="single" w:sz="4" w:space="0" w:color="auto"/>
            </w:tcBorders>
            <w:hideMark/>
          </w:tcPr>
          <w:p w14:paraId="6E2A9D9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Establecer canales de comunicación seguros y accesibles para todos.</w:t>
            </w:r>
          </w:p>
        </w:tc>
        <w:tc>
          <w:tcPr>
            <w:tcW w:w="966" w:type="dxa"/>
            <w:tcBorders>
              <w:top w:val="nil"/>
              <w:left w:val="nil"/>
              <w:bottom w:val="single" w:sz="4" w:space="0" w:color="auto"/>
              <w:right w:val="single" w:sz="4" w:space="0" w:color="auto"/>
            </w:tcBorders>
            <w:noWrap/>
            <w:vAlign w:val="center"/>
            <w:hideMark/>
          </w:tcPr>
          <w:p w14:paraId="73EC07E9"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5</w:t>
            </w:r>
          </w:p>
        </w:tc>
        <w:tc>
          <w:tcPr>
            <w:tcW w:w="992" w:type="dxa"/>
            <w:tcBorders>
              <w:top w:val="nil"/>
              <w:left w:val="nil"/>
              <w:bottom w:val="single" w:sz="4" w:space="0" w:color="auto"/>
              <w:right w:val="single" w:sz="4" w:space="0" w:color="auto"/>
            </w:tcBorders>
            <w:noWrap/>
            <w:vAlign w:val="center"/>
            <w:hideMark/>
          </w:tcPr>
          <w:p w14:paraId="40F86B0F"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152FEA3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Aumenta el cumplimiento de objetivos y satisfacción del personal.</w:t>
            </w:r>
          </w:p>
        </w:tc>
      </w:tr>
      <w:tr w:rsidR="00F212FE" w:rsidRPr="00242EB4" w14:paraId="586378B4" w14:textId="77777777" w:rsidTr="0055381F">
        <w:trPr>
          <w:gridAfter w:val="1"/>
          <w:wAfter w:w="118" w:type="dxa"/>
          <w:trHeight w:val="1240"/>
        </w:trPr>
        <w:tc>
          <w:tcPr>
            <w:tcW w:w="2076" w:type="dxa"/>
            <w:vMerge/>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184D5D8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6B09FEEC"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79859FB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Eficiencia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64E072E"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4A762A6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Reduce conflictos y mejora la utilización de recursos humanos, optimizando procesos y tiempos.</w:t>
            </w:r>
          </w:p>
        </w:tc>
        <w:tc>
          <w:tcPr>
            <w:tcW w:w="2506" w:type="dxa"/>
            <w:tcBorders>
              <w:top w:val="nil"/>
              <w:left w:val="nil"/>
              <w:bottom w:val="single" w:sz="4" w:space="0" w:color="auto"/>
              <w:right w:val="single" w:sz="4" w:space="0" w:color="auto"/>
            </w:tcBorders>
            <w:hideMark/>
          </w:tcPr>
          <w:p w14:paraId="3244ADB2"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1276" w:type="dxa"/>
            <w:tcBorders>
              <w:top w:val="nil"/>
              <w:left w:val="nil"/>
              <w:bottom w:val="single" w:sz="4" w:space="0" w:color="auto"/>
              <w:right w:val="single" w:sz="4" w:space="0" w:color="auto"/>
            </w:tcBorders>
            <w:noWrap/>
            <w:vAlign w:val="center"/>
            <w:hideMark/>
          </w:tcPr>
          <w:p w14:paraId="0FC85311"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2977" w:type="dxa"/>
            <w:tcBorders>
              <w:top w:val="nil"/>
              <w:left w:val="nil"/>
              <w:bottom w:val="single" w:sz="4" w:space="0" w:color="auto"/>
              <w:right w:val="single" w:sz="4" w:space="0" w:color="auto"/>
            </w:tcBorders>
            <w:hideMark/>
          </w:tcPr>
          <w:p w14:paraId="13277F02"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Optimizar roles y responsabilidades reduciendo tensiones mediante liderazgo positivo.</w:t>
            </w:r>
          </w:p>
        </w:tc>
        <w:tc>
          <w:tcPr>
            <w:tcW w:w="966" w:type="dxa"/>
            <w:tcBorders>
              <w:top w:val="nil"/>
              <w:left w:val="nil"/>
              <w:bottom w:val="single" w:sz="4" w:space="0" w:color="auto"/>
              <w:right w:val="single" w:sz="4" w:space="0" w:color="auto"/>
            </w:tcBorders>
            <w:noWrap/>
            <w:vAlign w:val="center"/>
            <w:hideMark/>
          </w:tcPr>
          <w:p w14:paraId="6D401C4E"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4F8ADF76"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1DAB86E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Reducción de conflictos y mayor eficiencia de recursos.</w:t>
            </w:r>
          </w:p>
        </w:tc>
      </w:tr>
      <w:tr w:rsidR="00F212FE" w:rsidRPr="00242EB4" w14:paraId="6CEA2767" w14:textId="77777777" w:rsidTr="0055381F">
        <w:trPr>
          <w:gridAfter w:val="1"/>
          <w:wAfter w:w="118" w:type="dxa"/>
          <w:trHeight w:val="1240"/>
        </w:trPr>
        <w:tc>
          <w:tcPr>
            <w:tcW w:w="2076" w:type="dxa"/>
            <w:vMerge/>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7B1A65F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3EC75129"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7F8158D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Imparcialidad</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03A7D90"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7EEFB32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Fomenta la igualdad de oportunidades, asegurando que todos los colaboradores reciban un trato justo.</w:t>
            </w:r>
          </w:p>
        </w:tc>
        <w:tc>
          <w:tcPr>
            <w:tcW w:w="2506" w:type="dxa"/>
            <w:tcBorders>
              <w:top w:val="nil"/>
              <w:left w:val="nil"/>
              <w:bottom w:val="single" w:sz="4" w:space="0" w:color="auto"/>
              <w:right w:val="single" w:sz="4" w:space="0" w:color="auto"/>
            </w:tcBorders>
            <w:hideMark/>
          </w:tcPr>
          <w:p w14:paraId="4CBA02E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1276" w:type="dxa"/>
            <w:tcBorders>
              <w:top w:val="nil"/>
              <w:left w:val="nil"/>
              <w:bottom w:val="single" w:sz="4" w:space="0" w:color="auto"/>
              <w:right w:val="single" w:sz="4" w:space="0" w:color="auto"/>
            </w:tcBorders>
            <w:noWrap/>
            <w:vAlign w:val="center"/>
            <w:hideMark/>
          </w:tcPr>
          <w:p w14:paraId="170EBA21"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2977" w:type="dxa"/>
            <w:tcBorders>
              <w:top w:val="nil"/>
              <w:left w:val="nil"/>
              <w:bottom w:val="single" w:sz="4" w:space="0" w:color="auto"/>
              <w:right w:val="single" w:sz="4" w:space="0" w:color="auto"/>
            </w:tcBorders>
            <w:hideMark/>
          </w:tcPr>
          <w:p w14:paraId="2B0745C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Reforzar los principios de equidad en todos los procesos de RRHH y gestión del talento.</w:t>
            </w:r>
          </w:p>
        </w:tc>
        <w:tc>
          <w:tcPr>
            <w:tcW w:w="966" w:type="dxa"/>
            <w:tcBorders>
              <w:top w:val="nil"/>
              <w:left w:val="nil"/>
              <w:bottom w:val="single" w:sz="4" w:space="0" w:color="auto"/>
              <w:right w:val="single" w:sz="4" w:space="0" w:color="auto"/>
            </w:tcBorders>
            <w:noWrap/>
            <w:vAlign w:val="center"/>
            <w:hideMark/>
          </w:tcPr>
          <w:p w14:paraId="510CA93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6DC3F56C"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11AB1FA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Fortalece la cultura organizacional basada en derechos humanos.</w:t>
            </w:r>
          </w:p>
        </w:tc>
      </w:tr>
      <w:tr w:rsidR="00F212FE" w:rsidRPr="00242EB4" w14:paraId="21B80696" w14:textId="77777777" w:rsidTr="0055381F">
        <w:trPr>
          <w:gridAfter w:val="1"/>
          <w:wAfter w:w="118" w:type="dxa"/>
          <w:trHeight w:val="1550"/>
        </w:trPr>
        <w:tc>
          <w:tcPr>
            <w:tcW w:w="2076" w:type="dxa"/>
            <w:vMerge w:val="restart"/>
            <w:tcBorders>
              <w:top w:val="single" w:sz="4" w:space="0" w:color="auto"/>
              <w:left w:val="nil"/>
              <w:bottom w:val="nil"/>
              <w:right w:val="nil"/>
            </w:tcBorders>
            <w:shd w:val="clear" w:color="auto" w:fill="ED7D31" w:themeFill="accent2"/>
            <w:noWrap/>
            <w:vAlign w:val="bottom"/>
            <w:hideMark/>
          </w:tcPr>
          <w:p w14:paraId="6DF67D2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noProof/>
                <w:color w:val="000000"/>
                <w:sz w:val="24"/>
                <w:lang w:val="es-CR" w:eastAsia="es-CR"/>
              </w:rPr>
              <w:drawing>
                <wp:anchor distT="0" distB="0" distL="114300" distR="114300" simplePos="0" relativeHeight="251675648" behindDoc="0" locked="0" layoutInCell="1" allowOverlap="1" wp14:anchorId="6DB36E3E" wp14:editId="17992CF3">
                  <wp:simplePos x="0" y="0"/>
                  <wp:positionH relativeFrom="column">
                    <wp:posOffset>133350</wp:posOffset>
                  </wp:positionH>
                  <wp:positionV relativeFrom="paragraph">
                    <wp:posOffset>-2709545</wp:posOffset>
                  </wp:positionV>
                  <wp:extent cx="933450" cy="958850"/>
                  <wp:effectExtent l="0" t="0" r="0" b="0"/>
                  <wp:wrapNone/>
                  <wp:docPr id="52" name="Imagen 8">
                    <a:extLst xmlns:a="http://schemas.openxmlformats.org/drawingml/2006/main">
                      <a:ext uri="{FF2B5EF4-FFF2-40B4-BE49-F238E27FC236}">
                        <a16:creationId xmlns:a16="http://schemas.microsoft.com/office/drawing/2014/main" id="{00000000-0008-0000-0300-000034000000}"/>
                      </a:ext>
                    </a:extLst>
                  </wp:docPr>
                  <wp:cNvGraphicFramePr/>
                  <a:graphic xmlns:a="http://schemas.openxmlformats.org/drawingml/2006/main">
                    <a:graphicData uri="http://schemas.openxmlformats.org/drawingml/2006/picture">
                      <pic:pic xmlns:pic="http://schemas.openxmlformats.org/drawingml/2006/picture">
                        <pic:nvPicPr>
                          <pic:cNvPr id="52" name="Picture 51">
                            <a:extLst>
                              <a:ext uri="{FF2B5EF4-FFF2-40B4-BE49-F238E27FC236}">
                                <a16:creationId xmlns:a16="http://schemas.microsoft.com/office/drawing/2014/main" id="{00000000-0008-0000-0300-000034000000}"/>
                              </a:ext>
                            </a:extLst>
                          </pic:cNvPr>
                          <pic:cNvPicPr>
                            <a:picLocks noChangeAspect="1"/>
                          </pic:cNvPicPr>
                        </pic:nvPicPr>
                        <pic:blipFill>
                          <a:blip r:embed="rId41"/>
                          <a:stretch>
                            <a:fillRect/>
                          </a:stretch>
                        </pic:blipFill>
                        <pic:spPr>
                          <a:xfrm>
                            <a:off x="0" y="0"/>
                            <a:ext cx="933450" cy="958850"/>
                          </a:xfrm>
                          <a:prstGeom prst="rect">
                            <a:avLst/>
                          </a:prstGeom>
                        </pic:spPr>
                      </pic:pic>
                    </a:graphicData>
                  </a:graphic>
                  <wp14:sizeRelH relativeFrom="page">
                    <wp14:pctWidth>0</wp14:pctWidth>
                  </wp14:sizeRelH>
                  <wp14:sizeRelV relativeFrom="page">
                    <wp14:pctHeight>0</wp14:pctHeight>
                  </wp14:sizeRelV>
                </wp:anchor>
              </w:drawing>
            </w:r>
          </w:p>
          <w:p w14:paraId="242CEA6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val="restart"/>
            <w:tcBorders>
              <w:top w:val="nil"/>
              <w:left w:val="single" w:sz="4" w:space="0" w:color="auto"/>
              <w:bottom w:val="single" w:sz="4" w:space="0" w:color="auto"/>
              <w:right w:val="single" w:sz="4" w:space="0" w:color="auto"/>
            </w:tcBorders>
            <w:shd w:val="clear" w:color="000000" w:fill="F2F2F2"/>
            <w:vAlign w:val="center"/>
            <w:hideMark/>
          </w:tcPr>
          <w:p w14:paraId="6A29877F"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r w:rsidRPr="00242EB4">
              <w:rPr>
                <w:rFonts w:ascii="Calibri" w:eastAsia="Times New Roman" w:hAnsi="Calibri" w:cs="Calibri"/>
                <w:color w:val="000000"/>
                <w:sz w:val="18"/>
                <w:szCs w:val="18"/>
                <w:lang w:val="es-CR" w:eastAsia="es-CR"/>
              </w:rPr>
              <w:t>Trabajo forzado e involuntario significa cualquier trabajo o servicio que se obtiene de una persona bajo la amenaza de una acción punitiva contra ella o sus familias. Incluye trabajo donde el pago está por debajo de los niveles de subsistencia, o donde el pago es en bienes que no son deseables. El trabajo forzado e involuntario puede adoptar muchas formas, como la trata de personas, la servidumbre por deudas, la esclavitud y jornadas laborales injustamente largas</w:t>
            </w:r>
          </w:p>
        </w:tc>
        <w:tc>
          <w:tcPr>
            <w:tcW w:w="1701" w:type="dxa"/>
            <w:tcBorders>
              <w:top w:val="nil"/>
              <w:left w:val="nil"/>
              <w:bottom w:val="single" w:sz="4" w:space="0" w:color="auto"/>
              <w:right w:val="single" w:sz="4" w:space="0" w:color="auto"/>
            </w:tcBorders>
            <w:shd w:val="clear" w:color="000000" w:fill="F2F2F2"/>
            <w:noWrap/>
            <w:vAlign w:val="center"/>
            <w:hideMark/>
          </w:tcPr>
          <w:p w14:paraId="56400CA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Vida Útil</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232EDC9"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26D926E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La subcontratación sin verificación de condiciones laborales puede derivar en violaciones a derechos humanos.</w:t>
            </w:r>
          </w:p>
        </w:tc>
        <w:tc>
          <w:tcPr>
            <w:tcW w:w="2506" w:type="dxa"/>
            <w:tcBorders>
              <w:top w:val="nil"/>
              <w:left w:val="nil"/>
              <w:bottom w:val="single" w:sz="4" w:space="0" w:color="auto"/>
              <w:right w:val="single" w:sz="4" w:space="0" w:color="auto"/>
            </w:tcBorders>
            <w:hideMark/>
          </w:tcPr>
          <w:p w14:paraId="73B6B240" w14:textId="77777777" w:rsidR="00F212FE" w:rsidRPr="00C26E44" w:rsidRDefault="00F212FE" w:rsidP="0055381F">
            <w:pPr>
              <w:spacing w:line="240" w:lineRule="auto"/>
              <w:ind w:firstLine="0"/>
            </w:pPr>
            <w:r w:rsidRPr="00242EB4">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Si no se aseguran condiciones justas y voluntarias, se arriesga la reputación del proyecto y su legado social a largo plazo.</w:t>
            </w:r>
          </w:p>
        </w:tc>
        <w:tc>
          <w:tcPr>
            <w:tcW w:w="1276" w:type="dxa"/>
            <w:tcBorders>
              <w:top w:val="nil"/>
              <w:left w:val="nil"/>
              <w:bottom w:val="single" w:sz="4" w:space="0" w:color="auto"/>
              <w:right w:val="single" w:sz="4" w:space="0" w:color="auto"/>
            </w:tcBorders>
            <w:noWrap/>
            <w:vAlign w:val="center"/>
            <w:hideMark/>
          </w:tcPr>
          <w:p w14:paraId="42E139E2"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55767E0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Incluir cláusulas contractuales de cumplimiento ético-laboral y auditorías sociales periódicas a subcontratistas.</w:t>
            </w:r>
          </w:p>
        </w:tc>
        <w:tc>
          <w:tcPr>
            <w:tcW w:w="966" w:type="dxa"/>
            <w:tcBorders>
              <w:top w:val="nil"/>
              <w:left w:val="nil"/>
              <w:bottom w:val="single" w:sz="4" w:space="0" w:color="auto"/>
              <w:right w:val="single" w:sz="4" w:space="0" w:color="auto"/>
            </w:tcBorders>
            <w:noWrap/>
            <w:vAlign w:val="center"/>
            <w:hideMark/>
          </w:tcPr>
          <w:p w14:paraId="3DCD8DBD"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11C3522C"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0D34128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Mejora en la trazabilidad ética del proyecto y su aceptación a largo plazo por las partes interesadas.</w:t>
            </w:r>
          </w:p>
        </w:tc>
      </w:tr>
      <w:tr w:rsidR="00F212FE" w:rsidRPr="00242EB4" w14:paraId="1CB2074E" w14:textId="77777777" w:rsidTr="0055381F">
        <w:trPr>
          <w:gridAfter w:val="1"/>
          <w:wAfter w:w="118" w:type="dxa"/>
          <w:trHeight w:val="1240"/>
        </w:trPr>
        <w:tc>
          <w:tcPr>
            <w:tcW w:w="2076" w:type="dxa"/>
            <w:vMerge/>
            <w:tcBorders>
              <w:top w:val="nil"/>
              <w:left w:val="nil"/>
              <w:bottom w:val="nil"/>
              <w:right w:val="nil"/>
            </w:tcBorders>
            <w:shd w:val="clear" w:color="auto" w:fill="ED7D31" w:themeFill="accent2"/>
            <w:vAlign w:val="center"/>
            <w:hideMark/>
          </w:tcPr>
          <w:p w14:paraId="2BE162C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00979F00"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53BB7EA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Mantenimiento</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AF649E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357DC63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No existen mecanismos de monitoreo continuo de condiciones laborales una vez iniciadas las obras.</w:t>
            </w:r>
          </w:p>
        </w:tc>
        <w:tc>
          <w:tcPr>
            <w:tcW w:w="2506" w:type="dxa"/>
            <w:tcBorders>
              <w:top w:val="nil"/>
              <w:left w:val="nil"/>
              <w:bottom w:val="single" w:sz="4" w:space="0" w:color="auto"/>
              <w:right w:val="single" w:sz="4" w:space="0" w:color="auto"/>
            </w:tcBorders>
            <w:hideMark/>
          </w:tcPr>
          <w:p w14:paraId="3529CE4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La falta de seguimiento puede permitir prácticas abusivas sin ser detectadas.</w:t>
            </w:r>
          </w:p>
        </w:tc>
        <w:tc>
          <w:tcPr>
            <w:tcW w:w="1276" w:type="dxa"/>
            <w:tcBorders>
              <w:top w:val="nil"/>
              <w:left w:val="nil"/>
              <w:bottom w:val="single" w:sz="4" w:space="0" w:color="auto"/>
              <w:right w:val="single" w:sz="4" w:space="0" w:color="auto"/>
            </w:tcBorders>
            <w:noWrap/>
            <w:vAlign w:val="center"/>
            <w:hideMark/>
          </w:tcPr>
          <w:p w14:paraId="1FDC1ACB"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2977" w:type="dxa"/>
            <w:tcBorders>
              <w:top w:val="nil"/>
              <w:left w:val="nil"/>
              <w:bottom w:val="single" w:sz="4" w:space="0" w:color="auto"/>
              <w:right w:val="single" w:sz="4" w:space="0" w:color="auto"/>
            </w:tcBorders>
            <w:hideMark/>
          </w:tcPr>
          <w:p w14:paraId="59FCA7C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Establecer visitas periódicas de supervisión con enfoque en cumplimiento de normas laborales justas.</w:t>
            </w:r>
          </w:p>
        </w:tc>
        <w:tc>
          <w:tcPr>
            <w:tcW w:w="966" w:type="dxa"/>
            <w:tcBorders>
              <w:top w:val="nil"/>
              <w:left w:val="nil"/>
              <w:bottom w:val="single" w:sz="4" w:space="0" w:color="auto"/>
              <w:right w:val="single" w:sz="4" w:space="0" w:color="auto"/>
            </w:tcBorders>
            <w:noWrap/>
            <w:vAlign w:val="center"/>
            <w:hideMark/>
          </w:tcPr>
          <w:p w14:paraId="4CBD4274"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992" w:type="dxa"/>
            <w:tcBorders>
              <w:top w:val="nil"/>
              <w:left w:val="nil"/>
              <w:bottom w:val="single" w:sz="4" w:space="0" w:color="auto"/>
              <w:right w:val="single" w:sz="4" w:space="0" w:color="auto"/>
            </w:tcBorders>
            <w:noWrap/>
            <w:vAlign w:val="center"/>
            <w:hideMark/>
          </w:tcPr>
          <w:p w14:paraId="13AB28B8"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2845E6B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Se reduce el riesgo de abusos y se fortalecen los sistemas de control interno.</w:t>
            </w:r>
          </w:p>
        </w:tc>
      </w:tr>
      <w:tr w:rsidR="00F212FE" w:rsidRPr="00242EB4" w14:paraId="34AE4B4A" w14:textId="77777777" w:rsidTr="0055381F">
        <w:trPr>
          <w:gridAfter w:val="1"/>
          <w:wAfter w:w="118" w:type="dxa"/>
          <w:trHeight w:val="1550"/>
        </w:trPr>
        <w:tc>
          <w:tcPr>
            <w:tcW w:w="2076" w:type="dxa"/>
            <w:vMerge/>
            <w:tcBorders>
              <w:top w:val="nil"/>
              <w:left w:val="nil"/>
              <w:bottom w:val="nil"/>
              <w:right w:val="nil"/>
            </w:tcBorders>
            <w:shd w:val="clear" w:color="auto" w:fill="ED7D31" w:themeFill="accent2"/>
            <w:vAlign w:val="center"/>
            <w:hideMark/>
          </w:tcPr>
          <w:p w14:paraId="74CEED9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417E754E"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2B67001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Eficacia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97B2229"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73DA546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Las condiciones laborales precarias pueden reducir la motivación y desempeño de los trabajadores.</w:t>
            </w:r>
          </w:p>
        </w:tc>
        <w:tc>
          <w:tcPr>
            <w:tcW w:w="2506" w:type="dxa"/>
            <w:tcBorders>
              <w:top w:val="nil"/>
              <w:left w:val="nil"/>
              <w:bottom w:val="single" w:sz="4" w:space="0" w:color="auto"/>
              <w:right w:val="single" w:sz="4" w:space="0" w:color="auto"/>
            </w:tcBorders>
            <w:hideMark/>
          </w:tcPr>
          <w:p w14:paraId="19E43D7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Un entorno de trabajo injusto afecta negativamente la productividad y el cumplimiento de cronogramas.</w:t>
            </w:r>
          </w:p>
        </w:tc>
        <w:tc>
          <w:tcPr>
            <w:tcW w:w="1276" w:type="dxa"/>
            <w:tcBorders>
              <w:top w:val="nil"/>
              <w:left w:val="nil"/>
              <w:bottom w:val="single" w:sz="4" w:space="0" w:color="auto"/>
              <w:right w:val="single" w:sz="4" w:space="0" w:color="auto"/>
            </w:tcBorders>
            <w:noWrap/>
            <w:vAlign w:val="center"/>
            <w:hideMark/>
          </w:tcPr>
          <w:p w14:paraId="641706D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626DAB8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Garantizar jornadas razonables, pagos justos y espacios de descanso adecuados en todos los sitios del proyecto.</w:t>
            </w:r>
          </w:p>
        </w:tc>
        <w:tc>
          <w:tcPr>
            <w:tcW w:w="966" w:type="dxa"/>
            <w:tcBorders>
              <w:top w:val="nil"/>
              <w:left w:val="nil"/>
              <w:bottom w:val="single" w:sz="4" w:space="0" w:color="auto"/>
              <w:right w:val="single" w:sz="4" w:space="0" w:color="auto"/>
            </w:tcBorders>
            <w:noWrap/>
            <w:vAlign w:val="center"/>
            <w:hideMark/>
          </w:tcPr>
          <w:p w14:paraId="245998C8"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1C47027B"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6B36E9A5"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Aumento en la calidad del trabajo y en la satisfacción del personal.</w:t>
            </w:r>
          </w:p>
        </w:tc>
      </w:tr>
      <w:tr w:rsidR="00F212FE" w:rsidRPr="00242EB4" w14:paraId="181770BC" w14:textId="77777777" w:rsidTr="0055381F">
        <w:trPr>
          <w:gridAfter w:val="1"/>
          <w:wAfter w:w="118" w:type="dxa"/>
          <w:trHeight w:val="1240"/>
        </w:trPr>
        <w:tc>
          <w:tcPr>
            <w:tcW w:w="2076" w:type="dxa"/>
            <w:vMerge/>
            <w:tcBorders>
              <w:top w:val="nil"/>
              <w:left w:val="nil"/>
              <w:bottom w:val="nil"/>
              <w:right w:val="nil"/>
            </w:tcBorders>
            <w:shd w:val="clear" w:color="auto" w:fill="ED7D31" w:themeFill="accent2"/>
            <w:vAlign w:val="center"/>
            <w:hideMark/>
          </w:tcPr>
          <w:p w14:paraId="1D8B228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7DB8B4A3"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31F6CD5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Eficiencia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4318E99"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5C3882A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Los retrasos por conflictos laborales o rotación alta de personal impactan los costos y plazos.</w:t>
            </w:r>
          </w:p>
        </w:tc>
        <w:tc>
          <w:tcPr>
            <w:tcW w:w="2506" w:type="dxa"/>
            <w:tcBorders>
              <w:top w:val="nil"/>
              <w:left w:val="nil"/>
              <w:bottom w:val="single" w:sz="4" w:space="0" w:color="auto"/>
              <w:right w:val="single" w:sz="4" w:space="0" w:color="auto"/>
            </w:tcBorders>
            <w:hideMark/>
          </w:tcPr>
          <w:p w14:paraId="7EF969A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La ineficiencia operativa incrementa el presupuesto y puede afectar la rentabilidad del proyecto.</w:t>
            </w:r>
          </w:p>
        </w:tc>
        <w:tc>
          <w:tcPr>
            <w:tcW w:w="1276" w:type="dxa"/>
            <w:tcBorders>
              <w:top w:val="nil"/>
              <w:left w:val="nil"/>
              <w:bottom w:val="single" w:sz="4" w:space="0" w:color="auto"/>
              <w:right w:val="single" w:sz="4" w:space="0" w:color="auto"/>
            </w:tcBorders>
            <w:noWrap/>
            <w:vAlign w:val="center"/>
            <w:hideMark/>
          </w:tcPr>
          <w:p w14:paraId="4156365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236F23A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Incluir en la planificación una política preventiva de riesgos laborales y estrategias de fidelización del personal.</w:t>
            </w:r>
          </w:p>
        </w:tc>
        <w:tc>
          <w:tcPr>
            <w:tcW w:w="966" w:type="dxa"/>
            <w:tcBorders>
              <w:top w:val="nil"/>
              <w:left w:val="nil"/>
              <w:bottom w:val="single" w:sz="4" w:space="0" w:color="auto"/>
              <w:right w:val="single" w:sz="4" w:space="0" w:color="auto"/>
            </w:tcBorders>
            <w:noWrap/>
            <w:vAlign w:val="center"/>
            <w:hideMark/>
          </w:tcPr>
          <w:p w14:paraId="79B6E600"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992" w:type="dxa"/>
            <w:tcBorders>
              <w:top w:val="nil"/>
              <w:left w:val="nil"/>
              <w:bottom w:val="single" w:sz="4" w:space="0" w:color="auto"/>
              <w:right w:val="single" w:sz="4" w:space="0" w:color="auto"/>
            </w:tcBorders>
            <w:noWrap/>
            <w:vAlign w:val="center"/>
            <w:hideMark/>
          </w:tcPr>
          <w:p w14:paraId="78A27A4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0C39950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Reducción de paros y mejor aprovechamiento del recurso humano.</w:t>
            </w:r>
          </w:p>
        </w:tc>
      </w:tr>
      <w:tr w:rsidR="00F212FE" w:rsidRPr="00242EB4" w14:paraId="02EE7235" w14:textId="77777777" w:rsidTr="0055381F">
        <w:trPr>
          <w:gridAfter w:val="1"/>
          <w:wAfter w:w="118" w:type="dxa"/>
          <w:trHeight w:val="1550"/>
        </w:trPr>
        <w:tc>
          <w:tcPr>
            <w:tcW w:w="2076" w:type="dxa"/>
            <w:vMerge/>
            <w:tcBorders>
              <w:top w:val="nil"/>
              <w:left w:val="nil"/>
              <w:bottom w:val="single" w:sz="4" w:space="0" w:color="auto"/>
              <w:right w:val="nil"/>
            </w:tcBorders>
            <w:shd w:val="clear" w:color="auto" w:fill="ED7D31" w:themeFill="accent2"/>
            <w:vAlign w:val="center"/>
            <w:hideMark/>
          </w:tcPr>
          <w:p w14:paraId="564C967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53344517"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174B6D9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Imparcialidad</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3B89C8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1C59393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Falta de políticas explícitas que prevengan coerción laboral o explotación, especialmente en contratación indirecta.</w:t>
            </w:r>
          </w:p>
        </w:tc>
        <w:tc>
          <w:tcPr>
            <w:tcW w:w="2506" w:type="dxa"/>
            <w:tcBorders>
              <w:top w:val="nil"/>
              <w:left w:val="nil"/>
              <w:bottom w:val="single" w:sz="4" w:space="0" w:color="auto"/>
              <w:right w:val="single" w:sz="4" w:space="0" w:color="auto"/>
            </w:tcBorders>
            <w:hideMark/>
          </w:tcPr>
          <w:p w14:paraId="25F3B9F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Se pueden generar violaciones éticas graves que afecten la imagen y legitimidad del proyecto.</w:t>
            </w:r>
          </w:p>
        </w:tc>
        <w:tc>
          <w:tcPr>
            <w:tcW w:w="1276" w:type="dxa"/>
            <w:tcBorders>
              <w:top w:val="nil"/>
              <w:left w:val="nil"/>
              <w:bottom w:val="single" w:sz="4" w:space="0" w:color="auto"/>
              <w:right w:val="single" w:sz="4" w:space="0" w:color="auto"/>
            </w:tcBorders>
            <w:noWrap/>
            <w:vAlign w:val="center"/>
            <w:hideMark/>
          </w:tcPr>
          <w:p w14:paraId="1232C05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400930C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Aplicar políticas de debida diligencia y trazabilidad de contratación en toda la cadena de proveedores y subcontratistas.</w:t>
            </w:r>
          </w:p>
        </w:tc>
        <w:tc>
          <w:tcPr>
            <w:tcW w:w="966" w:type="dxa"/>
            <w:tcBorders>
              <w:top w:val="nil"/>
              <w:left w:val="nil"/>
              <w:bottom w:val="single" w:sz="4" w:space="0" w:color="auto"/>
              <w:right w:val="single" w:sz="4" w:space="0" w:color="auto"/>
            </w:tcBorders>
            <w:noWrap/>
            <w:vAlign w:val="center"/>
            <w:hideMark/>
          </w:tcPr>
          <w:p w14:paraId="3BA223F4"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564A2EAA"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76ED269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Refuerzo del compromiso con los derechos humanos y la transparencia en el proceso de ejecución.</w:t>
            </w:r>
          </w:p>
        </w:tc>
      </w:tr>
      <w:tr w:rsidR="00F212FE" w:rsidRPr="00242EB4" w14:paraId="23ACD74E" w14:textId="77777777" w:rsidTr="0055381F">
        <w:trPr>
          <w:gridAfter w:val="1"/>
          <w:wAfter w:w="118" w:type="dxa"/>
          <w:trHeight w:val="310"/>
        </w:trPr>
        <w:tc>
          <w:tcPr>
            <w:tcW w:w="2076" w:type="dxa"/>
            <w:vMerge w:val="restart"/>
            <w:tcBorders>
              <w:top w:val="single" w:sz="4" w:space="0" w:color="auto"/>
              <w:left w:val="single" w:sz="4" w:space="0" w:color="auto"/>
              <w:bottom w:val="single" w:sz="4" w:space="0" w:color="auto"/>
              <w:right w:val="nil"/>
            </w:tcBorders>
            <w:shd w:val="clear" w:color="auto" w:fill="ED7D31" w:themeFill="accent2"/>
            <w:noWrap/>
            <w:vAlign w:val="bottom"/>
            <w:hideMark/>
          </w:tcPr>
          <w:p w14:paraId="10A01EC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noProof/>
                <w:color w:val="000000"/>
                <w:sz w:val="24"/>
                <w:lang w:val="es-CR" w:eastAsia="es-CR"/>
              </w:rPr>
              <w:drawing>
                <wp:anchor distT="0" distB="0" distL="114300" distR="114300" simplePos="0" relativeHeight="251676672" behindDoc="0" locked="0" layoutInCell="1" allowOverlap="1" wp14:anchorId="6A5E1375" wp14:editId="361D5DA6">
                  <wp:simplePos x="0" y="0"/>
                  <wp:positionH relativeFrom="column">
                    <wp:posOffset>158750</wp:posOffset>
                  </wp:positionH>
                  <wp:positionV relativeFrom="paragraph">
                    <wp:posOffset>-1155700</wp:posOffset>
                  </wp:positionV>
                  <wp:extent cx="939800" cy="939800"/>
                  <wp:effectExtent l="0" t="0" r="0" b="0"/>
                  <wp:wrapNone/>
                  <wp:docPr id="54" name="Imagen 7">
                    <a:extLst xmlns:a="http://schemas.openxmlformats.org/drawingml/2006/main">
                      <a:ext uri="{FF2B5EF4-FFF2-40B4-BE49-F238E27FC236}">
                        <a16:creationId xmlns:a16="http://schemas.microsoft.com/office/drawing/2014/main" id="{00000000-0008-0000-0300-000036000000}"/>
                      </a:ext>
                    </a:extLst>
                  </wp:docPr>
                  <wp:cNvGraphicFramePr/>
                  <a:graphic xmlns:a="http://schemas.openxmlformats.org/drawingml/2006/main">
                    <a:graphicData uri="http://schemas.openxmlformats.org/drawingml/2006/picture">
                      <pic:pic xmlns:pic="http://schemas.openxmlformats.org/drawingml/2006/picture">
                        <pic:nvPicPr>
                          <pic:cNvPr id="54" name="Picture 53">
                            <a:extLst>
                              <a:ext uri="{FF2B5EF4-FFF2-40B4-BE49-F238E27FC236}">
                                <a16:creationId xmlns:a16="http://schemas.microsoft.com/office/drawing/2014/main" id="{00000000-0008-0000-0300-000036000000}"/>
                              </a:ext>
                            </a:extLst>
                          </pic:cNvPr>
                          <pic:cNvPicPr>
                            <a:picLocks noChangeAspect="1"/>
                          </pic:cNvPicPr>
                        </pic:nvPicPr>
                        <pic:blipFill>
                          <a:blip r:embed="rId42"/>
                          <a:stretch>
                            <a:fillRect/>
                          </a:stretch>
                        </pic:blipFill>
                        <pic:spPr>
                          <a:xfrm>
                            <a:off x="0" y="0"/>
                            <a:ext cx="939800" cy="939800"/>
                          </a:xfrm>
                          <a:prstGeom prst="rect">
                            <a:avLst/>
                          </a:prstGeom>
                        </pic:spPr>
                      </pic:pic>
                    </a:graphicData>
                  </a:graphic>
                  <wp14:sizeRelH relativeFrom="page">
                    <wp14:pctWidth>0</wp14:pctWidth>
                  </wp14:sizeRelH>
                  <wp14:sizeRelV relativeFrom="page">
                    <wp14:pctHeight>0</wp14:pctHeight>
                  </wp14:sizeRelV>
                </wp:anchor>
              </w:drawing>
            </w:r>
          </w:p>
          <w:p w14:paraId="69C911E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val="restart"/>
            <w:tcBorders>
              <w:top w:val="nil"/>
              <w:left w:val="single" w:sz="4" w:space="0" w:color="auto"/>
              <w:bottom w:val="single" w:sz="4" w:space="0" w:color="auto"/>
              <w:right w:val="single" w:sz="4" w:space="0" w:color="auto"/>
            </w:tcBorders>
            <w:shd w:val="clear" w:color="000000" w:fill="F2F2F2"/>
            <w:vAlign w:val="center"/>
            <w:hideMark/>
          </w:tcPr>
          <w:p w14:paraId="61C1C84D"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r w:rsidRPr="00242EB4">
              <w:rPr>
                <w:rFonts w:ascii="Calibri" w:eastAsia="Times New Roman" w:hAnsi="Calibri" w:cs="Calibri"/>
                <w:color w:val="000000"/>
                <w:sz w:val="18"/>
                <w:szCs w:val="18"/>
                <w:lang w:val="es-CR" w:eastAsia="es-CR"/>
              </w:rPr>
              <w:t xml:space="preserve">Dignidad, diversidad, equidad e inclusión (DDEI) es un conjunto de valores, principios y prácticas que crean un entorno en el que todos los involucrados en el proyecto se sienten respetados, seguros y valorados. También implica brindar </w:t>
            </w:r>
            <w:r w:rsidRPr="00242EB4">
              <w:rPr>
                <w:rFonts w:ascii="Calibri" w:eastAsia="Times New Roman" w:hAnsi="Calibri" w:cs="Calibri"/>
                <w:color w:val="000000"/>
                <w:sz w:val="18"/>
                <w:szCs w:val="18"/>
                <w:lang w:val="es-CR" w:eastAsia="es-CR"/>
              </w:rPr>
              <w:lastRenderedPageBreak/>
              <w:t>oportunidades para que todos participen en los procesos de toma de decisiones relevantes sin enfrentar discriminación o ser objeto de un trato injusto.</w:t>
            </w:r>
          </w:p>
        </w:tc>
        <w:tc>
          <w:tcPr>
            <w:tcW w:w="1701" w:type="dxa"/>
            <w:tcBorders>
              <w:top w:val="nil"/>
              <w:left w:val="nil"/>
              <w:bottom w:val="single" w:sz="4" w:space="0" w:color="auto"/>
              <w:right w:val="single" w:sz="4" w:space="0" w:color="auto"/>
            </w:tcBorders>
            <w:shd w:val="clear" w:color="000000" w:fill="F2F2F2"/>
            <w:noWrap/>
            <w:vAlign w:val="center"/>
            <w:hideMark/>
          </w:tcPr>
          <w:p w14:paraId="622E20F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lastRenderedPageBreak/>
              <w:t>Vida Útil</w:t>
            </w:r>
          </w:p>
        </w:tc>
        <w:tc>
          <w:tcPr>
            <w:tcW w:w="86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EB297C4"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No</w:t>
            </w:r>
          </w:p>
        </w:tc>
        <w:tc>
          <w:tcPr>
            <w:tcW w:w="2897" w:type="dxa"/>
            <w:tcBorders>
              <w:top w:val="single" w:sz="4" w:space="0" w:color="auto"/>
              <w:left w:val="single" w:sz="4" w:space="0" w:color="auto"/>
              <w:bottom w:val="single" w:sz="4" w:space="0" w:color="auto"/>
              <w:right w:val="single" w:sz="4" w:space="0" w:color="auto"/>
            </w:tcBorders>
            <w:shd w:val="clear" w:color="000000" w:fill="BFBFBF"/>
            <w:hideMark/>
          </w:tcPr>
          <w:p w14:paraId="4475085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2506" w:type="dxa"/>
            <w:tcBorders>
              <w:top w:val="single" w:sz="4" w:space="0" w:color="auto"/>
              <w:left w:val="single" w:sz="4" w:space="0" w:color="auto"/>
              <w:bottom w:val="single" w:sz="4" w:space="0" w:color="auto"/>
              <w:right w:val="single" w:sz="4" w:space="0" w:color="auto"/>
            </w:tcBorders>
            <w:shd w:val="clear" w:color="000000" w:fill="BFBFBF"/>
            <w:hideMark/>
          </w:tcPr>
          <w:p w14:paraId="58CE4FD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1276" w:type="dxa"/>
            <w:tcBorders>
              <w:top w:val="nil"/>
              <w:left w:val="nil"/>
              <w:bottom w:val="single" w:sz="4" w:space="0" w:color="auto"/>
              <w:right w:val="single" w:sz="4" w:space="0" w:color="auto"/>
            </w:tcBorders>
            <w:noWrap/>
            <w:vAlign w:val="center"/>
            <w:hideMark/>
          </w:tcPr>
          <w:p w14:paraId="7DD9E190"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2977" w:type="dxa"/>
            <w:tcBorders>
              <w:top w:val="single" w:sz="4" w:space="0" w:color="auto"/>
              <w:left w:val="single" w:sz="4" w:space="0" w:color="auto"/>
              <w:bottom w:val="single" w:sz="4" w:space="0" w:color="auto"/>
              <w:right w:val="single" w:sz="4" w:space="0" w:color="auto"/>
            </w:tcBorders>
            <w:shd w:val="clear" w:color="000000" w:fill="BFBFBF"/>
            <w:hideMark/>
          </w:tcPr>
          <w:p w14:paraId="2AAF582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966" w:type="dxa"/>
            <w:tcBorders>
              <w:top w:val="nil"/>
              <w:left w:val="nil"/>
              <w:bottom w:val="single" w:sz="4" w:space="0" w:color="auto"/>
              <w:right w:val="single" w:sz="4" w:space="0" w:color="auto"/>
            </w:tcBorders>
            <w:noWrap/>
            <w:vAlign w:val="center"/>
            <w:hideMark/>
          </w:tcPr>
          <w:p w14:paraId="23D6DB1E"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99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4A0D1CA"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0</w:t>
            </w:r>
          </w:p>
        </w:tc>
        <w:tc>
          <w:tcPr>
            <w:tcW w:w="3520" w:type="dxa"/>
            <w:tcBorders>
              <w:top w:val="single" w:sz="4" w:space="0" w:color="auto"/>
              <w:left w:val="single" w:sz="4" w:space="0" w:color="auto"/>
              <w:bottom w:val="single" w:sz="4" w:space="0" w:color="auto"/>
              <w:right w:val="single" w:sz="4" w:space="0" w:color="auto"/>
            </w:tcBorders>
            <w:shd w:val="clear" w:color="000000" w:fill="BFBFBF"/>
            <w:hideMark/>
          </w:tcPr>
          <w:p w14:paraId="289CD53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r>
      <w:tr w:rsidR="00F212FE" w:rsidRPr="00242EB4" w14:paraId="64A94B5B" w14:textId="77777777" w:rsidTr="0055381F">
        <w:trPr>
          <w:gridAfter w:val="1"/>
          <w:wAfter w:w="118" w:type="dxa"/>
          <w:trHeight w:val="31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38CC9EE2"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1CF80BE3"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72ECB76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Mantenimiento</w:t>
            </w:r>
          </w:p>
        </w:tc>
        <w:tc>
          <w:tcPr>
            <w:tcW w:w="86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E444C71"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No</w:t>
            </w:r>
          </w:p>
        </w:tc>
        <w:tc>
          <w:tcPr>
            <w:tcW w:w="2897" w:type="dxa"/>
            <w:tcBorders>
              <w:top w:val="single" w:sz="4" w:space="0" w:color="auto"/>
              <w:left w:val="single" w:sz="4" w:space="0" w:color="auto"/>
              <w:bottom w:val="single" w:sz="4" w:space="0" w:color="auto"/>
              <w:right w:val="single" w:sz="4" w:space="0" w:color="auto"/>
            </w:tcBorders>
            <w:shd w:val="clear" w:color="000000" w:fill="BFBFBF"/>
            <w:hideMark/>
          </w:tcPr>
          <w:p w14:paraId="1D35987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2506" w:type="dxa"/>
            <w:tcBorders>
              <w:top w:val="single" w:sz="4" w:space="0" w:color="auto"/>
              <w:left w:val="single" w:sz="4" w:space="0" w:color="auto"/>
              <w:bottom w:val="single" w:sz="4" w:space="0" w:color="auto"/>
              <w:right w:val="single" w:sz="4" w:space="0" w:color="auto"/>
            </w:tcBorders>
            <w:shd w:val="clear" w:color="000000" w:fill="BFBFBF"/>
            <w:hideMark/>
          </w:tcPr>
          <w:p w14:paraId="2C25F79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1276" w:type="dxa"/>
            <w:tcBorders>
              <w:top w:val="nil"/>
              <w:left w:val="nil"/>
              <w:bottom w:val="single" w:sz="4" w:space="0" w:color="auto"/>
              <w:right w:val="single" w:sz="4" w:space="0" w:color="auto"/>
            </w:tcBorders>
            <w:noWrap/>
            <w:vAlign w:val="center"/>
            <w:hideMark/>
          </w:tcPr>
          <w:p w14:paraId="47988C89"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2977" w:type="dxa"/>
            <w:tcBorders>
              <w:top w:val="single" w:sz="4" w:space="0" w:color="auto"/>
              <w:left w:val="single" w:sz="4" w:space="0" w:color="auto"/>
              <w:bottom w:val="single" w:sz="4" w:space="0" w:color="auto"/>
              <w:right w:val="single" w:sz="4" w:space="0" w:color="auto"/>
            </w:tcBorders>
            <w:shd w:val="clear" w:color="000000" w:fill="BFBFBF"/>
            <w:hideMark/>
          </w:tcPr>
          <w:p w14:paraId="4254497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966" w:type="dxa"/>
            <w:tcBorders>
              <w:top w:val="nil"/>
              <w:left w:val="nil"/>
              <w:bottom w:val="single" w:sz="4" w:space="0" w:color="auto"/>
              <w:right w:val="single" w:sz="4" w:space="0" w:color="auto"/>
            </w:tcBorders>
            <w:noWrap/>
            <w:vAlign w:val="center"/>
            <w:hideMark/>
          </w:tcPr>
          <w:p w14:paraId="369286E9"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c>
          <w:tcPr>
            <w:tcW w:w="99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E4E7316"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0</w:t>
            </w:r>
          </w:p>
        </w:tc>
        <w:tc>
          <w:tcPr>
            <w:tcW w:w="3520" w:type="dxa"/>
            <w:tcBorders>
              <w:top w:val="single" w:sz="4" w:space="0" w:color="auto"/>
              <w:left w:val="single" w:sz="4" w:space="0" w:color="auto"/>
              <w:bottom w:val="single" w:sz="4" w:space="0" w:color="auto"/>
              <w:right w:val="single" w:sz="4" w:space="0" w:color="auto"/>
            </w:tcBorders>
            <w:shd w:val="clear" w:color="000000" w:fill="BFBFBF"/>
            <w:hideMark/>
          </w:tcPr>
          <w:p w14:paraId="12A1CFB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p>
        </w:tc>
      </w:tr>
      <w:tr w:rsidR="00F212FE" w:rsidRPr="00242EB4" w14:paraId="3F7C088C" w14:textId="77777777" w:rsidTr="0055381F">
        <w:trPr>
          <w:gridAfter w:val="1"/>
          <w:wAfter w:w="118" w:type="dxa"/>
          <w:trHeight w:val="186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4DBCD9A5"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60F664E2"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6789190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Eficacia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192F798"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4E313CF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Un entorno de trabajo respetuoso, inclusivo y equitativo mejora la participación y desempeño del equipo.</w:t>
            </w:r>
          </w:p>
        </w:tc>
        <w:tc>
          <w:tcPr>
            <w:tcW w:w="2506" w:type="dxa"/>
            <w:tcBorders>
              <w:top w:val="nil"/>
              <w:left w:val="nil"/>
              <w:bottom w:val="single" w:sz="4" w:space="0" w:color="auto"/>
              <w:right w:val="single" w:sz="4" w:space="0" w:color="auto"/>
            </w:tcBorders>
            <w:hideMark/>
          </w:tcPr>
          <w:p w14:paraId="51FC92C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Contribuye al cumplimiento eficaz de objetivos del proyecto mediante un equipo motivado y valorado.</w:t>
            </w:r>
          </w:p>
        </w:tc>
        <w:tc>
          <w:tcPr>
            <w:tcW w:w="1276" w:type="dxa"/>
            <w:tcBorders>
              <w:top w:val="nil"/>
              <w:left w:val="nil"/>
              <w:bottom w:val="single" w:sz="4" w:space="0" w:color="auto"/>
              <w:right w:val="single" w:sz="4" w:space="0" w:color="auto"/>
            </w:tcBorders>
            <w:noWrap/>
            <w:vAlign w:val="center"/>
            <w:hideMark/>
          </w:tcPr>
          <w:p w14:paraId="61983F06"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2977" w:type="dxa"/>
            <w:tcBorders>
              <w:top w:val="nil"/>
              <w:left w:val="nil"/>
              <w:bottom w:val="single" w:sz="4" w:space="0" w:color="auto"/>
              <w:right w:val="single" w:sz="4" w:space="0" w:color="auto"/>
            </w:tcBorders>
            <w:hideMark/>
          </w:tcPr>
          <w:p w14:paraId="28B6BBB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Aplicar políticas de inclusión de Dignidad, Diversidad, Equidad e Inclusión y fomentar espacios colaborativos en la planificación y ejecución.</w:t>
            </w:r>
          </w:p>
        </w:tc>
        <w:tc>
          <w:tcPr>
            <w:tcW w:w="966" w:type="dxa"/>
            <w:tcBorders>
              <w:top w:val="nil"/>
              <w:left w:val="nil"/>
              <w:bottom w:val="single" w:sz="4" w:space="0" w:color="auto"/>
              <w:right w:val="single" w:sz="4" w:space="0" w:color="auto"/>
            </w:tcBorders>
            <w:noWrap/>
            <w:vAlign w:val="center"/>
            <w:hideMark/>
          </w:tcPr>
          <w:p w14:paraId="054D5DD1"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5</w:t>
            </w:r>
          </w:p>
        </w:tc>
        <w:tc>
          <w:tcPr>
            <w:tcW w:w="992" w:type="dxa"/>
            <w:tcBorders>
              <w:top w:val="nil"/>
              <w:left w:val="nil"/>
              <w:bottom w:val="single" w:sz="4" w:space="0" w:color="auto"/>
              <w:right w:val="single" w:sz="4" w:space="0" w:color="auto"/>
            </w:tcBorders>
            <w:noWrap/>
            <w:vAlign w:val="center"/>
            <w:hideMark/>
          </w:tcPr>
          <w:p w14:paraId="0414BCB9"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2A98B59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Mayor cohesión del equipo, mejora en cumplimiento de metas.</w:t>
            </w:r>
          </w:p>
        </w:tc>
      </w:tr>
      <w:tr w:rsidR="00F212FE" w:rsidRPr="00242EB4" w14:paraId="04194AFF" w14:textId="77777777" w:rsidTr="0055381F">
        <w:trPr>
          <w:gridAfter w:val="1"/>
          <w:wAfter w:w="118" w:type="dxa"/>
          <w:trHeight w:val="155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1460CBC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6075B6B4"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1EEF007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Eficiencia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1F0BBDA"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1B637B0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La diversidad y la inclusión fomentan la innovación y reducen conflictos internos.</w:t>
            </w:r>
          </w:p>
        </w:tc>
        <w:tc>
          <w:tcPr>
            <w:tcW w:w="2506" w:type="dxa"/>
            <w:tcBorders>
              <w:top w:val="nil"/>
              <w:left w:val="nil"/>
              <w:bottom w:val="single" w:sz="4" w:space="0" w:color="auto"/>
              <w:right w:val="single" w:sz="4" w:space="0" w:color="auto"/>
            </w:tcBorders>
            <w:hideMark/>
          </w:tcPr>
          <w:p w14:paraId="5272A2E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Mejora el rendimiento del equipo y optimiza procesos al integrar diferentes perspectivas.</w:t>
            </w:r>
          </w:p>
        </w:tc>
        <w:tc>
          <w:tcPr>
            <w:tcW w:w="1276" w:type="dxa"/>
            <w:tcBorders>
              <w:top w:val="nil"/>
              <w:left w:val="nil"/>
              <w:bottom w:val="single" w:sz="4" w:space="0" w:color="auto"/>
              <w:right w:val="single" w:sz="4" w:space="0" w:color="auto"/>
            </w:tcBorders>
            <w:noWrap/>
            <w:vAlign w:val="center"/>
            <w:hideMark/>
          </w:tcPr>
          <w:p w14:paraId="12E0C4C6"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2977" w:type="dxa"/>
            <w:tcBorders>
              <w:top w:val="nil"/>
              <w:left w:val="nil"/>
              <w:bottom w:val="single" w:sz="4" w:space="0" w:color="auto"/>
              <w:right w:val="single" w:sz="4" w:space="0" w:color="auto"/>
            </w:tcBorders>
            <w:hideMark/>
          </w:tcPr>
          <w:p w14:paraId="53E9AAA2"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Crear mecanismos participativos, canales seguros de comunicación y revisión periódica de condiciones de equidad.</w:t>
            </w:r>
          </w:p>
        </w:tc>
        <w:tc>
          <w:tcPr>
            <w:tcW w:w="966" w:type="dxa"/>
            <w:tcBorders>
              <w:top w:val="nil"/>
              <w:left w:val="nil"/>
              <w:bottom w:val="single" w:sz="4" w:space="0" w:color="auto"/>
              <w:right w:val="single" w:sz="4" w:space="0" w:color="auto"/>
            </w:tcBorders>
            <w:noWrap/>
            <w:vAlign w:val="center"/>
            <w:hideMark/>
          </w:tcPr>
          <w:p w14:paraId="4643E65D"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35E94BA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52077B7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Optimización de recursos humanos y mejora continua.</w:t>
            </w:r>
          </w:p>
        </w:tc>
      </w:tr>
      <w:tr w:rsidR="00F212FE" w:rsidRPr="00242EB4" w14:paraId="0874D570" w14:textId="77777777" w:rsidTr="0055381F">
        <w:trPr>
          <w:gridAfter w:val="1"/>
          <w:wAfter w:w="118" w:type="dxa"/>
          <w:trHeight w:val="124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595ED14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258F9D49"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1191C31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Imparcialidad</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FF67E29"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4E52A9D5"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Promueve el trato justo y sin sesgos en todas las fases del proyecto.</w:t>
            </w:r>
          </w:p>
        </w:tc>
        <w:tc>
          <w:tcPr>
            <w:tcW w:w="2506" w:type="dxa"/>
            <w:tcBorders>
              <w:top w:val="nil"/>
              <w:left w:val="nil"/>
              <w:bottom w:val="single" w:sz="4" w:space="0" w:color="auto"/>
              <w:right w:val="single" w:sz="4" w:space="0" w:color="auto"/>
            </w:tcBorders>
            <w:hideMark/>
          </w:tcPr>
          <w:p w14:paraId="544A4065"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Mejora el rendimiento del equipo y optimiza procesos al integrar diferentes perspectivas.</w:t>
            </w:r>
          </w:p>
        </w:tc>
        <w:tc>
          <w:tcPr>
            <w:tcW w:w="1276" w:type="dxa"/>
            <w:tcBorders>
              <w:top w:val="nil"/>
              <w:left w:val="nil"/>
              <w:bottom w:val="single" w:sz="4" w:space="0" w:color="auto"/>
              <w:right w:val="single" w:sz="4" w:space="0" w:color="auto"/>
            </w:tcBorders>
            <w:noWrap/>
            <w:vAlign w:val="center"/>
            <w:hideMark/>
          </w:tcPr>
          <w:p w14:paraId="3F9551BC"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2977" w:type="dxa"/>
            <w:tcBorders>
              <w:top w:val="nil"/>
              <w:left w:val="nil"/>
              <w:bottom w:val="single" w:sz="4" w:space="0" w:color="auto"/>
              <w:right w:val="single" w:sz="4" w:space="0" w:color="auto"/>
            </w:tcBorders>
            <w:hideMark/>
          </w:tcPr>
          <w:p w14:paraId="5E6D7A7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Aplicar criterios de evaluación objetivos, selección imparcial de contratistas y lineamientos claros de equidad.</w:t>
            </w:r>
          </w:p>
        </w:tc>
        <w:tc>
          <w:tcPr>
            <w:tcW w:w="966" w:type="dxa"/>
            <w:tcBorders>
              <w:top w:val="nil"/>
              <w:left w:val="nil"/>
              <w:bottom w:val="single" w:sz="4" w:space="0" w:color="auto"/>
              <w:right w:val="single" w:sz="4" w:space="0" w:color="auto"/>
            </w:tcBorders>
            <w:noWrap/>
            <w:vAlign w:val="center"/>
            <w:hideMark/>
          </w:tcPr>
          <w:p w14:paraId="29008AB7"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5</w:t>
            </w:r>
          </w:p>
        </w:tc>
        <w:tc>
          <w:tcPr>
            <w:tcW w:w="992" w:type="dxa"/>
            <w:tcBorders>
              <w:top w:val="nil"/>
              <w:left w:val="nil"/>
              <w:bottom w:val="single" w:sz="4" w:space="0" w:color="auto"/>
              <w:right w:val="single" w:sz="4" w:space="0" w:color="auto"/>
            </w:tcBorders>
            <w:noWrap/>
            <w:vAlign w:val="center"/>
            <w:hideMark/>
          </w:tcPr>
          <w:p w14:paraId="14D653A4"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7D53872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Mejora en reputación corporativa y relaciones laborales.</w:t>
            </w:r>
          </w:p>
        </w:tc>
      </w:tr>
      <w:tr w:rsidR="00F212FE" w:rsidRPr="00242EB4" w14:paraId="09160B77" w14:textId="77777777" w:rsidTr="0055381F">
        <w:trPr>
          <w:gridAfter w:val="1"/>
          <w:wAfter w:w="118" w:type="dxa"/>
          <w:trHeight w:val="320"/>
        </w:trPr>
        <w:tc>
          <w:tcPr>
            <w:tcW w:w="2076" w:type="dxa"/>
            <w:tcBorders>
              <w:top w:val="single" w:sz="4" w:space="0" w:color="auto"/>
              <w:left w:val="single" w:sz="4" w:space="0" w:color="auto"/>
              <w:bottom w:val="single" w:sz="4" w:space="0" w:color="auto"/>
              <w:right w:val="single" w:sz="4" w:space="0" w:color="auto"/>
            </w:tcBorders>
            <w:shd w:val="clear" w:color="000000" w:fill="F4B084"/>
            <w:noWrap/>
            <w:vAlign w:val="bottom"/>
            <w:hideMark/>
          </w:tcPr>
          <w:p w14:paraId="052CDD5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Categoría</w:t>
            </w:r>
          </w:p>
        </w:tc>
        <w:tc>
          <w:tcPr>
            <w:tcW w:w="2035" w:type="dxa"/>
            <w:tcBorders>
              <w:top w:val="nil"/>
              <w:left w:val="nil"/>
              <w:bottom w:val="single" w:sz="4" w:space="0" w:color="auto"/>
              <w:right w:val="nil"/>
            </w:tcBorders>
            <w:shd w:val="clear" w:color="000000" w:fill="F4B084"/>
            <w:noWrap/>
            <w:vAlign w:val="center"/>
            <w:hideMark/>
          </w:tcPr>
          <w:p w14:paraId="253325A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Comportamiento Ético</w:t>
            </w:r>
          </w:p>
        </w:tc>
        <w:tc>
          <w:tcPr>
            <w:tcW w:w="1701" w:type="dxa"/>
            <w:vMerge w:val="restart"/>
            <w:tcBorders>
              <w:top w:val="nil"/>
              <w:left w:val="single" w:sz="4" w:space="0" w:color="auto"/>
              <w:bottom w:val="single" w:sz="4" w:space="0" w:color="auto"/>
              <w:right w:val="single" w:sz="4" w:space="0" w:color="auto"/>
            </w:tcBorders>
            <w:shd w:val="clear" w:color="000000" w:fill="F4B084"/>
            <w:noWrap/>
            <w:vAlign w:val="center"/>
            <w:hideMark/>
          </w:tcPr>
          <w:p w14:paraId="363908A2"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Lente</w:t>
            </w:r>
          </w:p>
        </w:tc>
        <w:tc>
          <w:tcPr>
            <w:tcW w:w="860" w:type="dxa"/>
            <w:vMerge w:val="restart"/>
            <w:tcBorders>
              <w:top w:val="nil"/>
              <w:left w:val="single" w:sz="4" w:space="0" w:color="auto"/>
              <w:bottom w:val="single" w:sz="4" w:space="0" w:color="auto"/>
              <w:right w:val="single" w:sz="4" w:space="0" w:color="auto"/>
            </w:tcBorders>
            <w:shd w:val="clear" w:color="000000" w:fill="F4B084"/>
            <w:vAlign w:val="center"/>
            <w:hideMark/>
          </w:tcPr>
          <w:p w14:paraId="450CFDD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¿Calificado?</w:t>
            </w:r>
          </w:p>
        </w:tc>
        <w:tc>
          <w:tcPr>
            <w:tcW w:w="2897" w:type="dxa"/>
            <w:vMerge w:val="restart"/>
            <w:tcBorders>
              <w:top w:val="nil"/>
              <w:left w:val="single" w:sz="4" w:space="0" w:color="auto"/>
              <w:bottom w:val="single" w:sz="4" w:space="0" w:color="auto"/>
              <w:right w:val="single" w:sz="4" w:space="0" w:color="auto"/>
            </w:tcBorders>
            <w:shd w:val="clear" w:color="000000" w:fill="F4B084"/>
            <w:vAlign w:val="center"/>
            <w:hideMark/>
          </w:tcPr>
          <w:p w14:paraId="1E7272BA"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Descripción (Causa)</w:t>
            </w:r>
          </w:p>
        </w:tc>
        <w:tc>
          <w:tcPr>
            <w:tcW w:w="2506" w:type="dxa"/>
            <w:vMerge w:val="restart"/>
            <w:tcBorders>
              <w:top w:val="nil"/>
              <w:left w:val="single" w:sz="4" w:space="0" w:color="auto"/>
              <w:bottom w:val="single" w:sz="4" w:space="0" w:color="000000"/>
              <w:right w:val="single" w:sz="4" w:space="0" w:color="auto"/>
            </w:tcBorders>
            <w:shd w:val="clear" w:color="000000" w:fill="F4B084"/>
            <w:vAlign w:val="center"/>
            <w:hideMark/>
          </w:tcPr>
          <w:p w14:paraId="27A812B4"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Impacto Potencial en la Sostenibilidad</w:t>
            </w:r>
          </w:p>
        </w:tc>
        <w:tc>
          <w:tcPr>
            <w:tcW w:w="1276" w:type="dxa"/>
            <w:vMerge w:val="restart"/>
            <w:tcBorders>
              <w:top w:val="nil"/>
              <w:left w:val="single" w:sz="4" w:space="0" w:color="auto"/>
              <w:bottom w:val="single" w:sz="4" w:space="0" w:color="auto"/>
              <w:right w:val="single" w:sz="4" w:space="0" w:color="auto"/>
            </w:tcBorders>
            <w:shd w:val="clear" w:color="000000" w:fill="F4B084"/>
            <w:vAlign w:val="center"/>
            <w:hideMark/>
          </w:tcPr>
          <w:p w14:paraId="75E241A7"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Puntaje Inicial del Impacto (Antes)</w:t>
            </w:r>
          </w:p>
        </w:tc>
        <w:tc>
          <w:tcPr>
            <w:tcW w:w="2977" w:type="dxa"/>
            <w:vMerge w:val="restart"/>
            <w:tcBorders>
              <w:top w:val="nil"/>
              <w:left w:val="single" w:sz="4" w:space="0" w:color="auto"/>
              <w:bottom w:val="single" w:sz="4" w:space="0" w:color="auto"/>
              <w:right w:val="single" w:sz="4" w:space="0" w:color="auto"/>
            </w:tcBorders>
            <w:shd w:val="clear" w:color="000000" w:fill="F4B084"/>
            <w:vAlign w:val="center"/>
            <w:hideMark/>
          </w:tcPr>
          <w:p w14:paraId="03FDA1B4"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Respuesta Propuesta</w:t>
            </w:r>
          </w:p>
        </w:tc>
        <w:tc>
          <w:tcPr>
            <w:tcW w:w="966" w:type="dxa"/>
            <w:vMerge w:val="restart"/>
            <w:tcBorders>
              <w:top w:val="nil"/>
              <w:left w:val="single" w:sz="4" w:space="0" w:color="auto"/>
              <w:bottom w:val="single" w:sz="4" w:space="0" w:color="auto"/>
              <w:right w:val="single" w:sz="4" w:space="0" w:color="auto"/>
            </w:tcBorders>
            <w:shd w:val="clear" w:color="000000" w:fill="F4B084"/>
            <w:vAlign w:val="center"/>
            <w:hideMark/>
          </w:tcPr>
          <w:p w14:paraId="34311796"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Nuevo Puntaje del Impacto (Después)</w:t>
            </w:r>
          </w:p>
        </w:tc>
        <w:tc>
          <w:tcPr>
            <w:tcW w:w="992" w:type="dxa"/>
            <w:vMerge w:val="restart"/>
            <w:tcBorders>
              <w:top w:val="nil"/>
              <w:left w:val="single" w:sz="4" w:space="0" w:color="auto"/>
              <w:bottom w:val="single" w:sz="4" w:space="0" w:color="auto"/>
              <w:right w:val="single" w:sz="4" w:space="0" w:color="auto"/>
            </w:tcBorders>
            <w:shd w:val="clear" w:color="000000" w:fill="F4B084"/>
            <w:noWrap/>
            <w:vAlign w:val="center"/>
            <w:hideMark/>
          </w:tcPr>
          <w:p w14:paraId="5A629AE0"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Cambio</w:t>
            </w:r>
          </w:p>
        </w:tc>
        <w:tc>
          <w:tcPr>
            <w:tcW w:w="3520" w:type="dxa"/>
            <w:vMerge w:val="restart"/>
            <w:tcBorders>
              <w:top w:val="nil"/>
              <w:left w:val="single" w:sz="4" w:space="0" w:color="auto"/>
              <w:bottom w:val="single" w:sz="4" w:space="0" w:color="000000"/>
              <w:right w:val="single" w:sz="4" w:space="0" w:color="auto"/>
            </w:tcBorders>
            <w:shd w:val="clear" w:color="000000" w:fill="F4B084"/>
            <w:vAlign w:val="center"/>
            <w:hideMark/>
          </w:tcPr>
          <w:p w14:paraId="13DC64DC"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Resultado</w:t>
            </w:r>
          </w:p>
        </w:tc>
      </w:tr>
      <w:tr w:rsidR="00F212FE" w:rsidRPr="00242EB4" w14:paraId="3CAF2A67" w14:textId="77777777" w:rsidTr="0055381F">
        <w:trPr>
          <w:gridAfter w:val="1"/>
          <w:wAfter w:w="118" w:type="dxa"/>
          <w:trHeight w:val="310"/>
        </w:trPr>
        <w:tc>
          <w:tcPr>
            <w:tcW w:w="2076" w:type="dxa"/>
            <w:tcBorders>
              <w:top w:val="nil"/>
              <w:left w:val="single" w:sz="4" w:space="0" w:color="auto"/>
              <w:bottom w:val="single" w:sz="4" w:space="0" w:color="auto"/>
              <w:right w:val="single" w:sz="4" w:space="0" w:color="auto"/>
            </w:tcBorders>
            <w:shd w:val="clear" w:color="000000" w:fill="F8CBAD"/>
            <w:noWrap/>
            <w:vAlign w:val="bottom"/>
            <w:hideMark/>
          </w:tcPr>
          <w:p w14:paraId="2DC288E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Elemento</w:t>
            </w:r>
          </w:p>
        </w:tc>
        <w:tc>
          <w:tcPr>
            <w:tcW w:w="2035" w:type="dxa"/>
            <w:tcBorders>
              <w:top w:val="nil"/>
              <w:left w:val="nil"/>
              <w:bottom w:val="single" w:sz="4" w:space="0" w:color="auto"/>
              <w:right w:val="single" w:sz="4" w:space="0" w:color="auto"/>
            </w:tcBorders>
            <w:shd w:val="clear" w:color="000000" w:fill="F8CBAD"/>
            <w:noWrap/>
            <w:vAlign w:val="center"/>
            <w:hideMark/>
          </w:tcPr>
          <w:p w14:paraId="1B0AFA5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Descripción</w:t>
            </w:r>
          </w:p>
        </w:tc>
        <w:tc>
          <w:tcPr>
            <w:tcW w:w="1701" w:type="dxa"/>
            <w:vMerge/>
            <w:tcBorders>
              <w:top w:val="nil"/>
              <w:left w:val="single" w:sz="4" w:space="0" w:color="auto"/>
              <w:bottom w:val="single" w:sz="4" w:space="0" w:color="auto"/>
              <w:right w:val="single" w:sz="4" w:space="0" w:color="auto"/>
            </w:tcBorders>
            <w:vAlign w:val="center"/>
            <w:hideMark/>
          </w:tcPr>
          <w:p w14:paraId="0F33593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860" w:type="dxa"/>
            <w:vMerge/>
            <w:tcBorders>
              <w:top w:val="nil"/>
              <w:left w:val="single" w:sz="4" w:space="0" w:color="auto"/>
              <w:bottom w:val="single" w:sz="4" w:space="0" w:color="auto"/>
              <w:right w:val="single" w:sz="4" w:space="0" w:color="auto"/>
            </w:tcBorders>
            <w:vAlign w:val="center"/>
            <w:hideMark/>
          </w:tcPr>
          <w:p w14:paraId="3FF34D6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897" w:type="dxa"/>
            <w:vMerge/>
            <w:tcBorders>
              <w:top w:val="nil"/>
              <w:left w:val="single" w:sz="4" w:space="0" w:color="auto"/>
              <w:bottom w:val="single" w:sz="4" w:space="0" w:color="auto"/>
              <w:right w:val="single" w:sz="4" w:space="0" w:color="auto"/>
            </w:tcBorders>
            <w:vAlign w:val="center"/>
            <w:hideMark/>
          </w:tcPr>
          <w:p w14:paraId="73EC625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506" w:type="dxa"/>
            <w:vMerge/>
            <w:tcBorders>
              <w:top w:val="nil"/>
              <w:left w:val="single" w:sz="4" w:space="0" w:color="auto"/>
              <w:bottom w:val="single" w:sz="4" w:space="0" w:color="000000"/>
              <w:right w:val="single" w:sz="4" w:space="0" w:color="auto"/>
            </w:tcBorders>
            <w:vAlign w:val="center"/>
            <w:hideMark/>
          </w:tcPr>
          <w:p w14:paraId="4E86B21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1276" w:type="dxa"/>
            <w:vMerge/>
            <w:tcBorders>
              <w:top w:val="nil"/>
              <w:left w:val="single" w:sz="4" w:space="0" w:color="auto"/>
              <w:bottom w:val="single" w:sz="4" w:space="0" w:color="auto"/>
              <w:right w:val="single" w:sz="4" w:space="0" w:color="auto"/>
            </w:tcBorders>
            <w:vAlign w:val="center"/>
            <w:hideMark/>
          </w:tcPr>
          <w:p w14:paraId="206A5B8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977" w:type="dxa"/>
            <w:vMerge/>
            <w:tcBorders>
              <w:top w:val="nil"/>
              <w:left w:val="single" w:sz="4" w:space="0" w:color="auto"/>
              <w:bottom w:val="single" w:sz="4" w:space="0" w:color="auto"/>
              <w:right w:val="single" w:sz="4" w:space="0" w:color="auto"/>
            </w:tcBorders>
            <w:vAlign w:val="center"/>
            <w:hideMark/>
          </w:tcPr>
          <w:p w14:paraId="2B46B8C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966" w:type="dxa"/>
            <w:vMerge/>
            <w:tcBorders>
              <w:top w:val="nil"/>
              <w:left w:val="single" w:sz="4" w:space="0" w:color="auto"/>
              <w:bottom w:val="single" w:sz="4" w:space="0" w:color="auto"/>
              <w:right w:val="single" w:sz="4" w:space="0" w:color="auto"/>
            </w:tcBorders>
            <w:vAlign w:val="center"/>
            <w:hideMark/>
          </w:tcPr>
          <w:p w14:paraId="532B05C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992" w:type="dxa"/>
            <w:vMerge/>
            <w:tcBorders>
              <w:top w:val="nil"/>
              <w:left w:val="single" w:sz="4" w:space="0" w:color="auto"/>
              <w:bottom w:val="single" w:sz="4" w:space="0" w:color="auto"/>
              <w:right w:val="single" w:sz="4" w:space="0" w:color="auto"/>
            </w:tcBorders>
            <w:vAlign w:val="center"/>
            <w:hideMark/>
          </w:tcPr>
          <w:p w14:paraId="348A781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3520" w:type="dxa"/>
            <w:vMerge/>
            <w:tcBorders>
              <w:top w:val="nil"/>
              <w:left w:val="single" w:sz="4" w:space="0" w:color="auto"/>
              <w:bottom w:val="single" w:sz="4" w:space="0" w:color="000000"/>
              <w:right w:val="single" w:sz="4" w:space="0" w:color="auto"/>
            </w:tcBorders>
            <w:vAlign w:val="center"/>
            <w:hideMark/>
          </w:tcPr>
          <w:p w14:paraId="3F2D01E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r>
      <w:tr w:rsidR="00F212FE" w:rsidRPr="00242EB4" w14:paraId="6C70BC5D" w14:textId="77777777" w:rsidTr="0055381F">
        <w:trPr>
          <w:gridAfter w:val="1"/>
          <w:wAfter w:w="118" w:type="dxa"/>
          <w:trHeight w:val="1550"/>
        </w:trPr>
        <w:tc>
          <w:tcPr>
            <w:tcW w:w="2076" w:type="dxa"/>
            <w:vMerge w:val="restart"/>
            <w:tcBorders>
              <w:top w:val="single" w:sz="4" w:space="0" w:color="auto"/>
              <w:left w:val="nil"/>
              <w:bottom w:val="single" w:sz="4" w:space="0" w:color="auto"/>
              <w:right w:val="nil"/>
            </w:tcBorders>
            <w:shd w:val="clear" w:color="auto" w:fill="ED7D31" w:themeFill="accent2"/>
            <w:noWrap/>
            <w:vAlign w:val="bottom"/>
            <w:hideMark/>
          </w:tcPr>
          <w:p w14:paraId="26FA7455"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noProof/>
                <w:color w:val="000000"/>
                <w:sz w:val="24"/>
                <w:lang w:val="es-CR" w:eastAsia="es-CR"/>
              </w:rPr>
              <w:drawing>
                <wp:anchor distT="0" distB="0" distL="114300" distR="114300" simplePos="0" relativeHeight="251677696" behindDoc="0" locked="0" layoutInCell="1" allowOverlap="1" wp14:anchorId="1F9E8398" wp14:editId="1F2B3357">
                  <wp:simplePos x="0" y="0"/>
                  <wp:positionH relativeFrom="column">
                    <wp:posOffset>204470</wp:posOffset>
                  </wp:positionH>
                  <wp:positionV relativeFrom="paragraph">
                    <wp:posOffset>-2525395</wp:posOffset>
                  </wp:positionV>
                  <wp:extent cx="844550" cy="882650"/>
                  <wp:effectExtent l="0" t="0" r="0" b="0"/>
                  <wp:wrapNone/>
                  <wp:docPr id="56" name="Imagen 6">
                    <a:extLst xmlns:a="http://schemas.openxmlformats.org/drawingml/2006/main">
                      <a:ext uri="{FF2B5EF4-FFF2-40B4-BE49-F238E27FC236}">
                        <a16:creationId xmlns:a16="http://schemas.microsoft.com/office/drawing/2014/main" id="{00000000-0008-0000-0300-000038000000}"/>
                      </a:ext>
                    </a:extLst>
                  </wp:docPr>
                  <wp:cNvGraphicFramePr/>
                  <a:graphic xmlns:a="http://schemas.openxmlformats.org/drawingml/2006/main">
                    <a:graphicData uri="http://schemas.openxmlformats.org/drawingml/2006/picture">
                      <pic:pic xmlns:pic="http://schemas.openxmlformats.org/drawingml/2006/picture">
                        <pic:nvPicPr>
                          <pic:cNvPr id="56" name="Picture 55">
                            <a:extLst>
                              <a:ext uri="{FF2B5EF4-FFF2-40B4-BE49-F238E27FC236}">
                                <a16:creationId xmlns:a16="http://schemas.microsoft.com/office/drawing/2014/main" id="{00000000-0008-0000-0300-000038000000}"/>
                              </a:ext>
                            </a:extLst>
                          </pic:cNvPr>
                          <pic:cNvPicPr>
                            <a:picLocks noChangeAspect="1"/>
                          </pic:cNvPicPr>
                        </pic:nvPicPr>
                        <pic:blipFill>
                          <a:blip r:embed="rId43"/>
                          <a:stretch>
                            <a:fillRect/>
                          </a:stretch>
                        </pic:blipFill>
                        <pic:spPr>
                          <a:xfrm>
                            <a:off x="0" y="0"/>
                            <a:ext cx="844550" cy="882650"/>
                          </a:xfrm>
                          <a:prstGeom prst="rect">
                            <a:avLst/>
                          </a:prstGeom>
                        </pic:spPr>
                      </pic:pic>
                    </a:graphicData>
                  </a:graphic>
                  <wp14:sizeRelH relativeFrom="page">
                    <wp14:pctWidth>0</wp14:pctWidth>
                  </wp14:sizeRelH>
                  <wp14:sizeRelV relativeFrom="page">
                    <wp14:pctHeight>0</wp14:pctHeight>
                  </wp14:sizeRelV>
                </wp:anchor>
              </w:drawing>
            </w:r>
          </w:p>
          <w:p w14:paraId="714D9C3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val="restart"/>
            <w:tcBorders>
              <w:top w:val="nil"/>
              <w:left w:val="single" w:sz="4" w:space="0" w:color="auto"/>
              <w:bottom w:val="single" w:sz="4" w:space="0" w:color="auto"/>
              <w:right w:val="single" w:sz="4" w:space="0" w:color="auto"/>
            </w:tcBorders>
            <w:shd w:val="clear" w:color="000000" w:fill="F2F2F2"/>
            <w:vAlign w:val="center"/>
            <w:hideMark/>
          </w:tcPr>
          <w:p w14:paraId="496F0B27"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r w:rsidRPr="00242EB4">
              <w:rPr>
                <w:rFonts w:ascii="Calibri" w:eastAsia="Times New Roman" w:hAnsi="Calibri" w:cs="Calibri"/>
                <w:color w:val="000000"/>
                <w:sz w:val="18"/>
                <w:szCs w:val="18"/>
                <w:lang w:val="es-CR" w:eastAsia="es-CR"/>
              </w:rPr>
              <w:t>Prácticas y contratos de adquisiciones sostenibles incluye prácticas para obtener bienes, materias primas y servicios que toman en cuenta los impactos ambientales, económicos y sociales. Significa contratar recursos de manera ética. Requiere establecer acuerdos que respeten estándares ambientales, sociales y de derechos humanos.</w:t>
            </w:r>
          </w:p>
        </w:tc>
        <w:tc>
          <w:tcPr>
            <w:tcW w:w="1701" w:type="dxa"/>
            <w:tcBorders>
              <w:top w:val="nil"/>
              <w:left w:val="nil"/>
              <w:bottom w:val="single" w:sz="4" w:space="0" w:color="auto"/>
              <w:right w:val="single" w:sz="4" w:space="0" w:color="auto"/>
            </w:tcBorders>
            <w:shd w:val="clear" w:color="000000" w:fill="F2F2F2"/>
            <w:noWrap/>
            <w:vAlign w:val="center"/>
            <w:hideMark/>
          </w:tcPr>
          <w:p w14:paraId="440BA5E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Vida Útil</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DE8FE8B"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3E79C9A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La selección de materiales sin criterios de sostenibilidad puede acortar la durabilidad de los espacios construidos.</w:t>
            </w:r>
          </w:p>
        </w:tc>
        <w:tc>
          <w:tcPr>
            <w:tcW w:w="2506" w:type="dxa"/>
            <w:tcBorders>
              <w:top w:val="nil"/>
              <w:left w:val="nil"/>
              <w:bottom w:val="single" w:sz="4" w:space="0" w:color="auto"/>
              <w:right w:val="single" w:sz="4" w:space="0" w:color="auto"/>
            </w:tcBorders>
            <w:hideMark/>
          </w:tcPr>
          <w:p w14:paraId="6138E2A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Materiales no sostenibles pueden degradarse más rápido, afectando la vida útil de los proyectos Design &amp; Build.</w:t>
            </w:r>
          </w:p>
        </w:tc>
        <w:tc>
          <w:tcPr>
            <w:tcW w:w="1276" w:type="dxa"/>
            <w:tcBorders>
              <w:top w:val="nil"/>
              <w:left w:val="nil"/>
              <w:bottom w:val="single" w:sz="4" w:space="0" w:color="auto"/>
              <w:right w:val="single" w:sz="4" w:space="0" w:color="auto"/>
            </w:tcBorders>
            <w:noWrap/>
            <w:vAlign w:val="center"/>
            <w:hideMark/>
          </w:tcPr>
          <w:p w14:paraId="5E5B1CB8"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68699DB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Establecer lineamientos de adquisición con criterios de durabilidad, certificaciones ambientales y análisis de ciclo de vida.</w:t>
            </w:r>
          </w:p>
        </w:tc>
        <w:tc>
          <w:tcPr>
            <w:tcW w:w="966" w:type="dxa"/>
            <w:tcBorders>
              <w:top w:val="nil"/>
              <w:left w:val="nil"/>
              <w:bottom w:val="single" w:sz="4" w:space="0" w:color="auto"/>
              <w:right w:val="single" w:sz="4" w:space="0" w:color="auto"/>
            </w:tcBorders>
            <w:noWrap/>
            <w:vAlign w:val="center"/>
            <w:hideMark/>
          </w:tcPr>
          <w:p w14:paraId="36D3DA9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787557F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48BBEC9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Mayor vida útil de acabados y estructuras, reducción de intervenciones tempranas.</w:t>
            </w:r>
          </w:p>
        </w:tc>
      </w:tr>
      <w:tr w:rsidR="00F212FE" w:rsidRPr="00242EB4" w14:paraId="19EB96B4" w14:textId="77777777" w:rsidTr="0055381F">
        <w:trPr>
          <w:gridAfter w:val="1"/>
          <w:wAfter w:w="118" w:type="dxa"/>
          <w:trHeight w:val="1550"/>
        </w:trPr>
        <w:tc>
          <w:tcPr>
            <w:tcW w:w="2076" w:type="dxa"/>
            <w:vMerge/>
            <w:tcBorders>
              <w:top w:val="nil"/>
              <w:left w:val="nil"/>
              <w:bottom w:val="single" w:sz="4" w:space="0" w:color="auto"/>
              <w:right w:val="nil"/>
            </w:tcBorders>
            <w:shd w:val="clear" w:color="auto" w:fill="ED7D31" w:themeFill="accent2"/>
            <w:vAlign w:val="center"/>
            <w:hideMark/>
          </w:tcPr>
          <w:p w14:paraId="3BF7359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15D0D5BA"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07A4068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Mantenimiento</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A9C4217"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17A0314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La falta de criterios técnicos en las adquisiciones puede generar sobrecostos por mantenimientos frecuentes o complejos.</w:t>
            </w:r>
          </w:p>
        </w:tc>
        <w:tc>
          <w:tcPr>
            <w:tcW w:w="2506" w:type="dxa"/>
            <w:tcBorders>
              <w:top w:val="nil"/>
              <w:left w:val="nil"/>
              <w:bottom w:val="single" w:sz="4" w:space="0" w:color="auto"/>
              <w:right w:val="single" w:sz="4" w:space="0" w:color="auto"/>
            </w:tcBorders>
            <w:hideMark/>
          </w:tcPr>
          <w:p w14:paraId="778FC1E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Insumos no estandarizados dificultan la operación y mantenimiento a largo plazo.</w:t>
            </w:r>
          </w:p>
        </w:tc>
        <w:tc>
          <w:tcPr>
            <w:tcW w:w="1276" w:type="dxa"/>
            <w:tcBorders>
              <w:top w:val="nil"/>
              <w:left w:val="nil"/>
              <w:bottom w:val="single" w:sz="4" w:space="0" w:color="auto"/>
              <w:right w:val="single" w:sz="4" w:space="0" w:color="auto"/>
            </w:tcBorders>
            <w:noWrap/>
            <w:vAlign w:val="center"/>
            <w:hideMark/>
          </w:tcPr>
          <w:p w14:paraId="610F2CA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1E30422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Integrar especificaciones técnicas mínimas y protocolos de mantenimiento desde la fase de compra.</w:t>
            </w:r>
          </w:p>
        </w:tc>
        <w:tc>
          <w:tcPr>
            <w:tcW w:w="966" w:type="dxa"/>
            <w:tcBorders>
              <w:top w:val="nil"/>
              <w:left w:val="nil"/>
              <w:bottom w:val="single" w:sz="4" w:space="0" w:color="auto"/>
              <w:right w:val="single" w:sz="4" w:space="0" w:color="auto"/>
            </w:tcBorders>
            <w:noWrap/>
            <w:vAlign w:val="center"/>
            <w:hideMark/>
          </w:tcPr>
          <w:p w14:paraId="3C66C34F"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4D5F922D"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6677B87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Optimización de recursos de mantenimiento y prolongación del rendimiento funcional.</w:t>
            </w:r>
          </w:p>
        </w:tc>
      </w:tr>
      <w:tr w:rsidR="00F212FE" w:rsidRPr="00242EB4" w14:paraId="6040CA97" w14:textId="77777777" w:rsidTr="0055381F">
        <w:trPr>
          <w:gridAfter w:val="1"/>
          <w:wAfter w:w="118" w:type="dxa"/>
          <w:trHeight w:val="1550"/>
        </w:trPr>
        <w:tc>
          <w:tcPr>
            <w:tcW w:w="2076" w:type="dxa"/>
            <w:vMerge/>
            <w:tcBorders>
              <w:top w:val="nil"/>
              <w:left w:val="nil"/>
              <w:bottom w:val="single" w:sz="4" w:space="0" w:color="auto"/>
              <w:right w:val="nil"/>
            </w:tcBorders>
            <w:shd w:val="clear" w:color="auto" w:fill="ED7D31" w:themeFill="accent2"/>
            <w:vAlign w:val="center"/>
            <w:hideMark/>
          </w:tcPr>
          <w:p w14:paraId="7E012E1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0E51F2C3"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78DAE48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Eficacia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07EDA88"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1D9236B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Las decisiones de compra sin enfoque en sostenibilidad pueden afectar el cumplimiento de metas ambientales del proyecto.</w:t>
            </w:r>
          </w:p>
        </w:tc>
        <w:tc>
          <w:tcPr>
            <w:tcW w:w="2506" w:type="dxa"/>
            <w:tcBorders>
              <w:top w:val="nil"/>
              <w:left w:val="nil"/>
              <w:bottom w:val="single" w:sz="4" w:space="0" w:color="auto"/>
              <w:right w:val="single" w:sz="4" w:space="0" w:color="auto"/>
            </w:tcBorders>
            <w:hideMark/>
          </w:tcPr>
          <w:p w14:paraId="0D4939B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La adquisición ética fortalece los objetivos del proyecto alineados a la sostenibilidad.</w:t>
            </w:r>
          </w:p>
        </w:tc>
        <w:tc>
          <w:tcPr>
            <w:tcW w:w="1276" w:type="dxa"/>
            <w:tcBorders>
              <w:top w:val="nil"/>
              <w:left w:val="nil"/>
              <w:bottom w:val="single" w:sz="4" w:space="0" w:color="auto"/>
              <w:right w:val="single" w:sz="4" w:space="0" w:color="auto"/>
            </w:tcBorders>
            <w:noWrap/>
            <w:vAlign w:val="center"/>
            <w:hideMark/>
          </w:tcPr>
          <w:p w14:paraId="4D37C170"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2977" w:type="dxa"/>
            <w:tcBorders>
              <w:top w:val="nil"/>
              <w:left w:val="nil"/>
              <w:bottom w:val="single" w:sz="4" w:space="0" w:color="auto"/>
              <w:right w:val="single" w:sz="4" w:space="0" w:color="auto"/>
            </w:tcBorders>
            <w:hideMark/>
          </w:tcPr>
          <w:p w14:paraId="6F04BE5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Aplicar criterios ESG (ambientales, sociales, de gobernanza) en la evaluación de proveedores y productos.</w:t>
            </w:r>
          </w:p>
        </w:tc>
        <w:tc>
          <w:tcPr>
            <w:tcW w:w="966" w:type="dxa"/>
            <w:tcBorders>
              <w:top w:val="nil"/>
              <w:left w:val="nil"/>
              <w:bottom w:val="single" w:sz="4" w:space="0" w:color="auto"/>
              <w:right w:val="single" w:sz="4" w:space="0" w:color="auto"/>
            </w:tcBorders>
            <w:noWrap/>
            <w:vAlign w:val="center"/>
            <w:hideMark/>
          </w:tcPr>
          <w:p w14:paraId="2407E1AF"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5</w:t>
            </w:r>
          </w:p>
        </w:tc>
        <w:tc>
          <w:tcPr>
            <w:tcW w:w="992" w:type="dxa"/>
            <w:tcBorders>
              <w:top w:val="nil"/>
              <w:left w:val="nil"/>
              <w:bottom w:val="single" w:sz="4" w:space="0" w:color="auto"/>
              <w:right w:val="single" w:sz="4" w:space="0" w:color="auto"/>
            </w:tcBorders>
            <w:noWrap/>
            <w:vAlign w:val="center"/>
            <w:hideMark/>
          </w:tcPr>
          <w:p w14:paraId="5D69BFA1"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3CE9612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Mejora del desempeño general del proyecto en sostenibilidad.</w:t>
            </w:r>
          </w:p>
        </w:tc>
      </w:tr>
      <w:tr w:rsidR="00F212FE" w:rsidRPr="00242EB4" w14:paraId="1D63A5A0" w14:textId="77777777" w:rsidTr="0055381F">
        <w:trPr>
          <w:gridAfter w:val="1"/>
          <w:wAfter w:w="118" w:type="dxa"/>
          <w:trHeight w:val="1550"/>
        </w:trPr>
        <w:tc>
          <w:tcPr>
            <w:tcW w:w="2076" w:type="dxa"/>
            <w:vMerge/>
            <w:tcBorders>
              <w:top w:val="nil"/>
              <w:left w:val="nil"/>
              <w:bottom w:val="single" w:sz="4" w:space="0" w:color="auto"/>
              <w:right w:val="nil"/>
            </w:tcBorders>
            <w:shd w:val="clear" w:color="auto" w:fill="ED7D31" w:themeFill="accent2"/>
            <w:vAlign w:val="center"/>
            <w:hideMark/>
          </w:tcPr>
          <w:p w14:paraId="30A8F04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5C15A895"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45F1341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Eficiencia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1685FFF"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2C37AD5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Las compras reactivas o con proveedores no calificados pueden generar reprocesos, entregas tardías o incompatibilidades técnicas.</w:t>
            </w:r>
          </w:p>
        </w:tc>
        <w:tc>
          <w:tcPr>
            <w:tcW w:w="2506" w:type="dxa"/>
            <w:tcBorders>
              <w:top w:val="nil"/>
              <w:left w:val="nil"/>
              <w:bottom w:val="single" w:sz="4" w:space="0" w:color="auto"/>
              <w:right w:val="single" w:sz="4" w:space="0" w:color="auto"/>
            </w:tcBorders>
            <w:hideMark/>
          </w:tcPr>
          <w:p w14:paraId="6F01345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El uso de criterios claros mejora la calidad y oportunidad de las adquisiciones.</w:t>
            </w:r>
          </w:p>
        </w:tc>
        <w:tc>
          <w:tcPr>
            <w:tcW w:w="1276" w:type="dxa"/>
            <w:tcBorders>
              <w:top w:val="nil"/>
              <w:left w:val="nil"/>
              <w:bottom w:val="single" w:sz="4" w:space="0" w:color="auto"/>
              <w:right w:val="single" w:sz="4" w:space="0" w:color="auto"/>
            </w:tcBorders>
            <w:noWrap/>
            <w:vAlign w:val="center"/>
            <w:hideMark/>
          </w:tcPr>
          <w:p w14:paraId="1C431DF2"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55E0831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Implementar procesos de compras planificados con evaluación técnica y logística.</w:t>
            </w:r>
          </w:p>
        </w:tc>
        <w:tc>
          <w:tcPr>
            <w:tcW w:w="966" w:type="dxa"/>
            <w:tcBorders>
              <w:top w:val="nil"/>
              <w:left w:val="nil"/>
              <w:bottom w:val="single" w:sz="4" w:space="0" w:color="auto"/>
              <w:right w:val="single" w:sz="4" w:space="0" w:color="auto"/>
            </w:tcBorders>
            <w:noWrap/>
            <w:vAlign w:val="center"/>
            <w:hideMark/>
          </w:tcPr>
          <w:p w14:paraId="2111C959"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42661374"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610524D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Reducción de retrasos y mayor eficiencia operativa en la obra.</w:t>
            </w:r>
          </w:p>
        </w:tc>
      </w:tr>
      <w:tr w:rsidR="00F212FE" w:rsidRPr="00242EB4" w14:paraId="618136B5" w14:textId="77777777" w:rsidTr="0055381F">
        <w:trPr>
          <w:gridAfter w:val="1"/>
          <w:wAfter w:w="118" w:type="dxa"/>
          <w:trHeight w:val="1240"/>
        </w:trPr>
        <w:tc>
          <w:tcPr>
            <w:tcW w:w="2076" w:type="dxa"/>
            <w:vMerge/>
            <w:tcBorders>
              <w:top w:val="nil"/>
              <w:left w:val="nil"/>
              <w:bottom w:val="single" w:sz="4" w:space="0" w:color="auto"/>
              <w:right w:val="nil"/>
            </w:tcBorders>
            <w:shd w:val="clear" w:color="auto" w:fill="ED7D31" w:themeFill="accent2"/>
            <w:vAlign w:val="center"/>
            <w:hideMark/>
          </w:tcPr>
          <w:p w14:paraId="12D5AA3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29EFD793"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712DE2D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Imparcialidad</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864340A"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072D26B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La falta de transparencia en las adquisiciones puede generar conflictos o percepciones de favoritismo.</w:t>
            </w:r>
          </w:p>
        </w:tc>
        <w:tc>
          <w:tcPr>
            <w:tcW w:w="2506" w:type="dxa"/>
            <w:tcBorders>
              <w:top w:val="nil"/>
              <w:left w:val="nil"/>
              <w:bottom w:val="single" w:sz="4" w:space="0" w:color="auto"/>
              <w:right w:val="single" w:sz="4" w:space="0" w:color="auto"/>
            </w:tcBorders>
            <w:hideMark/>
          </w:tcPr>
          <w:p w14:paraId="6A3243F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Procedimientos justos fortalecen la reputación del proyecto y el cumplimiento ético.</w:t>
            </w:r>
          </w:p>
        </w:tc>
        <w:tc>
          <w:tcPr>
            <w:tcW w:w="1276" w:type="dxa"/>
            <w:tcBorders>
              <w:top w:val="nil"/>
              <w:left w:val="nil"/>
              <w:bottom w:val="single" w:sz="4" w:space="0" w:color="auto"/>
              <w:right w:val="single" w:sz="4" w:space="0" w:color="auto"/>
            </w:tcBorders>
            <w:noWrap/>
            <w:vAlign w:val="center"/>
            <w:hideMark/>
          </w:tcPr>
          <w:p w14:paraId="2565671E"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2977" w:type="dxa"/>
            <w:tcBorders>
              <w:top w:val="nil"/>
              <w:left w:val="nil"/>
              <w:bottom w:val="single" w:sz="4" w:space="0" w:color="auto"/>
              <w:right w:val="single" w:sz="4" w:space="0" w:color="auto"/>
            </w:tcBorders>
            <w:hideMark/>
          </w:tcPr>
          <w:p w14:paraId="3E31B95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Estandarizar criterios objetivos y públicos para licitación y selección de proveedores.</w:t>
            </w:r>
          </w:p>
        </w:tc>
        <w:tc>
          <w:tcPr>
            <w:tcW w:w="966" w:type="dxa"/>
            <w:tcBorders>
              <w:top w:val="nil"/>
              <w:left w:val="nil"/>
              <w:bottom w:val="single" w:sz="4" w:space="0" w:color="auto"/>
              <w:right w:val="single" w:sz="4" w:space="0" w:color="auto"/>
            </w:tcBorders>
            <w:noWrap/>
            <w:vAlign w:val="center"/>
            <w:hideMark/>
          </w:tcPr>
          <w:p w14:paraId="149F6D50"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5</w:t>
            </w:r>
          </w:p>
        </w:tc>
        <w:tc>
          <w:tcPr>
            <w:tcW w:w="992" w:type="dxa"/>
            <w:tcBorders>
              <w:top w:val="nil"/>
              <w:left w:val="nil"/>
              <w:bottom w:val="single" w:sz="4" w:space="0" w:color="auto"/>
              <w:right w:val="single" w:sz="4" w:space="0" w:color="auto"/>
            </w:tcBorders>
            <w:noWrap/>
            <w:vAlign w:val="center"/>
            <w:hideMark/>
          </w:tcPr>
          <w:p w14:paraId="43314677"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54692A1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Aumento de confianza entre partes interesadas y cumplimiento de principios éticos.</w:t>
            </w:r>
          </w:p>
        </w:tc>
      </w:tr>
      <w:tr w:rsidR="00F212FE" w:rsidRPr="00242EB4" w14:paraId="595D36CD" w14:textId="77777777" w:rsidTr="0055381F">
        <w:trPr>
          <w:gridAfter w:val="1"/>
          <w:wAfter w:w="118" w:type="dxa"/>
          <w:trHeight w:val="1550"/>
        </w:trPr>
        <w:tc>
          <w:tcPr>
            <w:tcW w:w="2076" w:type="dxa"/>
            <w:vMerge w:val="restart"/>
            <w:tcBorders>
              <w:top w:val="single" w:sz="4" w:space="0" w:color="auto"/>
              <w:left w:val="single" w:sz="4" w:space="0" w:color="auto"/>
              <w:bottom w:val="single" w:sz="4" w:space="0" w:color="auto"/>
              <w:right w:val="nil"/>
            </w:tcBorders>
            <w:shd w:val="clear" w:color="auto" w:fill="ED7D31" w:themeFill="accent2"/>
            <w:noWrap/>
            <w:vAlign w:val="bottom"/>
            <w:hideMark/>
          </w:tcPr>
          <w:p w14:paraId="351CA2F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noProof/>
                <w:color w:val="000000"/>
                <w:sz w:val="24"/>
                <w:lang w:val="es-CR" w:eastAsia="es-CR"/>
              </w:rPr>
              <w:drawing>
                <wp:anchor distT="0" distB="0" distL="114300" distR="114300" simplePos="0" relativeHeight="251678720" behindDoc="0" locked="0" layoutInCell="1" allowOverlap="1" wp14:anchorId="575D5144" wp14:editId="3203948A">
                  <wp:simplePos x="0" y="0"/>
                  <wp:positionH relativeFrom="column">
                    <wp:posOffset>174625</wp:posOffset>
                  </wp:positionH>
                  <wp:positionV relativeFrom="paragraph">
                    <wp:posOffset>-2629535</wp:posOffset>
                  </wp:positionV>
                  <wp:extent cx="850900" cy="927100"/>
                  <wp:effectExtent l="0" t="0" r="6350" b="0"/>
                  <wp:wrapNone/>
                  <wp:docPr id="57" name="Imagen 5">
                    <a:extLst xmlns:a="http://schemas.openxmlformats.org/drawingml/2006/main">
                      <a:ext uri="{FF2B5EF4-FFF2-40B4-BE49-F238E27FC236}">
                        <a16:creationId xmlns:a16="http://schemas.microsoft.com/office/drawing/2014/main" id="{00000000-0008-0000-0300-000039000000}"/>
                      </a:ext>
                    </a:extLst>
                  </wp:docPr>
                  <wp:cNvGraphicFramePr/>
                  <a:graphic xmlns:a="http://schemas.openxmlformats.org/drawingml/2006/main">
                    <a:graphicData uri="http://schemas.openxmlformats.org/drawingml/2006/picture">
                      <pic:pic xmlns:pic="http://schemas.openxmlformats.org/drawingml/2006/picture">
                        <pic:nvPicPr>
                          <pic:cNvPr id="57" name="Picture 56">
                            <a:extLst>
                              <a:ext uri="{FF2B5EF4-FFF2-40B4-BE49-F238E27FC236}">
                                <a16:creationId xmlns:a16="http://schemas.microsoft.com/office/drawing/2014/main" id="{00000000-0008-0000-0300-000039000000}"/>
                              </a:ext>
                            </a:extLst>
                          </pic:cNvPr>
                          <pic:cNvPicPr>
                            <a:picLocks noChangeAspect="1"/>
                          </pic:cNvPicPr>
                        </pic:nvPicPr>
                        <pic:blipFill>
                          <a:blip r:embed="rId44"/>
                          <a:stretch>
                            <a:fillRect/>
                          </a:stretch>
                        </pic:blipFill>
                        <pic:spPr>
                          <a:xfrm>
                            <a:off x="0" y="0"/>
                            <a:ext cx="850900" cy="927100"/>
                          </a:xfrm>
                          <a:prstGeom prst="rect">
                            <a:avLst/>
                          </a:prstGeom>
                        </pic:spPr>
                      </pic:pic>
                    </a:graphicData>
                  </a:graphic>
                  <wp14:sizeRelH relativeFrom="page">
                    <wp14:pctWidth>0</wp14:pctWidth>
                  </wp14:sizeRelH>
                  <wp14:sizeRelV relativeFrom="page">
                    <wp14:pctHeight>0</wp14:pctHeight>
                  </wp14:sizeRelV>
                </wp:anchor>
              </w:drawing>
            </w:r>
          </w:p>
          <w:p w14:paraId="26A5603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val="restart"/>
            <w:tcBorders>
              <w:top w:val="nil"/>
              <w:left w:val="single" w:sz="4" w:space="0" w:color="auto"/>
              <w:bottom w:val="single" w:sz="4" w:space="0" w:color="auto"/>
              <w:right w:val="single" w:sz="4" w:space="0" w:color="auto"/>
            </w:tcBorders>
            <w:shd w:val="clear" w:color="000000" w:fill="F2F2F2"/>
            <w:vAlign w:val="center"/>
            <w:hideMark/>
          </w:tcPr>
          <w:p w14:paraId="3169AA99"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r w:rsidRPr="00242EB4">
              <w:rPr>
                <w:rFonts w:ascii="Calibri" w:eastAsia="Times New Roman" w:hAnsi="Calibri" w:cs="Calibri"/>
                <w:color w:val="000000"/>
                <w:sz w:val="18"/>
                <w:szCs w:val="18"/>
                <w:lang w:val="es-CR" w:eastAsia="es-CR"/>
              </w:rPr>
              <w:t>Anticorrupción es la práctica de rechazar tanto las ofertas como las solicitudes de obsequios, pagos u otras formas de beneficios para influir en las actividades, los productos o los resultados del proyecto. Implica asegurar que el proyecto esté libre de prácticas no éticas como soborno, lavado de dinero, fraude y malversación.</w:t>
            </w:r>
          </w:p>
        </w:tc>
        <w:tc>
          <w:tcPr>
            <w:tcW w:w="1701" w:type="dxa"/>
            <w:tcBorders>
              <w:top w:val="nil"/>
              <w:left w:val="nil"/>
              <w:bottom w:val="single" w:sz="4" w:space="0" w:color="auto"/>
              <w:right w:val="single" w:sz="4" w:space="0" w:color="auto"/>
            </w:tcBorders>
            <w:shd w:val="clear" w:color="000000" w:fill="F2F2F2"/>
            <w:noWrap/>
            <w:vAlign w:val="center"/>
            <w:hideMark/>
          </w:tcPr>
          <w:p w14:paraId="3DC2906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Vida Útil</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C2A19E0"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262FA68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La adjudicación de contratos sin transparencia puede resultar en ejecución con materiales o servicios de baja calidad.</w:t>
            </w:r>
          </w:p>
        </w:tc>
        <w:tc>
          <w:tcPr>
            <w:tcW w:w="2506" w:type="dxa"/>
            <w:tcBorders>
              <w:top w:val="nil"/>
              <w:left w:val="nil"/>
              <w:bottom w:val="single" w:sz="4" w:space="0" w:color="auto"/>
              <w:right w:val="single" w:sz="4" w:space="0" w:color="auto"/>
            </w:tcBorders>
            <w:hideMark/>
          </w:tcPr>
          <w:p w14:paraId="0D136DB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El uso de insumos deficientes puede acortar la vida útil de las soluciones implementadas.</w:t>
            </w:r>
          </w:p>
        </w:tc>
        <w:tc>
          <w:tcPr>
            <w:tcW w:w="1276" w:type="dxa"/>
            <w:tcBorders>
              <w:top w:val="nil"/>
              <w:left w:val="nil"/>
              <w:bottom w:val="single" w:sz="4" w:space="0" w:color="auto"/>
              <w:right w:val="single" w:sz="4" w:space="0" w:color="auto"/>
            </w:tcBorders>
            <w:noWrap/>
            <w:vAlign w:val="center"/>
            <w:hideMark/>
          </w:tcPr>
          <w:p w14:paraId="3D64F0EE"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647BA01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Establecer criterios claros y trazables para contratación, incluyendo validación técnica de proveedores.</w:t>
            </w:r>
          </w:p>
        </w:tc>
        <w:tc>
          <w:tcPr>
            <w:tcW w:w="966" w:type="dxa"/>
            <w:tcBorders>
              <w:top w:val="nil"/>
              <w:left w:val="nil"/>
              <w:bottom w:val="single" w:sz="4" w:space="0" w:color="auto"/>
              <w:right w:val="single" w:sz="4" w:space="0" w:color="auto"/>
            </w:tcBorders>
            <w:noWrap/>
            <w:vAlign w:val="center"/>
            <w:hideMark/>
          </w:tcPr>
          <w:p w14:paraId="75B8A28F"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474147DA"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2E6E526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Mejora en la calidad y durabilidad de los resultados entregados.</w:t>
            </w:r>
          </w:p>
        </w:tc>
      </w:tr>
      <w:tr w:rsidR="00F212FE" w:rsidRPr="00242EB4" w14:paraId="7180D261" w14:textId="77777777" w:rsidTr="0055381F">
        <w:trPr>
          <w:gridAfter w:val="1"/>
          <w:wAfter w:w="118" w:type="dxa"/>
          <w:trHeight w:val="155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680C457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39D0DA44"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1C5230D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Mantenimiento</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8290658"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78E52E1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La corrupción puede conllevar a contratos de mantenimiento no competitivos, mal ejecutados o innecesarios.</w:t>
            </w:r>
          </w:p>
        </w:tc>
        <w:tc>
          <w:tcPr>
            <w:tcW w:w="2506" w:type="dxa"/>
            <w:tcBorders>
              <w:top w:val="nil"/>
              <w:left w:val="nil"/>
              <w:bottom w:val="single" w:sz="4" w:space="0" w:color="auto"/>
              <w:right w:val="single" w:sz="4" w:space="0" w:color="auto"/>
            </w:tcBorders>
            <w:hideMark/>
          </w:tcPr>
          <w:p w14:paraId="0B2522B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Esto genera costos adicionales y reduce la eficiencia de los planes de mantenimiento.</w:t>
            </w:r>
          </w:p>
        </w:tc>
        <w:tc>
          <w:tcPr>
            <w:tcW w:w="1276" w:type="dxa"/>
            <w:tcBorders>
              <w:top w:val="nil"/>
              <w:left w:val="nil"/>
              <w:bottom w:val="single" w:sz="4" w:space="0" w:color="auto"/>
              <w:right w:val="single" w:sz="4" w:space="0" w:color="auto"/>
            </w:tcBorders>
            <w:noWrap/>
            <w:vAlign w:val="center"/>
            <w:hideMark/>
          </w:tcPr>
          <w:p w14:paraId="2AB06B9E"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4D1D504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Implementar auditorías aleatorias de contratos y procedimientos de mantenimiento.</w:t>
            </w:r>
          </w:p>
        </w:tc>
        <w:tc>
          <w:tcPr>
            <w:tcW w:w="966" w:type="dxa"/>
            <w:tcBorders>
              <w:top w:val="nil"/>
              <w:left w:val="nil"/>
              <w:bottom w:val="single" w:sz="4" w:space="0" w:color="auto"/>
              <w:right w:val="single" w:sz="4" w:space="0" w:color="auto"/>
            </w:tcBorders>
            <w:noWrap/>
            <w:vAlign w:val="center"/>
            <w:hideMark/>
          </w:tcPr>
          <w:p w14:paraId="789DC9B9"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992" w:type="dxa"/>
            <w:tcBorders>
              <w:top w:val="nil"/>
              <w:left w:val="nil"/>
              <w:bottom w:val="single" w:sz="4" w:space="0" w:color="auto"/>
              <w:right w:val="single" w:sz="4" w:space="0" w:color="auto"/>
            </w:tcBorders>
            <w:noWrap/>
            <w:vAlign w:val="center"/>
            <w:hideMark/>
          </w:tcPr>
          <w:p w14:paraId="5850A9CE"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298F1762"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Reducción de sobrecostos y mejora en la calidad del servicio de mantenimiento.</w:t>
            </w:r>
          </w:p>
        </w:tc>
      </w:tr>
      <w:tr w:rsidR="00F212FE" w:rsidRPr="00242EB4" w14:paraId="670228DD" w14:textId="77777777" w:rsidTr="0055381F">
        <w:trPr>
          <w:gridAfter w:val="1"/>
          <w:wAfter w:w="118" w:type="dxa"/>
          <w:trHeight w:val="124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7613D3E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71B4A705"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3A7858E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Eficacia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5F6CFDC"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58910B2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Prácticas corruptas pueden desviar recursos, afectando el cumplimiento de objetivos técnicos y de sostenibilidad.</w:t>
            </w:r>
          </w:p>
        </w:tc>
        <w:tc>
          <w:tcPr>
            <w:tcW w:w="2506" w:type="dxa"/>
            <w:tcBorders>
              <w:top w:val="nil"/>
              <w:left w:val="nil"/>
              <w:bottom w:val="single" w:sz="4" w:space="0" w:color="auto"/>
              <w:right w:val="single" w:sz="4" w:space="0" w:color="auto"/>
            </w:tcBorders>
            <w:hideMark/>
          </w:tcPr>
          <w:p w14:paraId="4F64D385"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Se compromete el logro de los resultados esperados del proyecto.</w:t>
            </w:r>
          </w:p>
        </w:tc>
        <w:tc>
          <w:tcPr>
            <w:tcW w:w="1276" w:type="dxa"/>
            <w:tcBorders>
              <w:top w:val="nil"/>
              <w:left w:val="nil"/>
              <w:bottom w:val="single" w:sz="4" w:space="0" w:color="auto"/>
              <w:right w:val="single" w:sz="4" w:space="0" w:color="auto"/>
            </w:tcBorders>
            <w:noWrap/>
            <w:vAlign w:val="center"/>
            <w:hideMark/>
          </w:tcPr>
          <w:p w14:paraId="6A1369AF"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2977" w:type="dxa"/>
            <w:tcBorders>
              <w:top w:val="nil"/>
              <w:left w:val="nil"/>
              <w:bottom w:val="single" w:sz="4" w:space="0" w:color="auto"/>
              <w:right w:val="single" w:sz="4" w:space="0" w:color="auto"/>
            </w:tcBorders>
            <w:hideMark/>
          </w:tcPr>
          <w:p w14:paraId="05CA4CA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Capacitar al equipo sobre ética profesional y reforzar mecanismos de denuncia anónima.</w:t>
            </w:r>
          </w:p>
        </w:tc>
        <w:tc>
          <w:tcPr>
            <w:tcW w:w="966" w:type="dxa"/>
            <w:tcBorders>
              <w:top w:val="nil"/>
              <w:left w:val="nil"/>
              <w:bottom w:val="single" w:sz="4" w:space="0" w:color="auto"/>
              <w:right w:val="single" w:sz="4" w:space="0" w:color="auto"/>
            </w:tcBorders>
            <w:noWrap/>
            <w:vAlign w:val="center"/>
            <w:hideMark/>
          </w:tcPr>
          <w:p w14:paraId="3CEB294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249AC89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610DBC6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Mayor alineación del equipo con los objetivos del proyecto y reducción de desvíos.</w:t>
            </w:r>
          </w:p>
        </w:tc>
      </w:tr>
      <w:tr w:rsidR="00F212FE" w:rsidRPr="00242EB4" w14:paraId="60E8A98C" w14:textId="77777777" w:rsidTr="0055381F">
        <w:trPr>
          <w:gridAfter w:val="1"/>
          <w:wAfter w:w="118" w:type="dxa"/>
          <w:trHeight w:val="124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58E697E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215D544E"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1477E55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Eficiencia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6A60C80"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3B3A78C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Procesos influenciados por corrupción pueden generar sobreprecios, retrasos o decisiones no óptimas.</w:t>
            </w:r>
          </w:p>
        </w:tc>
        <w:tc>
          <w:tcPr>
            <w:tcW w:w="2506" w:type="dxa"/>
            <w:tcBorders>
              <w:top w:val="nil"/>
              <w:left w:val="nil"/>
              <w:bottom w:val="single" w:sz="4" w:space="0" w:color="auto"/>
              <w:right w:val="single" w:sz="4" w:space="0" w:color="auto"/>
            </w:tcBorders>
            <w:hideMark/>
          </w:tcPr>
          <w:p w14:paraId="4D38EBF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Se compromete el uso eficiente de recursos humanos, materiales y financieros.</w:t>
            </w:r>
          </w:p>
        </w:tc>
        <w:tc>
          <w:tcPr>
            <w:tcW w:w="1276" w:type="dxa"/>
            <w:tcBorders>
              <w:top w:val="nil"/>
              <w:left w:val="nil"/>
              <w:bottom w:val="single" w:sz="4" w:space="0" w:color="auto"/>
              <w:right w:val="single" w:sz="4" w:space="0" w:color="auto"/>
            </w:tcBorders>
            <w:noWrap/>
            <w:vAlign w:val="center"/>
            <w:hideMark/>
          </w:tcPr>
          <w:p w14:paraId="1BC17C56"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68CBB0A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Aplicar sistema de evaluación comparativa de costos y cronogramas para prevenir irregularidades.</w:t>
            </w:r>
          </w:p>
        </w:tc>
        <w:tc>
          <w:tcPr>
            <w:tcW w:w="966" w:type="dxa"/>
            <w:tcBorders>
              <w:top w:val="nil"/>
              <w:left w:val="nil"/>
              <w:bottom w:val="single" w:sz="4" w:space="0" w:color="auto"/>
              <w:right w:val="single" w:sz="4" w:space="0" w:color="auto"/>
            </w:tcBorders>
            <w:noWrap/>
            <w:vAlign w:val="center"/>
            <w:hideMark/>
          </w:tcPr>
          <w:p w14:paraId="6944E67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134A1702"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1C616EE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Optimización de recursos y mayor previsibilidad del proyecto.</w:t>
            </w:r>
          </w:p>
        </w:tc>
      </w:tr>
      <w:tr w:rsidR="00F212FE" w:rsidRPr="00242EB4" w14:paraId="71485FA1" w14:textId="77777777" w:rsidTr="0055381F">
        <w:trPr>
          <w:gridAfter w:val="1"/>
          <w:wAfter w:w="118" w:type="dxa"/>
          <w:trHeight w:val="124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58BD55F2"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729708F1"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273EF23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Imparcialidad</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4DE50B1"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4FCA58B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La corrupción mina la equidad y la confianza interna, generando favoritismos y falta de transparencia.</w:t>
            </w:r>
          </w:p>
        </w:tc>
        <w:tc>
          <w:tcPr>
            <w:tcW w:w="2506" w:type="dxa"/>
            <w:tcBorders>
              <w:top w:val="nil"/>
              <w:left w:val="nil"/>
              <w:bottom w:val="single" w:sz="4" w:space="0" w:color="auto"/>
              <w:right w:val="single" w:sz="4" w:space="0" w:color="auto"/>
            </w:tcBorders>
            <w:hideMark/>
          </w:tcPr>
          <w:p w14:paraId="20B92F3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Se debilita el ambiente organizacional justo y participativo.</w:t>
            </w:r>
          </w:p>
        </w:tc>
        <w:tc>
          <w:tcPr>
            <w:tcW w:w="1276" w:type="dxa"/>
            <w:tcBorders>
              <w:top w:val="nil"/>
              <w:left w:val="nil"/>
              <w:bottom w:val="single" w:sz="4" w:space="0" w:color="auto"/>
              <w:right w:val="single" w:sz="4" w:space="0" w:color="auto"/>
            </w:tcBorders>
            <w:noWrap/>
            <w:vAlign w:val="center"/>
            <w:hideMark/>
          </w:tcPr>
          <w:p w14:paraId="7B55B55C"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2977" w:type="dxa"/>
            <w:tcBorders>
              <w:top w:val="nil"/>
              <w:left w:val="nil"/>
              <w:bottom w:val="single" w:sz="4" w:space="0" w:color="auto"/>
              <w:right w:val="single" w:sz="4" w:space="0" w:color="auto"/>
            </w:tcBorders>
            <w:hideMark/>
          </w:tcPr>
          <w:p w14:paraId="221B7CD7"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Fortalecer las políticas de ética institucional y publicar los resultados de los procesos de contratación.</w:t>
            </w:r>
          </w:p>
        </w:tc>
        <w:tc>
          <w:tcPr>
            <w:tcW w:w="966" w:type="dxa"/>
            <w:tcBorders>
              <w:top w:val="nil"/>
              <w:left w:val="nil"/>
              <w:bottom w:val="single" w:sz="4" w:space="0" w:color="auto"/>
              <w:right w:val="single" w:sz="4" w:space="0" w:color="auto"/>
            </w:tcBorders>
            <w:noWrap/>
            <w:vAlign w:val="center"/>
            <w:hideMark/>
          </w:tcPr>
          <w:p w14:paraId="139105AC"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5</w:t>
            </w:r>
          </w:p>
        </w:tc>
        <w:tc>
          <w:tcPr>
            <w:tcW w:w="992" w:type="dxa"/>
            <w:tcBorders>
              <w:top w:val="nil"/>
              <w:left w:val="nil"/>
              <w:bottom w:val="single" w:sz="4" w:space="0" w:color="auto"/>
              <w:right w:val="single" w:sz="4" w:space="0" w:color="auto"/>
            </w:tcBorders>
            <w:noWrap/>
            <w:vAlign w:val="center"/>
            <w:hideMark/>
          </w:tcPr>
          <w:p w14:paraId="3D93487D"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5650B54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Mayor confianza, transparencia y cultura de legalidad entre los stakeholders.</w:t>
            </w:r>
          </w:p>
        </w:tc>
      </w:tr>
      <w:tr w:rsidR="00F212FE" w:rsidRPr="00242EB4" w14:paraId="3C4FE085" w14:textId="77777777" w:rsidTr="0055381F">
        <w:trPr>
          <w:gridAfter w:val="1"/>
          <w:wAfter w:w="118" w:type="dxa"/>
          <w:trHeight w:val="1550"/>
        </w:trPr>
        <w:tc>
          <w:tcPr>
            <w:tcW w:w="2076" w:type="dxa"/>
            <w:vMerge w:val="restart"/>
            <w:tcBorders>
              <w:top w:val="single" w:sz="4" w:space="0" w:color="auto"/>
              <w:left w:val="single" w:sz="4" w:space="0" w:color="auto"/>
              <w:bottom w:val="single" w:sz="4" w:space="0" w:color="auto"/>
              <w:right w:val="nil"/>
            </w:tcBorders>
            <w:shd w:val="clear" w:color="auto" w:fill="ED7D31" w:themeFill="accent2"/>
            <w:noWrap/>
            <w:vAlign w:val="bottom"/>
            <w:hideMark/>
          </w:tcPr>
          <w:p w14:paraId="00898BB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p w14:paraId="37C1B86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val="restart"/>
            <w:tcBorders>
              <w:top w:val="nil"/>
              <w:left w:val="single" w:sz="4" w:space="0" w:color="auto"/>
              <w:bottom w:val="single" w:sz="4" w:space="0" w:color="auto"/>
              <w:right w:val="single" w:sz="4" w:space="0" w:color="auto"/>
            </w:tcBorders>
            <w:shd w:val="clear" w:color="000000" w:fill="F2F2F2"/>
            <w:vAlign w:val="center"/>
            <w:hideMark/>
          </w:tcPr>
          <w:p w14:paraId="1DCD42B5"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r w:rsidRPr="00242EB4">
              <w:rPr>
                <w:rFonts w:ascii="Calibri" w:eastAsia="Times New Roman" w:hAnsi="Calibri" w:cs="Calibri"/>
                <w:color w:val="000000"/>
                <w:sz w:val="18"/>
                <w:szCs w:val="18"/>
                <w:lang w:val="es-CR" w:eastAsia="es-CR"/>
              </w:rPr>
              <w:t xml:space="preserve">Competencia justa es la práctica de garantizar que todas las partes que deseen proporcionar productos o servicios al proyecto tengan las mismas oportunidades de competir y ganar. Requiere tomar medidas para asegurar que ninguna parte individual tenga una ventaja injusta </w:t>
            </w:r>
            <w:r w:rsidRPr="00242EB4">
              <w:rPr>
                <w:rFonts w:ascii="Calibri" w:eastAsia="Times New Roman" w:hAnsi="Calibri" w:cs="Calibri"/>
                <w:color w:val="000000"/>
                <w:sz w:val="18"/>
                <w:szCs w:val="18"/>
                <w:lang w:val="es-CR" w:eastAsia="es-CR"/>
              </w:rPr>
              <w:lastRenderedPageBreak/>
              <w:t xml:space="preserve">debido al tamaño, la riqueza, la influencia o cualquier otro factor. Esto incluye hacer </w:t>
            </w:r>
            <w:r w:rsidRPr="00242EB4">
              <w:rPr>
                <w:rFonts w:ascii="Calibri" w:eastAsia="Times New Roman" w:hAnsi="Calibri" w:cs="Calibri"/>
                <w:noProof/>
                <w:color w:val="000000"/>
                <w:sz w:val="24"/>
                <w:lang w:val="es-CR" w:eastAsia="es-CR"/>
              </w:rPr>
              <w:drawing>
                <wp:anchor distT="0" distB="0" distL="114300" distR="114300" simplePos="0" relativeHeight="251679744" behindDoc="0" locked="0" layoutInCell="1" allowOverlap="1" wp14:anchorId="4E664F1E" wp14:editId="45F61BB2">
                  <wp:simplePos x="0" y="0"/>
                  <wp:positionH relativeFrom="column">
                    <wp:posOffset>-1165225</wp:posOffset>
                  </wp:positionH>
                  <wp:positionV relativeFrom="paragraph">
                    <wp:posOffset>752475</wp:posOffset>
                  </wp:positionV>
                  <wp:extent cx="1003300" cy="1041400"/>
                  <wp:effectExtent l="0" t="0" r="0" b="6350"/>
                  <wp:wrapNone/>
                  <wp:docPr id="59" name="Imagen 4">
                    <a:extLst xmlns:a="http://schemas.openxmlformats.org/drawingml/2006/main">
                      <a:ext uri="{FF2B5EF4-FFF2-40B4-BE49-F238E27FC236}">
                        <a16:creationId xmlns:a16="http://schemas.microsoft.com/office/drawing/2014/main" id="{00000000-0008-0000-0300-00003B000000}"/>
                      </a:ext>
                    </a:extLst>
                  </wp:docPr>
                  <wp:cNvGraphicFramePr/>
                  <a:graphic xmlns:a="http://schemas.openxmlformats.org/drawingml/2006/main">
                    <a:graphicData uri="http://schemas.openxmlformats.org/drawingml/2006/picture">
                      <pic:pic xmlns:pic="http://schemas.openxmlformats.org/drawingml/2006/picture">
                        <pic:nvPicPr>
                          <pic:cNvPr id="59" name="Picture 58">
                            <a:extLst>
                              <a:ext uri="{FF2B5EF4-FFF2-40B4-BE49-F238E27FC236}">
                                <a16:creationId xmlns:a16="http://schemas.microsoft.com/office/drawing/2014/main" id="{00000000-0008-0000-0300-00003B000000}"/>
                              </a:ext>
                            </a:extLst>
                          </pic:cNvPr>
                          <pic:cNvPicPr>
                            <a:picLocks noChangeAspect="1"/>
                          </pic:cNvPicPr>
                        </pic:nvPicPr>
                        <pic:blipFill>
                          <a:blip r:embed="rId45"/>
                          <a:stretch>
                            <a:fillRect/>
                          </a:stretch>
                        </pic:blipFill>
                        <pic:spPr>
                          <a:xfrm>
                            <a:off x="0" y="0"/>
                            <a:ext cx="1003300" cy="1041400"/>
                          </a:xfrm>
                          <a:prstGeom prst="rect">
                            <a:avLst/>
                          </a:prstGeom>
                        </pic:spPr>
                      </pic:pic>
                    </a:graphicData>
                  </a:graphic>
                  <wp14:sizeRelH relativeFrom="page">
                    <wp14:pctWidth>0</wp14:pctWidth>
                  </wp14:sizeRelH>
                  <wp14:sizeRelV relativeFrom="page">
                    <wp14:pctHeight>0</wp14:pctHeight>
                  </wp14:sizeRelV>
                </wp:anchor>
              </w:drawing>
            </w:r>
            <w:r w:rsidRPr="00242EB4">
              <w:rPr>
                <w:rFonts w:ascii="Calibri" w:eastAsia="Times New Roman" w:hAnsi="Calibri" w:cs="Calibri"/>
                <w:color w:val="000000"/>
                <w:sz w:val="18"/>
                <w:szCs w:val="18"/>
                <w:lang w:val="es-CR" w:eastAsia="es-CR"/>
              </w:rPr>
              <w:t>cumplir las leyes y regulaciones contra el comportamiento anticompetitivo, como la fijación de precios y la manipulación del mercado. Además, la competencia justa requiere la creación de procesos transparentes para licitaciones y adjudicaciones de contratos para garantizar oportunidades justas para empresas de todos los tamaños y tipos.</w:t>
            </w:r>
          </w:p>
        </w:tc>
        <w:tc>
          <w:tcPr>
            <w:tcW w:w="1701" w:type="dxa"/>
            <w:tcBorders>
              <w:top w:val="nil"/>
              <w:left w:val="nil"/>
              <w:bottom w:val="single" w:sz="4" w:space="0" w:color="auto"/>
              <w:right w:val="single" w:sz="4" w:space="0" w:color="auto"/>
            </w:tcBorders>
            <w:shd w:val="clear" w:color="000000" w:fill="F2F2F2"/>
            <w:noWrap/>
            <w:vAlign w:val="center"/>
            <w:hideMark/>
          </w:tcPr>
          <w:p w14:paraId="6684EA8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lastRenderedPageBreak/>
              <w:t>Vida Útil</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4260F8B"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132EFA7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La contratación de proveedores sin criterios justos puede afectar la calidad de materiales y servicios entregados.</w:t>
            </w:r>
          </w:p>
        </w:tc>
        <w:tc>
          <w:tcPr>
            <w:tcW w:w="2506" w:type="dxa"/>
            <w:tcBorders>
              <w:top w:val="nil"/>
              <w:left w:val="nil"/>
              <w:bottom w:val="single" w:sz="4" w:space="0" w:color="auto"/>
              <w:right w:val="single" w:sz="4" w:space="0" w:color="auto"/>
            </w:tcBorders>
            <w:hideMark/>
          </w:tcPr>
          <w:p w14:paraId="0C4AD50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Esto compromete la durabilidad de las soluciones implementadas en los proyectos.</w:t>
            </w:r>
          </w:p>
        </w:tc>
        <w:tc>
          <w:tcPr>
            <w:tcW w:w="1276" w:type="dxa"/>
            <w:tcBorders>
              <w:top w:val="nil"/>
              <w:left w:val="nil"/>
              <w:bottom w:val="single" w:sz="4" w:space="0" w:color="auto"/>
              <w:right w:val="single" w:sz="4" w:space="0" w:color="auto"/>
            </w:tcBorders>
            <w:noWrap/>
            <w:vAlign w:val="center"/>
            <w:hideMark/>
          </w:tcPr>
          <w:p w14:paraId="2DDB8A2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5A4F790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Aplicar procesos de licitación interna con criterios técnicos, económicos y de experiencia.</w:t>
            </w:r>
          </w:p>
        </w:tc>
        <w:tc>
          <w:tcPr>
            <w:tcW w:w="966" w:type="dxa"/>
            <w:tcBorders>
              <w:top w:val="nil"/>
              <w:left w:val="nil"/>
              <w:bottom w:val="single" w:sz="4" w:space="0" w:color="auto"/>
              <w:right w:val="single" w:sz="4" w:space="0" w:color="auto"/>
            </w:tcBorders>
            <w:noWrap/>
            <w:vAlign w:val="center"/>
            <w:hideMark/>
          </w:tcPr>
          <w:p w14:paraId="35E37F67"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739B552D"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291F997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Mejora en la calidad de entregables y mayor vida útil de los proyectos.</w:t>
            </w:r>
          </w:p>
        </w:tc>
      </w:tr>
      <w:tr w:rsidR="00F212FE" w:rsidRPr="00242EB4" w14:paraId="1FC06CB3" w14:textId="77777777" w:rsidTr="0055381F">
        <w:trPr>
          <w:gridAfter w:val="1"/>
          <w:wAfter w:w="118" w:type="dxa"/>
          <w:trHeight w:val="124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5F652A2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470FF4B6"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4A2BC75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Mantenimiento</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C8AB9DC"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4108E65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Acuerdos con proveedores sin competencia abierta pueden derivar en servicios costosos o ineficientes.</w:t>
            </w:r>
          </w:p>
        </w:tc>
        <w:tc>
          <w:tcPr>
            <w:tcW w:w="2506" w:type="dxa"/>
            <w:tcBorders>
              <w:top w:val="nil"/>
              <w:left w:val="nil"/>
              <w:bottom w:val="single" w:sz="4" w:space="0" w:color="auto"/>
              <w:right w:val="single" w:sz="4" w:space="0" w:color="auto"/>
            </w:tcBorders>
            <w:hideMark/>
          </w:tcPr>
          <w:p w14:paraId="0D78908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Esto impacta la sostenibilidad del mantenimiento en el tiempo.</w:t>
            </w:r>
          </w:p>
        </w:tc>
        <w:tc>
          <w:tcPr>
            <w:tcW w:w="1276" w:type="dxa"/>
            <w:tcBorders>
              <w:top w:val="nil"/>
              <w:left w:val="nil"/>
              <w:bottom w:val="single" w:sz="4" w:space="0" w:color="auto"/>
              <w:right w:val="single" w:sz="4" w:space="0" w:color="auto"/>
            </w:tcBorders>
            <w:noWrap/>
            <w:vAlign w:val="center"/>
            <w:hideMark/>
          </w:tcPr>
          <w:p w14:paraId="654CB852"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vAlign w:val="center"/>
            <w:hideMark/>
          </w:tcPr>
          <w:p w14:paraId="4B480D9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Establecer procedimientos de evaluación periódica de proveedores y contratos abiertos a revisión.</w:t>
            </w:r>
          </w:p>
        </w:tc>
        <w:tc>
          <w:tcPr>
            <w:tcW w:w="966" w:type="dxa"/>
            <w:tcBorders>
              <w:top w:val="nil"/>
              <w:left w:val="nil"/>
              <w:bottom w:val="single" w:sz="4" w:space="0" w:color="auto"/>
              <w:right w:val="single" w:sz="4" w:space="0" w:color="auto"/>
            </w:tcBorders>
            <w:noWrap/>
            <w:vAlign w:val="center"/>
            <w:hideMark/>
          </w:tcPr>
          <w:p w14:paraId="263F0220"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992" w:type="dxa"/>
            <w:tcBorders>
              <w:top w:val="nil"/>
              <w:left w:val="nil"/>
              <w:bottom w:val="single" w:sz="4" w:space="0" w:color="auto"/>
              <w:right w:val="single" w:sz="4" w:space="0" w:color="auto"/>
            </w:tcBorders>
            <w:noWrap/>
            <w:vAlign w:val="center"/>
            <w:hideMark/>
          </w:tcPr>
          <w:p w14:paraId="5A41410B"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14691E6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Mejora en la eficiencia operativa y sostenibilidad del servicio.</w:t>
            </w:r>
          </w:p>
        </w:tc>
      </w:tr>
      <w:tr w:rsidR="00F212FE" w:rsidRPr="00242EB4" w14:paraId="7AC0C944" w14:textId="77777777" w:rsidTr="0055381F">
        <w:trPr>
          <w:gridAfter w:val="1"/>
          <w:wAfter w:w="118" w:type="dxa"/>
          <w:trHeight w:val="124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3416DE9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6C669009"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35B09E2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Eficacia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3B04C28"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2D667C6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La competencia desleal puede limitar el acceso a mejores soluciones o tecnologías por favoritismo.</w:t>
            </w:r>
          </w:p>
        </w:tc>
        <w:tc>
          <w:tcPr>
            <w:tcW w:w="2506" w:type="dxa"/>
            <w:tcBorders>
              <w:top w:val="nil"/>
              <w:left w:val="nil"/>
              <w:bottom w:val="single" w:sz="4" w:space="0" w:color="auto"/>
              <w:right w:val="single" w:sz="4" w:space="0" w:color="auto"/>
            </w:tcBorders>
            <w:hideMark/>
          </w:tcPr>
          <w:p w14:paraId="4FBEC45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Se compromete el logro de objetivos técnicos y de innovación en el proyecto.</w:t>
            </w:r>
          </w:p>
        </w:tc>
        <w:tc>
          <w:tcPr>
            <w:tcW w:w="1276" w:type="dxa"/>
            <w:tcBorders>
              <w:top w:val="nil"/>
              <w:left w:val="nil"/>
              <w:bottom w:val="single" w:sz="4" w:space="0" w:color="auto"/>
              <w:right w:val="single" w:sz="4" w:space="0" w:color="auto"/>
            </w:tcBorders>
            <w:noWrap/>
            <w:vAlign w:val="center"/>
            <w:hideMark/>
          </w:tcPr>
          <w:p w14:paraId="647F50C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2977" w:type="dxa"/>
            <w:tcBorders>
              <w:top w:val="nil"/>
              <w:left w:val="nil"/>
              <w:bottom w:val="single" w:sz="4" w:space="0" w:color="auto"/>
              <w:right w:val="single" w:sz="4" w:space="0" w:color="auto"/>
            </w:tcBorders>
            <w:vAlign w:val="center"/>
            <w:hideMark/>
          </w:tcPr>
          <w:p w14:paraId="034A3F2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Establecer requisitos mínimos claros y publicar criterios de evaluación para contratistas.</w:t>
            </w:r>
          </w:p>
        </w:tc>
        <w:tc>
          <w:tcPr>
            <w:tcW w:w="966" w:type="dxa"/>
            <w:tcBorders>
              <w:top w:val="nil"/>
              <w:left w:val="nil"/>
              <w:bottom w:val="single" w:sz="4" w:space="0" w:color="auto"/>
              <w:right w:val="single" w:sz="4" w:space="0" w:color="auto"/>
            </w:tcBorders>
            <w:noWrap/>
            <w:vAlign w:val="center"/>
            <w:hideMark/>
          </w:tcPr>
          <w:p w14:paraId="52658DBD"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1CFB6BF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7468FD0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Mayor cumplimiento de metas técnicas y apertura a nuevas soluciones.</w:t>
            </w:r>
          </w:p>
        </w:tc>
      </w:tr>
      <w:tr w:rsidR="00F212FE" w:rsidRPr="00242EB4" w14:paraId="316634BF" w14:textId="77777777" w:rsidTr="0055381F">
        <w:trPr>
          <w:gridAfter w:val="1"/>
          <w:wAfter w:w="118" w:type="dxa"/>
          <w:trHeight w:val="155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50F6251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0DFAF400"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6F6F606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Eficiencia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ED1C59B"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709686B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Procesos sin competencia justa pueden resultar en precios elevados o servicios con baja relación costo-beneficio.</w:t>
            </w:r>
          </w:p>
        </w:tc>
        <w:tc>
          <w:tcPr>
            <w:tcW w:w="2506" w:type="dxa"/>
            <w:tcBorders>
              <w:top w:val="nil"/>
              <w:left w:val="nil"/>
              <w:bottom w:val="single" w:sz="4" w:space="0" w:color="auto"/>
              <w:right w:val="single" w:sz="4" w:space="0" w:color="auto"/>
            </w:tcBorders>
            <w:hideMark/>
          </w:tcPr>
          <w:p w14:paraId="59BB68F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Se incrementan los costos innecesarios y se reduce el aprovechamiento de recursos.</w:t>
            </w:r>
          </w:p>
        </w:tc>
        <w:tc>
          <w:tcPr>
            <w:tcW w:w="1276" w:type="dxa"/>
            <w:tcBorders>
              <w:top w:val="nil"/>
              <w:left w:val="nil"/>
              <w:bottom w:val="single" w:sz="4" w:space="0" w:color="auto"/>
              <w:right w:val="single" w:sz="4" w:space="0" w:color="auto"/>
            </w:tcBorders>
            <w:noWrap/>
            <w:vAlign w:val="center"/>
            <w:hideMark/>
          </w:tcPr>
          <w:p w14:paraId="05B7561B"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656EF30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Implementar comparativos de mercado y un comité de evaluación para decisiones de contratación.</w:t>
            </w:r>
          </w:p>
        </w:tc>
        <w:tc>
          <w:tcPr>
            <w:tcW w:w="966" w:type="dxa"/>
            <w:tcBorders>
              <w:top w:val="nil"/>
              <w:left w:val="nil"/>
              <w:bottom w:val="single" w:sz="4" w:space="0" w:color="auto"/>
              <w:right w:val="single" w:sz="4" w:space="0" w:color="auto"/>
            </w:tcBorders>
            <w:noWrap/>
            <w:vAlign w:val="center"/>
            <w:hideMark/>
          </w:tcPr>
          <w:p w14:paraId="6C6DDCE8"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4DC0A52B"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728D4A3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Reducción de sobrecostos y mayor eficiencia financiera.</w:t>
            </w:r>
          </w:p>
        </w:tc>
      </w:tr>
      <w:tr w:rsidR="00F212FE" w:rsidRPr="00242EB4" w14:paraId="156E58AB" w14:textId="77777777" w:rsidTr="0055381F">
        <w:trPr>
          <w:gridAfter w:val="1"/>
          <w:wAfter w:w="118" w:type="dxa"/>
          <w:trHeight w:val="84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39023F8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264CFEF5"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72DDC4B5"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Imparcialidad</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0D04D70"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12379AE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La falta de procesos transparentes puede generar favoritismo, exclusión de pymes y percepción de injusticia. </w:t>
            </w:r>
          </w:p>
        </w:tc>
        <w:tc>
          <w:tcPr>
            <w:tcW w:w="2506" w:type="dxa"/>
            <w:tcBorders>
              <w:top w:val="nil"/>
              <w:left w:val="nil"/>
              <w:bottom w:val="single" w:sz="4" w:space="0" w:color="auto"/>
              <w:right w:val="single" w:sz="4" w:space="0" w:color="auto"/>
            </w:tcBorders>
            <w:hideMark/>
          </w:tcPr>
          <w:p w14:paraId="7A3F5CB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Se vulneran principios de equidad y se limita la participación justa.</w:t>
            </w:r>
          </w:p>
        </w:tc>
        <w:tc>
          <w:tcPr>
            <w:tcW w:w="1276" w:type="dxa"/>
            <w:tcBorders>
              <w:top w:val="nil"/>
              <w:left w:val="nil"/>
              <w:bottom w:val="single" w:sz="4" w:space="0" w:color="auto"/>
              <w:right w:val="single" w:sz="4" w:space="0" w:color="auto"/>
            </w:tcBorders>
            <w:noWrap/>
            <w:vAlign w:val="center"/>
            <w:hideMark/>
          </w:tcPr>
          <w:p w14:paraId="6BD605BE"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2977" w:type="dxa"/>
            <w:tcBorders>
              <w:top w:val="nil"/>
              <w:left w:val="nil"/>
              <w:bottom w:val="single" w:sz="4" w:space="0" w:color="auto"/>
              <w:right w:val="single" w:sz="4" w:space="0" w:color="auto"/>
            </w:tcBorders>
            <w:hideMark/>
          </w:tcPr>
          <w:p w14:paraId="0CA73BB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Promover procesos inclusivos con convocatorias abiertas, criterios objetivos y participación diversa.</w:t>
            </w:r>
          </w:p>
        </w:tc>
        <w:tc>
          <w:tcPr>
            <w:tcW w:w="966" w:type="dxa"/>
            <w:tcBorders>
              <w:top w:val="nil"/>
              <w:left w:val="nil"/>
              <w:bottom w:val="single" w:sz="4" w:space="0" w:color="auto"/>
              <w:right w:val="single" w:sz="4" w:space="0" w:color="auto"/>
            </w:tcBorders>
            <w:noWrap/>
            <w:vAlign w:val="center"/>
            <w:hideMark/>
          </w:tcPr>
          <w:p w14:paraId="06A9BDE9"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5</w:t>
            </w:r>
          </w:p>
        </w:tc>
        <w:tc>
          <w:tcPr>
            <w:tcW w:w="992" w:type="dxa"/>
            <w:tcBorders>
              <w:top w:val="nil"/>
              <w:left w:val="nil"/>
              <w:bottom w:val="single" w:sz="4" w:space="0" w:color="auto"/>
              <w:right w:val="single" w:sz="4" w:space="0" w:color="auto"/>
            </w:tcBorders>
            <w:noWrap/>
            <w:vAlign w:val="center"/>
            <w:hideMark/>
          </w:tcPr>
          <w:p w14:paraId="38E7477F"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1BAEA14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Fortalecimiento de la equidad, transparencia y reputación del proyecto.</w:t>
            </w:r>
          </w:p>
        </w:tc>
      </w:tr>
      <w:tr w:rsidR="00F212FE" w:rsidRPr="00242EB4" w14:paraId="2986CA88" w14:textId="77777777" w:rsidTr="0055381F">
        <w:trPr>
          <w:gridAfter w:val="1"/>
          <w:wAfter w:w="118" w:type="dxa"/>
          <w:trHeight w:val="1550"/>
        </w:trPr>
        <w:tc>
          <w:tcPr>
            <w:tcW w:w="2076" w:type="dxa"/>
            <w:vMerge w:val="restart"/>
            <w:tcBorders>
              <w:top w:val="single" w:sz="4" w:space="0" w:color="auto"/>
              <w:left w:val="single" w:sz="4" w:space="0" w:color="auto"/>
              <w:bottom w:val="single" w:sz="4" w:space="0" w:color="auto"/>
              <w:right w:val="single" w:sz="4" w:space="0" w:color="auto"/>
            </w:tcBorders>
            <w:shd w:val="clear" w:color="auto" w:fill="ED7D31" w:themeFill="accent2"/>
            <w:noWrap/>
            <w:vAlign w:val="bottom"/>
            <w:hideMark/>
          </w:tcPr>
          <w:p w14:paraId="454C683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p w14:paraId="1F470CD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val="restart"/>
            <w:tcBorders>
              <w:top w:val="nil"/>
              <w:left w:val="single" w:sz="4" w:space="0" w:color="auto"/>
              <w:bottom w:val="single" w:sz="4" w:space="0" w:color="auto"/>
              <w:right w:val="single" w:sz="4" w:space="0" w:color="auto"/>
            </w:tcBorders>
            <w:shd w:val="clear" w:color="000000" w:fill="F2F2F2"/>
            <w:vAlign w:val="center"/>
            <w:hideMark/>
          </w:tcPr>
          <w:p w14:paraId="03C4DF3D"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r w:rsidRPr="00242EB4">
              <w:rPr>
                <w:rFonts w:ascii="Calibri" w:eastAsia="Times New Roman" w:hAnsi="Calibri" w:cs="Calibri"/>
                <w:color w:val="000000"/>
                <w:sz w:val="18"/>
                <w:szCs w:val="18"/>
                <w:lang w:val="es-CR" w:eastAsia="es-CR"/>
              </w:rPr>
              <w:t xml:space="preserve">Tecnología responsable es la práctica de tener en cuenta las implicancias éticas, legales y sociales al ejecutar proyectos que involucran tecnologías nuevas o emergentes. Esto incluye el desarrollo y la adhesión a marcos y políticas relacionados con la privacidad de datos, los derechos </w:t>
            </w:r>
            <w:r w:rsidRPr="00242EB4">
              <w:rPr>
                <w:rFonts w:ascii="Calibri" w:eastAsia="Times New Roman" w:hAnsi="Calibri" w:cs="Calibri"/>
                <w:noProof/>
                <w:color w:val="000000"/>
                <w:sz w:val="24"/>
                <w:lang w:val="es-CR" w:eastAsia="es-CR"/>
              </w:rPr>
              <w:drawing>
                <wp:anchor distT="0" distB="0" distL="114300" distR="114300" simplePos="0" relativeHeight="251680768" behindDoc="0" locked="0" layoutInCell="1" allowOverlap="1" wp14:anchorId="0D9167CA" wp14:editId="1E4767FB">
                  <wp:simplePos x="0" y="0"/>
                  <wp:positionH relativeFrom="column">
                    <wp:posOffset>-1368425</wp:posOffset>
                  </wp:positionH>
                  <wp:positionV relativeFrom="paragraph">
                    <wp:posOffset>514985</wp:posOffset>
                  </wp:positionV>
                  <wp:extent cx="965200" cy="850900"/>
                  <wp:effectExtent l="0" t="0" r="0" b="6350"/>
                  <wp:wrapNone/>
                  <wp:docPr id="60" name="Imagen 3">
                    <a:extLst xmlns:a="http://schemas.openxmlformats.org/drawingml/2006/main">
                      <a:ext uri="{FF2B5EF4-FFF2-40B4-BE49-F238E27FC236}">
                        <a16:creationId xmlns:a16="http://schemas.microsoft.com/office/drawing/2014/main" id="{00000000-0008-0000-0300-00003C000000}"/>
                      </a:ext>
                    </a:extLst>
                  </wp:docPr>
                  <wp:cNvGraphicFramePr/>
                  <a:graphic xmlns:a="http://schemas.openxmlformats.org/drawingml/2006/main">
                    <a:graphicData uri="http://schemas.openxmlformats.org/drawingml/2006/picture">
                      <pic:pic xmlns:pic="http://schemas.openxmlformats.org/drawingml/2006/picture">
                        <pic:nvPicPr>
                          <pic:cNvPr id="60" name="Picture 59">
                            <a:extLst>
                              <a:ext uri="{FF2B5EF4-FFF2-40B4-BE49-F238E27FC236}">
                                <a16:creationId xmlns:a16="http://schemas.microsoft.com/office/drawing/2014/main" id="{00000000-0008-0000-0300-00003C000000}"/>
                              </a:ext>
                            </a:extLst>
                          </pic:cNvPr>
                          <pic:cNvPicPr>
                            <a:picLocks noChangeAspect="1"/>
                          </pic:cNvPicPr>
                        </pic:nvPicPr>
                        <pic:blipFill>
                          <a:blip r:embed="rId46"/>
                          <a:stretch>
                            <a:fillRect/>
                          </a:stretch>
                        </pic:blipFill>
                        <pic:spPr>
                          <a:xfrm>
                            <a:off x="0" y="0"/>
                            <a:ext cx="965200" cy="850900"/>
                          </a:xfrm>
                          <a:prstGeom prst="rect">
                            <a:avLst/>
                          </a:prstGeom>
                        </pic:spPr>
                      </pic:pic>
                    </a:graphicData>
                  </a:graphic>
                  <wp14:sizeRelH relativeFrom="page">
                    <wp14:pctWidth>0</wp14:pctWidth>
                  </wp14:sizeRelH>
                  <wp14:sizeRelV relativeFrom="page">
                    <wp14:pctHeight>0</wp14:pctHeight>
                  </wp14:sizeRelV>
                </wp:anchor>
              </w:drawing>
            </w:r>
            <w:r w:rsidRPr="00242EB4">
              <w:rPr>
                <w:rFonts w:ascii="Calibri" w:eastAsia="Times New Roman" w:hAnsi="Calibri" w:cs="Calibri"/>
                <w:color w:val="000000"/>
                <w:sz w:val="18"/>
                <w:szCs w:val="18"/>
                <w:lang w:val="es-CR" w:eastAsia="es-CR"/>
              </w:rPr>
              <w:t>de propiedad intelectual, el impacto ambiental, la diversidad y la inclusión. La tecnología responsable también requiere garantizar que la tecnología se utilice de manera segura y responsable.</w:t>
            </w:r>
          </w:p>
        </w:tc>
        <w:tc>
          <w:tcPr>
            <w:tcW w:w="1701" w:type="dxa"/>
            <w:tcBorders>
              <w:top w:val="nil"/>
              <w:left w:val="nil"/>
              <w:bottom w:val="single" w:sz="4" w:space="0" w:color="auto"/>
              <w:right w:val="single" w:sz="4" w:space="0" w:color="auto"/>
            </w:tcBorders>
            <w:shd w:val="clear" w:color="000000" w:fill="F2F2F2"/>
            <w:noWrap/>
            <w:vAlign w:val="center"/>
            <w:hideMark/>
          </w:tcPr>
          <w:p w14:paraId="32B4EB0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Vida Útil</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1A9F490"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501823E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La falta de lineamientos éticos para el uso de tecnología puede llevar a soluciones poco sostenibles o rápidamente obsoletas.</w:t>
            </w:r>
          </w:p>
        </w:tc>
        <w:tc>
          <w:tcPr>
            <w:tcW w:w="2506" w:type="dxa"/>
            <w:tcBorders>
              <w:top w:val="nil"/>
              <w:left w:val="nil"/>
              <w:bottom w:val="single" w:sz="4" w:space="0" w:color="auto"/>
              <w:right w:val="single" w:sz="4" w:space="0" w:color="auto"/>
            </w:tcBorders>
            <w:hideMark/>
          </w:tcPr>
          <w:p w14:paraId="4926753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Riesgo de implementar herramientas que no se ajusten a las necesidades reales del proyecto.</w:t>
            </w:r>
          </w:p>
        </w:tc>
        <w:tc>
          <w:tcPr>
            <w:tcW w:w="1276" w:type="dxa"/>
            <w:tcBorders>
              <w:top w:val="nil"/>
              <w:left w:val="nil"/>
              <w:bottom w:val="single" w:sz="4" w:space="0" w:color="auto"/>
              <w:right w:val="single" w:sz="4" w:space="0" w:color="auto"/>
            </w:tcBorders>
            <w:noWrap/>
            <w:vAlign w:val="center"/>
            <w:hideMark/>
          </w:tcPr>
          <w:p w14:paraId="636AA09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0C9F4E6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Definir una política de adopción tecnológica basada en principios de durabilidad, actualización y adaptabilidad.</w:t>
            </w:r>
          </w:p>
        </w:tc>
        <w:tc>
          <w:tcPr>
            <w:tcW w:w="966" w:type="dxa"/>
            <w:tcBorders>
              <w:top w:val="nil"/>
              <w:left w:val="nil"/>
              <w:bottom w:val="single" w:sz="4" w:space="0" w:color="auto"/>
              <w:right w:val="single" w:sz="4" w:space="0" w:color="auto"/>
            </w:tcBorders>
            <w:noWrap/>
            <w:vAlign w:val="center"/>
            <w:hideMark/>
          </w:tcPr>
          <w:p w14:paraId="569033FD"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752757EF"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016562A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Implementación de tecnologías con mayor ciclo de vida útil y menor obsolescencia.</w:t>
            </w:r>
          </w:p>
        </w:tc>
      </w:tr>
      <w:tr w:rsidR="00F212FE" w:rsidRPr="00242EB4" w14:paraId="0D0A6885" w14:textId="77777777" w:rsidTr="0055381F">
        <w:trPr>
          <w:gridAfter w:val="1"/>
          <w:wAfter w:w="118" w:type="dxa"/>
          <w:trHeight w:val="1550"/>
        </w:trPr>
        <w:tc>
          <w:tcPr>
            <w:tcW w:w="2076" w:type="dxa"/>
            <w:vMerge/>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331494C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379C85AD"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0AC104D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Mantenimiento</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9E39D19"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1C0E9EA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Sin monitoreo ni actualización de tecnologías, se compromete su operatividad y mantenimiento futuro.</w:t>
            </w:r>
          </w:p>
        </w:tc>
        <w:tc>
          <w:tcPr>
            <w:tcW w:w="2506" w:type="dxa"/>
            <w:tcBorders>
              <w:top w:val="nil"/>
              <w:left w:val="nil"/>
              <w:bottom w:val="single" w:sz="4" w:space="0" w:color="auto"/>
              <w:right w:val="single" w:sz="4" w:space="0" w:color="auto"/>
            </w:tcBorders>
            <w:hideMark/>
          </w:tcPr>
          <w:p w14:paraId="77E8321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Esto genera sobrecostos y pérdida de funcionalidad.</w:t>
            </w:r>
          </w:p>
        </w:tc>
        <w:tc>
          <w:tcPr>
            <w:tcW w:w="1276" w:type="dxa"/>
            <w:tcBorders>
              <w:top w:val="nil"/>
              <w:left w:val="nil"/>
              <w:bottom w:val="single" w:sz="4" w:space="0" w:color="auto"/>
              <w:right w:val="single" w:sz="4" w:space="0" w:color="auto"/>
            </w:tcBorders>
            <w:noWrap/>
            <w:vAlign w:val="center"/>
            <w:hideMark/>
          </w:tcPr>
          <w:p w14:paraId="21D6B7FC"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455CFC5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Establecer un sistema de revisión tecnológica semestral con criterios de mantenimiento y compatibilidad.</w:t>
            </w:r>
          </w:p>
        </w:tc>
        <w:tc>
          <w:tcPr>
            <w:tcW w:w="966" w:type="dxa"/>
            <w:tcBorders>
              <w:top w:val="nil"/>
              <w:left w:val="nil"/>
              <w:bottom w:val="single" w:sz="4" w:space="0" w:color="auto"/>
              <w:right w:val="single" w:sz="4" w:space="0" w:color="auto"/>
            </w:tcBorders>
            <w:noWrap/>
            <w:vAlign w:val="center"/>
            <w:hideMark/>
          </w:tcPr>
          <w:p w14:paraId="1B4A5002"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992" w:type="dxa"/>
            <w:tcBorders>
              <w:top w:val="nil"/>
              <w:left w:val="nil"/>
              <w:bottom w:val="single" w:sz="4" w:space="0" w:color="auto"/>
              <w:right w:val="single" w:sz="4" w:space="0" w:color="auto"/>
            </w:tcBorders>
            <w:noWrap/>
            <w:vAlign w:val="center"/>
            <w:hideMark/>
          </w:tcPr>
          <w:p w14:paraId="0CEC1680"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5827E1B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Mayor continuidad operativa y facilidad de mantenimiento.</w:t>
            </w:r>
          </w:p>
        </w:tc>
      </w:tr>
      <w:tr w:rsidR="00F212FE" w:rsidRPr="00242EB4" w14:paraId="7700EBC3" w14:textId="77777777" w:rsidTr="0055381F">
        <w:trPr>
          <w:gridAfter w:val="1"/>
          <w:wAfter w:w="118" w:type="dxa"/>
          <w:trHeight w:val="1550"/>
        </w:trPr>
        <w:tc>
          <w:tcPr>
            <w:tcW w:w="2076" w:type="dxa"/>
            <w:vMerge/>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63587DA5"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54D92025"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28B3194A"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Eficacia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9DDEA4B"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51724B3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El uso de tecnología sin evaluación previa puede no contribuir efectivamente al cumplimiento de los objetivos del proyecto.</w:t>
            </w:r>
          </w:p>
        </w:tc>
        <w:tc>
          <w:tcPr>
            <w:tcW w:w="2506" w:type="dxa"/>
            <w:tcBorders>
              <w:top w:val="nil"/>
              <w:left w:val="nil"/>
              <w:bottom w:val="single" w:sz="4" w:space="0" w:color="auto"/>
              <w:right w:val="single" w:sz="4" w:space="0" w:color="auto"/>
            </w:tcBorders>
            <w:hideMark/>
          </w:tcPr>
          <w:p w14:paraId="28BC3C2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Afecta calidad, tiempos y resultados.</w:t>
            </w:r>
          </w:p>
        </w:tc>
        <w:tc>
          <w:tcPr>
            <w:tcW w:w="1276" w:type="dxa"/>
            <w:tcBorders>
              <w:top w:val="nil"/>
              <w:left w:val="nil"/>
              <w:bottom w:val="single" w:sz="4" w:space="0" w:color="auto"/>
              <w:right w:val="single" w:sz="4" w:space="0" w:color="auto"/>
            </w:tcBorders>
            <w:noWrap/>
            <w:vAlign w:val="center"/>
            <w:hideMark/>
          </w:tcPr>
          <w:p w14:paraId="585C3600"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2977" w:type="dxa"/>
            <w:tcBorders>
              <w:top w:val="nil"/>
              <w:left w:val="nil"/>
              <w:bottom w:val="single" w:sz="4" w:space="0" w:color="auto"/>
              <w:right w:val="single" w:sz="4" w:space="0" w:color="auto"/>
            </w:tcBorders>
            <w:hideMark/>
          </w:tcPr>
          <w:p w14:paraId="649080A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Incluir una fase de validación de nuevas tecnologías mediante pilotos o pruebas controladas.</w:t>
            </w:r>
          </w:p>
        </w:tc>
        <w:tc>
          <w:tcPr>
            <w:tcW w:w="966" w:type="dxa"/>
            <w:tcBorders>
              <w:top w:val="nil"/>
              <w:left w:val="nil"/>
              <w:bottom w:val="single" w:sz="4" w:space="0" w:color="auto"/>
              <w:right w:val="single" w:sz="4" w:space="0" w:color="auto"/>
            </w:tcBorders>
            <w:noWrap/>
            <w:vAlign w:val="center"/>
            <w:hideMark/>
          </w:tcPr>
          <w:p w14:paraId="16A5758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5</w:t>
            </w:r>
          </w:p>
        </w:tc>
        <w:tc>
          <w:tcPr>
            <w:tcW w:w="992" w:type="dxa"/>
            <w:tcBorders>
              <w:top w:val="nil"/>
              <w:left w:val="nil"/>
              <w:bottom w:val="single" w:sz="4" w:space="0" w:color="auto"/>
              <w:right w:val="single" w:sz="4" w:space="0" w:color="auto"/>
            </w:tcBorders>
            <w:noWrap/>
            <w:vAlign w:val="center"/>
            <w:hideMark/>
          </w:tcPr>
          <w:p w14:paraId="649A2EC7"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0A0182B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Mayor alineación entre las herramientas tecnológicas y las metas del proyecto.</w:t>
            </w:r>
          </w:p>
        </w:tc>
      </w:tr>
      <w:tr w:rsidR="00F212FE" w:rsidRPr="00242EB4" w14:paraId="5DBDA690" w14:textId="77777777" w:rsidTr="0055381F">
        <w:trPr>
          <w:gridAfter w:val="1"/>
          <w:wAfter w:w="118" w:type="dxa"/>
          <w:trHeight w:val="1240"/>
        </w:trPr>
        <w:tc>
          <w:tcPr>
            <w:tcW w:w="2076" w:type="dxa"/>
            <w:vMerge/>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7961A20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3190FE78"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227F100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Eficiencia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F9756A6"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6BE42AA5"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La implementación de tecnologías sin capacitación o sin procesos puede derivar en errores y retrabajos.</w:t>
            </w:r>
          </w:p>
        </w:tc>
        <w:tc>
          <w:tcPr>
            <w:tcW w:w="2506" w:type="dxa"/>
            <w:tcBorders>
              <w:top w:val="nil"/>
              <w:left w:val="nil"/>
              <w:bottom w:val="single" w:sz="4" w:space="0" w:color="auto"/>
              <w:right w:val="single" w:sz="4" w:space="0" w:color="auto"/>
            </w:tcBorders>
            <w:hideMark/>
          </w:tcPr>
          <w:p w14:paraId="2B44DE0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Impacta la eficiencia operativa.</w:t>
            </w:r>
          </w:p>
        </w:tc>
        <w:tc>
          <w:tcPr>
            <w:tcW w:w="1276" w:type="dxa"/>
            <w:tcBorders>
              <w:top w:val="nil"/>
              <w:left w:val="nil"/>
              <w:bottom w:val="single" w:sz="4" w:space="0" w:color="auto"/>
              <w:right w:val="single" w:sz="4" w:space="0" w:color="auto"/>
            </w:tcBorders>
            <w:noWrap/>
            <w:vAlign w:val="center"/>
            <w:hideMark/>
          </w:tcPr>
          <w:p w14:paraId="0C065D2E"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6B316EB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Incluir formación obligatoria sobre nuevas herramientas antes de su uso en campo.</w:t>
            </w:r>
          </w:p>
        </w:tc>
        <w:tc>
          <w:tcPr>
            <w:tcW w:w="966" w:type="dxa"/>
            <w:tcBorders>
              <w:top w:val="nil"/>
              <w:left w:val="nil"/>
              <w:bottom w:val="single" w:sz="4" w:space="0" w:color="auto"/>
              <w:right w:val="single" w:sz="4" w:space="0" w:color="auto"/>
            </w:tcBorders>
            <w:noWrap/>
            <w:vAlign w:val="center"/>
            <w:hideMark/>
          </w:tcPr>
          <w:p w14:paraId="627288B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5EF329D8"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3199361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Mayor alineación entre las herramientas tecnológicas y las metas del proyecto.</w:t>
            </w:r>
          </w:p>
        </w:tc>
      </w:tr>
      <w:tr w:rsidR="00F212FE" w:rsidRPr="00242EB4" w14:paraId="109F2938" w14:textId="77777777" w:rsidTr="0055381F">
        <w:trPr>
          <w:gridAfter w:val="1"/>
          <w:wAfter w:w="118" w:type="dxa"/>
          <w:trHeight w:val="1550"/>
        </w:trPr>
        <w:tc>
          <w:tcPr>
            <w:tcW w:w="2076" w:type="dxa"/>
            <w:vMerge/>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4FABCCB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0CD93943" w14:textId="77777777" w:rsidR="00F212FE" w:rsidRPr="00242EB4" w:rsidRDefault="00F212FE" w:rsidP="0055381F">
            <w:pPr>
              <w:spacing w:line="240" w:lineRule="auto"/>
              <w:ind w:firstLine="0"/>
              <w:rPr>
                <w:rFonts w:ascii="Calibri" w:eastAsia="Times New Roman" w:hAnsi="Calibri" w:cs="Calibri"/>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04767C5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Imparcialidad</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08C9D2C"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3D76881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La adopción de tecnología sin considerar inclusión puede excluir a ciertos perfiles o generar desigualdades.</w:t>
            </w:r>
          </w:p>
        </w:tc>
        <w:tc>
          <w:tcPr>
            <w:tcW w:w="2506" w:type="dxa"/>
            <w:tcBorders>
              <w:top w:val="nil"/>
              <w:left w:val="nil"/>
              <w:bottom w:val="single" w:sz="4" w:space="0" w:color="auto"/>
              <w:right w:val="single" w:sz="4" w:space="0" w:color="auto"/>
            </w:tcBorders>
            <w:hideMark/>
          </w:tcPr>
          <w:p w14:paraId="074F8B7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Se limita la participación equitativa en los proyectos.</w:t>
            </w:r>
          </w:p>
        </w:tc>
        <w:tc>
          <w:tcPr>
            <w:tcW w:w="1276" w:type="dxa"/>
            <w:tcBorders>
              <w:top w:val="nil"/>
              <w:left w:val="nil"/>
              <w:bottom w:val="single" w:sz="4" w:space="0" w:color="auto"/>
              <w:right w:val="single" w:sz="4" w:space="0" w:color="auto"/>
            </w:tcBorders>
            <w:noWrap/>
            <w:vAlign w:val="center"/>
            <w:hideMark/>
          </w:tcPr>
          <w:p w14:paraId="11A4FA31"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2977" w:type="dxa"/>
            <w:tcBorders>
              <w:top w:val="nil"/>
              <w:left w:val="nil"/>
              <w:bottom w:val="single" w:sz="4" w:space="0" w:color="auto"/>
              <w:right w:val="single" w:sz="4" w:space="0" w:color="auto"/>
            </w:tcBorders>
            <w:hideMark/>
          </w:tcPr>
          <w:p w14:paraId="011EED9D"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Desarrollar políticas que aseguren accesibilidad tecnológica e inclusión digital (interfaces amigables, formación equitativa).</w:t>
            </w:r>
          </w:p>
        </w:tc>
        <w:tc>
          <w:tcPr>
            <w:tcW w:w="966" w:type="dxa"/>
            <w:tcBorders>
              <w:top w:val="nil"/>
              <w:left w:val="nil"/>
              <w:bottom w:val="single" w:sz="4" w:space="0" w:color="auto"/>
              <w:right w:val="single" w:sz="4" w:space="0" w:color="auto"/>
            </w:tcBorders>
            <w:noWrap/>
            <w:vAlign w:val="center"/>
            <w:hideMark/>
          </w:tcPr>
          <w:p w14:paraId="1A8E6246"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5</w:t>
            </w:r>
          </w:p>
        </w:tc>
        <w:tc>
          <w:tcPr>
            <w:tcW w:w="992" w:type="dxa"/>
            <w:tcBorders>
              <w:top w:val="nil"/>
              <w:left w:val="nil"/>
              <w:bottom w:val="single" w:sz="4" w:space="0" w:color="auto"/>
              <w:right w:val="single" w:sz="4" w:space="0" w:color="auto"/>
            </w:tcBorders>
            <w:noWrap/>
            <w:vAlign w:val="center"/>
            <w:hideMark/>
          </w:tcPr>
          <w:p w14:paraId="635CE0C9"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vAlign w:val="center"/>
            <w:hideMark/>
          </w:tcPr>
          <w:p w14:paraId="7D285DB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Mejor uso de recursos y reducción de fallos operativos.</w:t>
            </w:r>
          </w:p>
        </w:tc>
      </w:tr>
      <w:tr w:rsidR="00F212FE" w:rsidRPr="00242EB4" w14:paraId="733DA6D2" w14:textId="77777777" w:rsidTr="0055381F">
        <w:trPr>
          <w:gridAfter w:val="1"/>
          <w:wAfter w:w="118" w:type="dxa"/>
          <w:trHeight w:val="500"/>
        </w:trPr>
        <w:tc>
          <w:tcPr>
            <w:tcW w:w="2076" w:type="dxa"/>
            <w:vMerge w:val="restart"/>
            <w:tcBorders>
              <w:top w:val="single" w:sz="4" w:space="0" w:color="auto"/>
              <w:left w:val="single" w:sz="4" w:space="0" w:color="auto"/>
              <w:bottom w:val="single" w:sz="4" w:space="0" w:color="auto"/>
              <w:right w:val="nil"/>
            </w:tcBorders>
            <w:shd w:val="clear" w:color="auto" w:fill="ED7D31" w:themeFill="accent2"/>
            <w:noWrap/>
            <w:vAlign w:val="bottom"/>
            <w:hideMark/>
          </w:tcPr>
          <w:p w14:paraId="44FCFB9F" w14:textId="77777777" w:rsidR="00F212FE" w:rsidRDefault="00F212FE" w:rsidP="0055381F">
            <w:pPr>
              <w:spacing w:line="240" w:lineRule="auto"/>
              <w:ind w:firstLine="0"/>
              <w:rPr>
                <w:rFonts w:ascii="Calibri" w:eastAsia="Times New Roman" w:hAnsi="Calibri" w:cs="Calibri"/>
                <w:color w:val="000000"/>
                <w:sz w:val="24"/>
                <w:lang w:val="es-CR" w:eastAsia="es-CR"/>
              </w:rPr>
            </w:pPr>
          </w:p>
          <w:p w14:paraId="384DD808" w14:textId="77777777" w:rsidR="00F212FE" w:rsidRDefault="00F212FE" w:rsidP="0055381F">
            <w:pPr>
              <w:spacing w:line="240" w:lineRule="auto"/>
              <w:ind w:firstLine="0"/>
              <w:rPr>
                <w:rFonts w:ascii="Calibri" w:eastAsia="Times New Roman" w:hAnsi="Calibri" w:cs="Calibri"/>
                <w:color w:val="000000"/>
                <w:sz w:val="24"/>
                <w:lang w:val="es-CR" w:eastAsia="es-CR"/>
              </w:rPr>
            </w:pPr>
          </w:p>
          <w:p w14:paraId="1D657982" w14:textId="77777777" w:rsidR="00F212FE" w:rsidRDefault="00F212FE" w:rsidP="0055381F">
            <w:pPr>
              <w:spacing w:line="240" w:lineRule="auto"/>
              <w:ind w:firstLine="0"/>
              <w:rPr>
                <w:rFonts w:ascii="Calibri" w:eastAsia="Times New Roman" w:hAnsi="Calibri" w:cs="Calibri"/>
                <w:color w:val="000000"/>
                <w:sz w:val="24"/>
                <w:lang w:val="es-CR" w:eastAsia="es-CR"/>
              </w:rPr>
            </w:pPr>
          </w:p>
          <w:p w14:paraId="58F33875" w14:textId="77777777" w:rsidR="00F212FE" w:rsidRDefault="00F212FE" w:rsidP="0055381F">
            <w:pPr>
              <w:spacing w:line="240" w:lineRule="auto"/>
              <w:ind w:firstLine="0"/>
              <w:rPr>
                <w:rFonts w:ascii="Calibri" w:eastAsia="Times New Roman" w:hAnsi="Calibri" w:cs="Calibri"/>
                <w:color w:val="000000"/>
                <w:sz w:val="24"/>
                <w:lang w:val="es-CR" w:eastAsia="es-CR"/>
              </w:rPr>
            </w:pPr>
          </w:p>
          <w:p w14:paraId="05C9BE3E" w14:textId="77777777" w:rsidR="00F212FE" w:rsidRDefault="00F212FE" w:rsidP="0055381F">
            <w:pPr>
              <w:spacing w:line="240" w:lineRule="auto"/>
              <w:ind w:firstLine="0"/>
              <w:rPr>
                <w:rFonts w:ascii="Calibri" w:eastAsia="Times New Roman" w:hAnsi="Calibri" w:cs="Calibri"/>
                <w:color w:val="000000"/>
                <w:sz w:val="24"/>
                <w:lang w:val="es-CR" w:eastAsia="es-CR"/>
              </w:rPr>
            </w:pPr>
          </w:p>
          <w:p w14:paraId="27940CEB" w14:textId="77777777" w:rsidR="00F212FE" w:rsidRDefault="00F212FE" w:rsidP="0055381F">
            <w:pPr>
              <w:spacing w:line="240" w:lineRule="auto"/>
              <w:ind w:firstLine="0"/>
              <w:rPr>
                <w:rFonts w:ascii="Calibri" w:eastAsia="Times New Roman" w:hAnsi="Calibri" w:cs="Calibri"/>
                <w:color w:val="000000"/>
                <w:sz w:val="24"/>
                <w:lang w:val="es-CR" w:eastAsia="es-CR"/>
              </w:rPr>
            </w:pPr>
          </w:p>
          <w:p w14:paraId="75C05647" w14:textId="77777777" w:rsidR="00F212FE" w:rsidRDefault="00F212FE" w:rsidP="0055381F">
            <w:pPr>
              <w:spacing w:line="240" w:lineRule="auto"/>
              <w:ind w:firstLine="0"/>
              <w:rPr>
                <w:rFonts w:ascii="Calibri" w:eastAsia="Times New Roman" w:hAnsi="Calibri" w:cs="Calibri"/>
                <w:color w:val="000000"/>
                <w:sz w:val="24"/>
                <w:lang w:val="es-CR" w:eastAsia="es-CR"/>
              </w:rPr>
            </w:pPr>
          </w:p>
          <w:p w14:paraId="6EBAE9DC" w14:textId="77777777" w:rsidR="00F212FE" w:rsidRDefault="00F212FE" w:rsidP="0055381F">
            <w:pPr>
              <w:spacing w:line="240" w:lineRule="auto"/>
              <w:ind w:firstLine="0"/>
              <w:rPr>
                <w:rFonts w:ascii="Calibri" w:eastAsia="Times New Roman" w:hAnsi="Calibri" w:cs="Calibri"/>
                <w:color w:val="000000"/>
                <w:sz w:val="24"/>
                <w:lang w:val="es-CR" w:eastAsia="es-CR"/>
              </w:rPr>
            </w:pPr>
          </w:p>
          <w:p w14:paraId="13AA97B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noProof/>
                <w:color w:val="000000"/>
                <w:sz w:val="24"/>
                <w:lang w:val="es-CR" w:eastAsia="es-CR"/>
              </w:rPr>
              <w:drawing>
                <wp:anchor distT="0" distB="0" distL="114300" distR="114300" simplePos="0" relativeHeight="251681792" behindDoc="0" locked="0" layoutInCell="1" allowOverlap="1" wp14:anchorId="346CD97B" wp14:editId="4EE02098">
                  <wp:simplePos x="0" y="0"/>
                  <wp:positionH relativeFrom="column">
                    <wp:posOffset>92075</wp:posOffset>
                  </wp:positionH>
                  <wp:positionV relativeFrom="paragraph">
                    <wp:posOffset>-3672840</wp:posOffset>
                  </wp:positionV>
                  <wp:extent cx="1016000" cy="1022350"/>
                  <wp:effectExtent l="0" t="0" r="0" b="6350"/>
                  <wp:wrapNone/>
                  <wp:docPr id="63" name="Imagen 2">
                    <a:extLst xmlns:a="http://schemas.openxmlformats.org/drawingml/2006/main">
                      <a:ext uri="{FF2B5EF4-FFF2-40B4-BE49-F238E27FC236}">
                        <a16:creationId xmlns:a16="http://schemas.microsoft.com/office/drawing/2014/main" id="{00000000-0008-0000-0300-00003F000000}"/>
                      </a:ext>
                    </a:extLst>
                  </wp:docPr>
                  <wp:cNvGraphicFramePr/>
                  <a:graphic xmlns:a="http://schemas.openxmlformats.org/drawingml/2006/main">
                    <a:graphicData uri="http://schemas.openxmlformats.org/drawingml/2006/picture">
                      <pic:pic xmlns:pic="http://schemas.openxmlformats.org/drawingml/2006/picture">
                        <pic:nvPicPr>
                          <pic:cNvPr id="63" name="Picture 62">
                            <a:extLst>
                              <a:ext uri="{FF2B5EF4-FFF2-40B4-BE49-F238E27FC236}">
                                <a16:creationId xmlns:a16="http://schemas.microsoft.com/office/drawing/2014/main" id="{00000000-0008-0000-0300-00003F000000}"/>
                              </a:ext>
                            </a:extLst>
                          </pic:cNvPr>
                          <pic:cNvPicPr>
                            <a:picLocks noChangeAspect="1"/>
                          </pic:cNvPicPr>
                        </pic:nvPicPr>
                        <pic:blipFill>
                          <a:blip r:embed="rId47"/>
                          <a:stretch>
                            <a:fillRect/>
                          </a:stretch>
                        </pic:blipFill>
                        <pic:spPr>
                          <a:xfrm>
                            <a:off x="0" y="0"/>
                            <a:ext cx="1016000" cy="1022350"/>
                          </a:xfrm>
                          <a:prstGeom prst="rect">
                            <a:avLst/>
                          </a:prstGeom>
                        </pic:spPr>
                      </pic:pic>
                    </a:graphicData>
                  </a:graphic>
                  <wp14:sizeRelH relativeFrom="page">
                    <wp14:pctWidth>0</wp14:pctWidth>
                  </wp14:sizeRelH>
                  <wp14:sizeRelV relativeFrom="page">
                    <wp14:pctHeight>0</wp14:pctHeight>
                  </wp14:sizeRelV>
                </wp:anchor>
              </w:drawing>
            </w:r>
          </w:p>
          <w:p w14:paraId="128BAFB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val="restart"/>
            <w:tcBorders>
              <w:top w:val="nil"/>
              <w:left w:val="single" w:sz="4" w:space="0" w:color="auto"/>
              <w:bottom w:val="single" w:sz="4" w:space="0" w:color="auto"/>
              <w:right w:val="single" w:sz="4" w:space="0" w:color="auto"/>
            </w:tcBorders>
            <w:shd w:val="clear" w:color="000000" w:fill="F2F2F2"/>
            <w:vAlign w:val="center"/>
            <w:hideMark/>
          </w:tcPr>
          <w:p w14:paraId="13DFA2BF" w14:textId="77777777" w:rsidR="00F212FE" w:rsidRPr="00242EB4" w:rsidRDefault="00F212FE" w:rsidP="0055381F">
            <w:pPr>
              <w:spacing w:line="240" w:lineRule="auto"/>
              <w:ind w:firstLine="0"/>
              <w:rPr>
                <w:rFonts w:ascii="Calibri" w:eastAsia="Times New Roman" w:hAnsi="Calibri" w:cs="Calibri"/>
                <w:color w:val="000000"/>
                <w:sz w:val="16"/>
                <w:szCs w:val="16"/>
                <w:lang w:val="es-CR" w:eastAsia="es-CR"/>
              </w:rPr>
            </w:pPr>
            <w:r w:rsidRPr="00242EB4">
              <w:rPr>
                <w:rFonts w:ascii="Calibri" w:eastAsia="Times New Roman" w:hAnsi="Calibri" w:cs="Calibri"/>
                <w:color w:val="000000"/>
                <w:sz w:val="16"/>
                <w:szCs w:val="16"/>
                <w:lang w:val="es-CR" w:eastAsia="es-CR"/>
              </w:rPr>
              <w:t>Afirmaciones Ecológicos son declaraciones realizadas por una organización para indicar que un producto o servicio ha sido diseñado y producido de una manera que se considera ambientalmente responsable. Estas afirmaciones generalmente se relacionan con los esfuerzos de la organización para reducir su impacto ambiental, como el uso de materiales reciclados, fuentes de energía renovables y procesos de producción eficientes.</w:t>
            </w:r>
            <w:r w:rsidRPr="00242EB4">
              <w:rPr>
                <w:rFonts w:ascii="Calibri" w:eastAsia="Times New Roman" w:hAnsi="Calibri" w:cs="Calibri"/>
                <w:color w:val="000000"/>
                <w:sz w:val="16"/>
                <w:szCs w:val="16"/>
                <w:lang w:val="es-CR" w:eastAsia="es-CR"/>
              </w:rPr>
              <w:br/>
            </w:r>
            <w:r w:rsidRPr="00242EB4">
              <w:rPr>
                <w:rFonts w:ascii="Calibri" w:eastAsia="Times New Roman" w:hAnsi="Calibri" w:cs="Calibri"/>
                <w:color w:val="000000"/>
                <w:sz w:val="16"/>
                <w:szCs w:val="16"/>
                <w:lang w:val="es-CR" w:eastAsia="es-CR"/>
              </w:rPr>
              <w:br/>
              <w:t>Greenwashing es la práctica de hacer afirmaciones falsas o engañosas para engañar a los consumidores haciéndoles creer que un producto o servicio es más ecológico de lo que realmente es. Esto se puede hacer a través de lenguaje engañoso, exageraciones u omisión de información relevante sobre las verdaderas prácticas ambientales de una organización</w:t>
            </w:r>
          </w:p>
        </w:tc>
        <w:tc>
          <w:tcPr>
            <w:tcW w:w="1701" w:type="dxa"/>
            <w:tcBorders>
              <w:top w:val="nil"/>
              <w:left w:val="nil"/>
              <w:bottom w:val="single" w:sz="4" w:space="0" w:color="auto"/>
              <w:right w:val="single" w:sz="4" w:space="0" w:color="auto"/>
            </w:tcBorders>
            <w:shd w:val="clear" w:color="000000" w:fill="F2F2F2"/>
            <w:noWrap/>
            <w:vAlign w:val="center"/>
            <w:hideMark/>
          </w:tcPr>
          <w:p w14:paraId="05732885"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Vida Útil</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DE63376"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7350F1B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La falta de verificación técnica de las afirmaciones ambientales puede hacer que productos o soluciones pierdan credibilidad y sean desechados prematuramente.</w:t>
            </w:r>
          </w:p>
        </w:tc>
        <w:tc>
          <w:tcPr>
            <w:tcW w:w="2506" w:type="dxa"/>
            <w:tcBorders>
              <w:top w:val="nil"/>
              <w:left w:val="nil"/>
              <w:bottom w:val="single" w:sz="4" w:space="0" w:color="auto"/>
              <w:right w:val="single" w:sz="4" w:space="0" w:color="auto"/>
            </w:tcBorders>
            <w:hideMark/>
          </w:tcPr>
          <w:p w14:paraId="0356982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Esto afecta negativamente la durabilidad de las soluciones y la percepción del cliente.</w:t>
            </w:r>
          </w:p>
        </w:tc>
        <w:tc>
          <w:tcPr>
            <w:tcW w:w="1276" w:type="dxa"/>
            <w:tcBorders>
              <w:top w:val="nil"/>
              <w:left w:val="nil"/>
              <w:bottom w:val="single" w:sz="4" w:space="0" w:color="auto"/>
              <w:right w:val="single" w:sz="4" w:space="0" w:color="auto"/>
            </w:tcBorders>
            <w:noWrap/>
            <w:vAlign w:val="center"/>
            <w:hideMark/>
          </w:tcPr>
          <w:p w14:paraId="2C180EE0"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31FF60C5"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Incluir procesos de validación externa de afirmaciones ecológicas (certificaciones o auditorías técnicas).</w:t>
            </w:r>
          </w:p>
        </w:tc>
        <w:tc>
          <w:tcPr>
            <w:tcW w:w="966" w:type="dxa"/>
            <w:tcBorders>
              <w:top w:val="nil"/>
              <w:left w:val="nil"/>
              <w:bottom w:val="single" w:sz="4" w:space="0" w:color="auto"/>
              <w:right w:val="single" w:sz="4" w:space="0" w:color="auto"/>
            </w:tcBorders>
            <w:noWrap/>
            <w:vAlign w:val="center"/>
            <w:hideMark/>
          </w:tcPr>
          <w:p w14:paraId="2D3044A7"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2FC68167"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vAlign w:val="center"/>
            <w:hideMark/>
          </w:tcPr>
          <w:p w14:paraId="6D5F11E0"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Mayor confianza en la sostenibilidad del diseño, prolongando su uso.</w:t>
            </w:r>
          </w:p>
        </w:tc>
      </w:tr>
      <w:tr w:rsidR="00F212FE" w:rsidRPr="00242EB4" w14:paraId="28FCB369" w14:textId="77777777" w:rsidTr="0055381F">
        <w:trPr>
          <w:gridAfter w:val="1"/>
          <w:wAfter w:w="118" w:type="dxa"/>
          <w:trHeight w:val="50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1F35CE96"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6E43138D" w14:textId="77777777" w:rsidR="00F212FE" w:rsidRPr="00242EB4" w:rsidRDefault="00F212FE" w:rsidP="0055381F">
            <w:pPr>
              <w:spacing w:line="240" w:lineRule="auto"/>
              <w:ind w:firstLine="0"/>
              <w:rPr>
                <w:rFonts w:ascii="Calibri" w:eastAsia="Times New Roman" w:hAnsi="Calibri" w:cs="Calibri"/>
                <w:color w:val="000000"/>
                <w:sz w:val="16"/>
                <w:szCs w:val="16"/>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1E51F7D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Mantenimiento</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99ECC00"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6C04F95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Afirmaciones no verificadas sobre materiales o sistemas pueden generar falsas expectativas sobre su mantenimiento.</w:t>
            </w:r>
          </w:p>
        </w:tc>
        <w:tc>
          <w:tcPr>
            <w:tcW w:w="2506" w:type="dxa"/>
            <w:tcBorders>
              <w:top w:val="nil"/>
              <w:left w:val="nil"/>
              <w:bottom w:val="single" w:sz="4" w:space="0" w:color="auto"/>
              <w:right w:val="single" w:sz="4" w:space="0" w:color="auto"/>
            </w:tcBorders>
            <w:hideMark/>
          </w:tcPr>
          <w:p w14:paraId="15DF24B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Esto puede llevar a errores operativos o sobrecostos.</w:t>
            </w:r>
          </w:p>
        </w:tc>
        <w:tc>
          <w:tcPr>
            <w:tcW w:w="1276" w:type="dxa"/>
            <w:tcBorders>
              <w:top w:val="nil"/>
              <w:left w:val="nil"/>
              <w:bottom w:val="single" w:sz="4" w:space="0" w:color="auto"/>
              <w:right w:val="single" w:sz="4" w:space="0" w:color="auto"/>
            </w:tcBorders>
            <w:noWrap/>
            <w:vAlign w:val="center"/>
            <w:hideMark/>
          </w:tcPr>
          <w:p w14:paraId="2C8FBE9F"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nil"/>
              <w:left w:val="nil"/>
              <w:bottom w:val="single" w:sz="4" w:space="0" w:color="auto"/>
              <w:right w:val="single" w:sz="4" w:space="0" w:color="auto"/>
            </w:tcBorders>
            <w:hideMark/>
          </w:tcPr>
          <w:p w14:paraId="21909A3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Integrar fichas técnicas validadas que incluyan requisitos reales de mantenimiento sostenible.</w:t>
            </w:r>
          </w:p>
        </w:tc>
        <w:tc>
          <w:tcPr>
            <w:tcW w:w="966" w:type="dxa"/>
            <w:tcBorders>
              <w:top w:val="nil"/>
              <w:left w:val="nil"/>
              <w:bottom w:val="single" w:sz="4" w:space="0" w:color="auto"/>
              <w:right w:val="single" w:sz="4" w:space="0" w:color="auto"/>
            </w:tcBorders>
            <w:noWrap/>
            <w:vAlign w:val="center"/>
            <w:hideMark/>
          </w:tcPr>
          <w:p w14:paraId="43787875"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992" w:type="dxa"/>
            <w:tcBorders>
              <w:top w:val="nil"/>
              <w:left w:val="nil"/>
              <w:bottom w:val="single" w:sz="4" w:space="0" w:color="auto"/>
              <w:right w:val="single" w:sz="4" w:space="0" w:color="auto"/>
            </w:tcBorders>
            <w:noWrap/>
            <w:vAlign w:val="center"/>
            <w:hideMark/>
          </w:tcPr>
          <w:p w14:paraId="7FB209D9"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1</w:t>
            </w:r>
          </w:p>
        </w:tc>
        <w:tc>
          <w:tcPr>
            <w:tcW w:w="3520" w:type="dxa"/>
            <w:tcBorders>
              <w:top w:val="nil"/>
              <w:left w:val="nil"/>
              <w:bottom w:val="single" w:sz="4" w:space="0" w:color="auto"/>
              <w:right w:val="single" w:sz="4" w:space="0" w:color="auto"/>
            </w:tcBorders>
            <w:hideMark/>
          </w:tcPr>
          <w:p w14:paraId="6C30D8D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Reducción de errores en mantenimiento y mejor planificación operativa.</w:t>
            </w:r>
          </w:p>
        </w:tc>
      </w:tr>
      <w:tr w:rsidR="00F212FE" w:rsidRPr="00242EB4" w14:paraId="55603892" w14:textId="77777777" w:rsidTr="0055381F">
        <w:trPr>
          <w:gridAfter w:val="1"/>
          <w:wAfter w:w="118" w:type="dxa"/>
          <w:trHeight w:val="50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017B993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7DB287AE" w14:textId="77777777" w:rsidR="00F212FE" w:rsidRPr="00242EB4" w:rsidRDefault="00F212FE" w:rsidP="0055381F">
            <w:pPr>
              <w:spacing w:line="240" w:lineRule="auto"/>
              <w:ind w:firstLine="0"/>
              <w:rPr>
                <w:rFonts w:ascii="Calibri" w:eastAsia="Times New Roman" w:hAnsi="Calibri" w:cs="Calibri"/>
                <w:color w:val="000000"/>
                <w:sz w:val="16"/>
                <w:szCs w:val="16"/>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450C2C3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Eficacia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F088DFE"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063C57F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La comunicación engañosa sobre atributos verdes puede generar desconfianza y afectar la adopción del producto o servicio.</w:t>
            </w:r>
          </w:p>
        </w:tc>
        <w:tc>
          <w:tcPr>
            <w:tcW w:w="2506" w:type="dxa"/>
            <w:tcBorders>
              <w:top w:val="nil"/>
              <w:left w:val="nil"/>
              <w:bottom w:val="single" w:sz="4" w:space="0" w:color="auto"/>
              <w:right w:val="single" w:sz="4" w:space="0" w:color="auto"/>
            </w:tcBorders>
            <w:hideMark/>
          </w:tcPr>
          <w:p w14:paraId="5406660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Reduce la efectividad del proyecto en términos de impacto ambiental real.</w:t>
            </w:r>
          </w:p>
        </w:tc>
        <w:tc>
          <w:tcPr>
            <w:tcW w:w="1276" w:type="dxa"/>
            <w:tcBorders>
              <w:top w:val="nil"/>
              <w:left w:val="nil"/>
              <w:bottom w:val="single" w:sz="4" w:space="0" w:color="auto"/>
              <w:right w:val="single" w:sz="4" w:space="0" w:color="auto"/>
            </w:tcBorders>
            <w:noWrap/>
            <w:vAlign w:val="center"/>
            <w:hideMark/>
          </w:tcPr>
          <w:p w14:paraId="14852490"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2977" w:type="dxa"/>
            <w:tcBorders>
              <w:top w:val="nil"/>
              <w:left w:val="nil"/>
              <w:bottom w:val="nil"/>
              <w:right w:val="nil"/>
            </w:tcBorders>
            <w:hideMark/>
          </w:tcPr>
          <w:p w14:paraId="52D8721E"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Asegurar la trazabilidad de los materiales y tecnologías sustentables desde la etapa de diseño.</w:t>
            </w:r>
          </w:p>
        </w:tc>
        <w:tc>
          <w:tcPr>
            <w:tcW w:w="966" w:type="dxa"/>
            <w:tcBorders>
              <w:top w:val="nil"/>
              <w:left w:val="single" w:sz="4" w:space="0" w:color="auto"/>
              <w:bottom w:val="single" w:sz="4" w:space="0" w:color="auto"/>
              <w:right w:val="single" w:sz="4" w:space="0" w:color="auto"/>
            </w:tcBorders>
            <w:noWrap/>
            <w:vAlign w:val="center"/>
            <w:hideMark/>
          </w:tcPr>
          <w:p w14:paraId="549EBF84"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5</w:t>
            </w:r>
          </w:p>
        </w:tc>
        <w:tc>
          <w:tcPr>
            <w:tcW w:w="992" w:type="dxa"/>
            <w:tcBorders>
              <w:top w:val="nil"/>
              <w:left w:val="nil"/>
              <w:bottom w:val="single" w:sz="4" w:space="0" w:color="auto"/>
              <w:right w:val="single" w:sz="4" w:space="0" w:color="auto"/>
            </w:tcBorders>
            <w:noWrap/>
            <w:vAlign w:val="center"/>
            <w:hideMark/>
          </w:tcPr>
          <w:p w14:paraId="692603E4"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727032F8"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Mayor alineación entre lo que se promete y el impacto ambiental real.</w:t>
            </w:r>
          </w:p>
        </w:tc>
      </w:tr>
      <w:tr w:rsidR="00F212FE" w:rsidRPr="00242EB4" w14:paraId="7103C381" w14:textId="77777777" w:rsidTr="0055381F">
        <w:trPr>
          <w:gridAfter w:val="1"/>
          <w:wAfter w:w="118" w:type="dxa"/>
          <w:trHeight w:val="50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67672934"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7BA4ACDE" w14:textId="77777777" w:rsidR="00F212FE" w:rsidRPr="00242EB4" w:rsidRDefault="00F212FE" w:rsidP="0055381F">
            <w:pPr>
              <w:spacing w:line="240" w:lineRule="auto"/>
              <w:ind w:firstLine="0"/>
              <w:rPr>
                <w:rFonts w:ascii="Calibri" w:eastAsia="Times New Roman" w:hAnsi="Calibri" w:cs="Calibri"/>
                <w:color w:val="000000"/>
                <w:sz w:val="16"/>
                <w:szCs w:val="16"/>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7788BFF3"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Eficiencia</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438BE7E"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1FF0D34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El greenwashing puede desviar recursos hacia estrategias de marketing sin sustento técnico.</w:t>
            </w:r>
          </w:p>
        </w:tc>
        <w:tc>
          <w:tcPr>
            <w:tcW w:w="2506" w:type="dxa"/>
            <w:tcBorders>
              <w:top w:val="nil"/>
              <w:left w:val="nil"/>
              <w:bottom w:val="single" w:sz="4" w:space="0" w:color="auto"/>
              <w:right w:val="single" w:sz="4" w:space="0" w:color="auto"/>
            </w:tcBorders>
            <w:hideMark/>
          </w:tcPr>
          <w:p w14:paraId="74E6D72F"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Afecta la eficiencia general del proyecto.</w:t>
            </w:r>
          </w:p>
        </w:tc>
        <w:tc>
          <w:tcPr>
            <w:tcW w:w="1276" w:type="dxa"/>
            <w:tcBorders>
              <w:top w:val="nil"/>
              <w:left w:val="nil"/>
              <w:bottom w:val="single" w:sz="4" w:space="0" w:color="auto"/>
              <w:right w:val="single" w:sz="4" w:space="0" w:color="auto"/>
            </w:tcBorders>
            <w:noWrap/>
            <w:vAlign w:val="center"/>
            <w:hideMark/>
          </w:tcPr>
          <w:p w14:paraId="56DA1857"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2977" w:type="dxa"/>
            <w:tcBorders>
              <w:top w:val="single" w:sz="4" w:space="0" w:color="auto"/>
              <w:left w:val="nil"/>
              <w:bottom w:val="single" w:sz="4" w:space="0" w:color="auto"/>
              <w:right w:val="single" w:sz="4" w:space="0" w:color="auto"/>
            </w:tcBorders>
            <w:hideMark/>
          </w:tcPr>
          <w:p w14:paraId="07E49B99"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Priorizar medidas reales de sostenibilidad sobre acciones de comunicación, y validar internamente con KPIs ambientales.</w:t>
            </w:r>
          </w:p>
        </w:tc>
        <w:tc>
          <w:tcPr>
            <w:tcW w:w="966" w:type="dxa"/>
            <w:tcBorders>
              <w:top w:val="nil"/>
              <w:left w:val="nil"/>
              <w:bottom w:val="single" w:sz="4" w:space="0" w:color="auto"/>
              <w:right w:val="single" w:sz="4" w:space="0" w:color="auto"/>
            </w:tcBorders>
            <w:noWrap/>
            <w:vAlign w:val="center"/>
            <w:hideMark/>
          </w:tcPr>
          <w:p w14:paraId="6831F5D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4</w:t>
            </w:r>
          </w:p>
        </w:tc>
        <w:tc>
          <w:tcPr>
            <w:tcW w:w="992" w:type="dxa"/>
            <w:tcBorders>
              <w:top w:val="nil"/>
              <w:left w:val="nil"/>
              <w:bottom w:val="single" w:sz="4" w:space="0" w:color="auto"/>
              <w:right w:val="single" w:sz="4" w:space="0" w:color="auto"/>
            </w:tcBorders>
            <w:noWrap/>
            <w:vAlign w:val="center"/>
            <w:hideMark/>
          </w:tcPr>
          <w:p w14:paraId="5FB09729"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14A3F53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Uso más eficiente de los recursos con impacto tangible.</w:t>
            </w:r>
          </w:p>
        </w:tc>
      </w:tr>
      <w:tr w:rsidR="00F212FE" w:rsidRPr="00242EB4" w14:paraId="7D05CF0E" w14:textId="77777777" w:rsidTr="0055381F">
        <w:trPr>
          <w:gridAfter w:val="1"/>
          <w:wAfter w:w="118" w:type="dxa"/>
          <w:trHeight w:val="500"/>
        </w:trPr>
        <w:tc>
          <w:tcPr>
            <w:tcW w:w="2076" w:type="dxa"/>
            <w:vMerge/>
            <w:tcBorders>
              <w:top w:val="single" w:sz="4" w:space="0" w:color="auto"/>
              <w:left w:val="single" w:sz="4" w:space="0" w:color="auto"/>
              <w:bottom w:val="single" w:sz="4" w:space="0" w:color="auto"/>
              <w:right w:val="nil"/>
            </w:tcBorders>
            <w:shd w:val="clear" w:color="auto" w:fill="ED7D31" w:themeFill="accent2"/>
            <w:vAlign w:val="center"/>
            <w:hideMark/>
          </w:tcPr>
          <w:p w14:paraId="38701B5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p>
        </w:tc>
        <w:tc>
          <w:tcPr>
            <w:tcW w:w="2035" w:type="dxa"/>
            <w:vMerge/>
            <w:tcBorders>
              <w:top w:val="nil"/>
              <w:left w:val="single" w:sz="4" w:space="0" w:color="auto"/>
              <w:bottom w:val="single" w:sz="4" w:space="0" w:color="auto"/>
              <w:right w:val="single" w:sz="4" w:space="0" w:color="auto"/>
            </w:tcBorders>
            <w:vAlign w:val="center"/>
            <w:hideMark/>
          </w:tcPr>
          <w:p w14:paraId="3FD656B0" w14:textId="77777777" w:rsidR="00F212FE" w:rsidRPr="00242EB4" w:rsidRDefault="00F212FE" w:rsidP="0055381F">
            <w:pPr>
              <w:spacing w:line="240" w:lineRule="auto"/>
              <w:ind w:firstLine="0"/>
              <w:rPr>
                <w:rFonts w:ascii="Calibri" w:eastAsia="Times New Roman" w:hAnsi="Calibri" w:cs="Calibri"/>
                <w:color w:val="000000"/>
                <w:sz w:val="16"/>
                <w:szCs w:val="16"/>
                <w:lang w:val="es-CR" w:eastAsia="es-CR"/>
              </w:rPr>
            </w:pPr>
          </w:p>
        </w:tc>
        <w:tc>
          <w:tcPr>
            <w:tcW w:w="1701" w:type="dxa"/>
            <w:tcBorders>
              <w:top w:val="nil"/>
              <w:left w:val="nil"/>
              <w:bottom w:val="single" w:sz="4" w:space="0" w:color="auto"/>
              <w:right w:val="single" w:sz="4" w:space="0" w:color="auto"/>
            </w:tcBorders>
            <w:shd w:val="clear" w:color="000000" w:fill="F2F2F2"/>
            <w:noWrap/>
            <w:vAlign w:val="bottom"/>
            <w:hideMark/>
          </w:tcPr>
          <w:p w14:paraId="1CC8759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Imparcialidad</w:t>
            </w:r>
          </w:p>
        </w:tc>
        <w:tc>
          <w:tcPr>
            <w:tcW w:w="86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15482B7"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Yes</w:t>
            </w:r>
          </w:p>
        </w:tc>
        <w:tc>
          <w:tcPr>
            <w:tcW w:w="2897" w:type="dxa"/>
            <w:tcBorders>
              <w:top w:val="nil"/>
              <w:left w:val="nil"/>
              <w:bottom w:val="single" w:sz="4" w:space="0" w:color="auto"/>
              <w:right w:val="single" w:sz="4" w:space="0" w:color="auto"/>
            </w:tcBorders>
            <w:hideMark/>
          </w:tcPr>
          <w:p w14:paraId="3227844B"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Las afirmaciones falsas pueden favorecer a ciertos proveedores o productos sin méritos reales, afectando la equidad en las decisiones del proyecto.</w:t>
            </w:r>
          </w:p>
        </w:tc>
        <w:tc>
          <w:tcPr>
            <w:tcW w:w="2506" w:type="dxa"/>
            <w:tcBorders>
              <w:top w:val="nil"/>
              <w:left w:val="nil"/>
              <w:bottom w:val="single" w:sz="4" w:space="0" w:color="auto"/>
              <w:right w:val="single" w:sz="4" w:space="0" w:color="auto"/>
            </w:tcBorders>
            <w:hideMark/>
          </w:tcPr>
          <w:p w14:paraId="310AF49C"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Se distorsiona la selección técnica objetiva.</w:t>
            </w:r>
          </w:p>
        </w:tc>
        <w:tc>
          <w:tcPr>
            <w:tcW w:w="1276" w:type="dxa"/>
            <w:tcBorders>
              <w:top w:val="nil"/>
              <w:left w:val="nil"/>
              <w:bottom w:val="single" w:sz="4" w:space="0" w:color="auto"/>
              <w:right w:val="single" w:sz="4" w:space="0" w:color="auto"/>
            </w:tcBorders>
            <w:noWrap/>
            <w:vAlign w:val="center"/>
            <w:hideMark/>
          </w:tcPr>
          <w:p w14:paraId="0C56C377"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3</w:t>
            </w:r>
          </w:p>
        </w:tc>
        <w:tc>
          <w:tcPr>
            <w:tcW w:w="2977" w:type="dxa"/>
            <w:tcBorders>
              <w:top w:val="nil"/>
              <w:left w:val="nil"/>
              <w:bottom w:val="single" w:sz="4" w:space="0" w:color="auto"/>
              <w:right w:val="single" w:sz="4" w:space="0" w:color="auto"/>
            </w:tcBorders>
            <w:hideMark/>
          </w:tcPr>
          <w:p w14:paraId="779567F2"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 xml:space="preserve"> Establecer lineamientos transparentes para evaluar y comunicar logros ambientales, evitando sesgos y exageraciones.</w:t>
            </w:r>
          </w:p>
        </w:tc>
        <w:tc>
          <w:tcPr>
            <w:tcW w:w="966" w:type="dxa"/>
            <w:tcBorders>
              <w:top w:val="nil"/>
              <w:left w:val="nil"/>
              <w:bottom w:val="single" w:sz="4" w:space="0" w:color="auto"/>
              <w:right w:val="single" w:sz="4" w:space="0" w:color="auto"/>
            </w:tcBorders>
            <w:noWrap/>
            <w:vAlign w:val="center"/>
            <w:hideMark/>
          </w:tcPr>
          <w:p w14:paraId="39C1A633"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5</w:t>
            </w:r>
          </w:p>
        </w:tc>
        <w:tc>
          <w:tcPr>
            <w:tcW w:w="992" w:type="dxa"/>
            <w:tcBorders>
              <w:top w:val="nil"/>
              <w:left w:val="nil"/>
              <w:bottom w:val="single" w:sz="4" w:space="0" w:color="auto"/>
              <w:right w:val="single" w:sz="4" w:space="0" w:color="auto"/>
            </w:tcBorders>
            <w:noWrap/>
            <w:vAlign w:val="center"/>
            <w:hideMark/>
          </w:tcPr>
          <w:p w14:paraId="5511D2F6" w14:textId="77777777" w:rsidR="00F212FE" w:rsidRPr="00242EB4" w:rsidRDefault="00F212FE" w:rsidP="0055381F">
            <w:pPr>
              <w:spacing w:line="240" w:lineRule="auto"/>
              <w:ind w:firstLine="0"/>
              <w:jc w:val="center"/>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2</w:t>
            </w:r>
          </w:p>
        </w:tc>
        <w:tc>
          <w:tcPr>
            <w:tcW w:w="3520" w:type="dxa"/>
            <w:tcBorders>
              <w:top w:val="nil"/>
              <w:left w:val="nil"/>
              <w:bottom w:val="single" w:sz="4" w:space="0" w:color="auto"/>
              <w:right w:val="single" w:sz="4" w:space="0" w:color="auto"/>
            </w:tcBorders>
            <w:hideMark/>
          </w:tcPr>
          <w:p w14:paraId="27D6F871" w14:textId="77777777" w:rsidR="00F212FE" w:rsidRPr="00242EB4" w:rsidRDefault="00F212FE" w:rsidP="0055381F">
            <w:pPr>
              <w:spacing w:line="240" w:lineRule="auto"/>
              <w:ind w:firstLine="0"/>
              <w:rPr>
                <w:rFonts w:ascii="Calibri" w:eastAsia="Times New Roman" w:hAnsi="Calibri" w:cs="Calibri"/>
                <w:color w:val="000000"/>
                <w:sz w:val="24"/>
                <w:lang w:val="es-CR" w:eastAsia="es-CR"/>
              </w:rPr>
            </w:pPr>
            <w:r w:rsidRPr="00242EB4">
              <w:rPr>
                <w:rFonts w:ascii="Calibri" w:eastAsia="Times New Roman" w:hAnsi="Calibri" w:cs="Calibri"/>
                <w:color w:val="000000"/>
                <w:sz w:val="24"/>
                <w:lang w:val="es-CR" w:eastAsia="es-CR"/>
              </w:rPr>
              <w:t>Mejora en la transparencia, equidad y reputación ética de los proyectos.</w:t>
            </w:r>
          </w:p>
        </w:tc>
      </w:tr>
    </w:tbl>
    <w:tbl>
      <w:tblPr>
        <w:tblpPr w:leftFromText="141" w:rightFromText="141" w:horzAnchor="margin" w:tblpY="-10280"/>
        <w:tblW w:w="22979" w:type="dxa"/>
        <w:tblCellMar>
          <w:left w:w="70" w:type="dxa"/>
          <w:right w:w="70" w:type="dxa"/>
        </w:tblCellMar>
        <w:tblLook w:val="04A0" w:firstRow="1" w:lastRow="0" w:firstColumn="1" w:lastColumn="0" w:noHBand="0" w:noVBand="1"/>
      </w:tblPr>
      <w:tblGrid>
        <w:gridCol w:w="1990"/>
        <w:gridCol w:w="1979"/>
        <w:gridCol w:w="1667"/>
        <w:gridCol w:w="1452"/>
        <w:gridCol w:w="2555"/>
        <w:gridCol w:w="126"/>
        <w:gridCol w:w="2138"/>
        <w:gridCol w:w="942"/>
        <w:gridCol w:w="1995"/>
        <w:gridCol w:w="16"/>
        <w:gridCol w:w="976"/>
        <w:gridCol w:w="148"/>
        <w:gridCol w:w="883"/>
        <w:gridCol w:w="1810"/>
        <w:gridCol w:w="1541"/>
        <w:gridCol w:w="49"/>
        <w:gridCol w:w="975"/>
        <w:gridCol w:w="1699"/>
        <w:gridCol w:w="38"/>
      </w:tblGrid>
      <w:tr w:rsidR="00F212FE" w:rsidRPr="006358A3" w14:paraId="0F2001EA" w14:textId="77777777" w:rsidTr="0055381F">
        <w:trPr>
          <w:gridAfter w:val="8"/>
          <w:wAfter w:w="7143" w:type="dxa"/>
          <w:trHeight w:val="310"/>
        </w:trPr>
        <w:tc>
          <w:tcPr>
            <w:tcW w:w="15836" w:type="dxa"/>
            <w:gridSpan w:val="11"/>
            <w:tcBorders>
              <w:top w:val="nil"/>
              <w:left w:val="nil"/>
              <w:bottom w:val="single" w:sz="4" w:space="0" w:color="auto"/>
              <w:right w:val="nil"/>
            </w:tcBorders>
            <w:shd w:val="clear" w:color="000000" w:fill="3D7E42"/>
            <w:noWrap/>
            <w:vAlign w:val="center"/>
            <w:hideMark/>
          </w:tcPr>
          <w:p w14:paraId="62E53B47" w14:textId="77777777" w:rsidR="00F212FE" w:rsidRPr="006358A3" w:rsidRDefault="00F212FE" w:rsidP="0055381F">
            <w:pPr>
              <w:spacing w:line="240" w:lineRule="auto"/>
              <w:ind w:firstLine="0"/>
              <w:rPr>
                <w:rFonts w:ascii="Calibri" w:eastAsia="Times New Roman" w:hAnsi="Calibri" w:cs="Calibri"/>
                <w:color w:val="FFFFFF"/>
                <w:sz w:val="24"/>
                <w:lang w:val="es-CR" w:eastAsia="es-CR"/>
              </w:rPr>
            </w:pPr>
            <w:r w:rsidRPr="006358A3">
              <w:rPr>
                <w:rFonts w:ascii="Calibri" w:eastAsia="Times New Roman" w:hAnsi="Calibri" w:cs="Calibri"/>
                <w:color w:val="FFFFFF"/>
                <w:sz w:val="24"/>
                <w:lang w:val="es-CR" w:eastAsia="es-CR"/>
              </w:rPr>
              <w:lastRenderedPageBreak/>
              <w:t>Impactos al Planeta</w:t>
            </w:r>
          </w:p>
        </w:tc>
      </w:tr>
      <w:tr w:rsidR="00F212FE" w:rsidRPr="006358A3" w14:paraId="5F45DA12" w14:textId="77777777" w:rsidTr="0055381F">
        <w:trPr>
          <w:gridAfter w:val="4"/>
          <w:wAfter w:w="2761" w:type="dxa"/>
          <w:trHeight w:val="320"/>
        </w:trPr>
        <w:tc>
          <w:tcPr>
            <w:tcW w:w="1990" w:type="dxa"/>
            <w:tcBorders>
              <w:top w:val="nil"/>
              <w:left w:val="single" w:sz="4" w:space="0" w:color="auto"/>
              <w:bottom w:val="single" w:sz="4" w:space="0" w:color="auto"/>
              <w:right w:val="single" w:sz="4" w:space="0" w:color="auto"/>
            </w:tcBorders>
            <w:shd w:val="clear" w:color="000000" w:fill="A9D08E"/>
            <w:noWrap/>
            <w:vAlign w:val="bottom"/>
            <w:hideMark/>
          </w:tcPr>
          <w:p w14:paraId="59F62FCB"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Categoría</w:t>
            </w:r>
          </w:p>
        </w:tc>
        <w:tc>
          <w:tcPr>
            <w:tcW w:w="1979" w:type="dxa"/>
            <w:tcBorders>
              <w:top w:val="nil"/>
              <w:left w:val="nil"/>
              <w:bottom w:val="single" w:sz="4" w:space="0" w:color="auto"/>
              <w:right w:val="nil"/>
            </w:tcBorders>
            <w:shd w:val="clear" w:color="000000" w:fill="A9D08E"/>
            <w:noWrap/>
            <w:vAlign w:val="center"/>
            <w:hideMark/>
          </w:tcPr>
          <w:p w14:paraId="54946B0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Transporte</w:t>
            </w:r>
          </w:p>
        </w:tc>
        <w:tc>
          <w:tcPr>
            <w:tcW w:w="1667" w:type="dxa"/>
            <w:vMerge w:val="restart"/>
            <w:tcBorders>
              <w:top w:val="nil"/>
              <w:left w:val="single" w:sz="4" w:space="0" w:color="auto"/>
              <w:bottom w:val="single" w:sz="4" w:space="0" w:color="auto"/>
              <w:right w:val="single" w:sz="4" w:space="0" w:color="auto"/>
            </w:tcBorders>
            <w:shd w:val="clear" w:color="000000" w:fill="A9D08E"/>
            <w:noWrap/>
            <w:vAlign w:val="center"/>
            <w:hideMark/>
          </w:tcPr>
          <w:p w14:paraId="5CDA6459"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Lente</w:t>
            </w:r>
          </w:p>
        </w:tc>
        <w:tc>
          <w:tcPr>
            <w:tcW w:w="1452" w:type="dxa"/>
            <w:vMerge w:val="restart"/>
            <w:tcBorders>
              <w:top w:val="nil"/>
              <w:left w:val="single" w:sz="4" w:space="0" w:color="auto"/>
              <w:bottom w:val="single" w:sz="4" w:space="0" w:color="auto"/>
              <w:right w:val="single" w:sz="4" w:space="0" w:color="auto"/>
            </w:tcBorders>
            <w:shd w:val="clear" w:color="000000" w:fill="A9D08E"/>
            <w:noWrap/>
            <w:vAlign w:val="center"/>
            <w:hideMark/>
          </w:tcPr>
          <w:p w14:paraId="414899C0"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¿Calificado?</w:t>
            </w:r>
          </w:p>
        </w:tc>
        <w:tc>
          <w:tcPr>
            <w:tcW w:w="2555" w:type="dxa"/>
            <w:vMerge w:val="restart"/>
            <w:tcBorders>
              <w:top w:val="nil"/>
              <w:left w:val="single" w:sz="4" w:space="0" w:color="auto"/>
              <w:bottom w:val="single" w:sz="4" w:space="0" w:color="auto"/>
              <w:right w:val="single" w:sz="4" w:space="0" w:color="auto"/>
            </w:tcBorders>
            <w:shd w:val="clear" w:color="000000" w:fill="A9D08E"/>
            <w:noWrap/>
            <w:vAlign w:val="center"/>
            <w:hideMark/>
          </w:tcPr>
          <w:p w14:paraId="193F386A"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Descripción (Causa)</w:t>
            </w:r>
          </w:p>
        </w:tc>
        <w:tc>
          <w:tcPr>
            <w:tcW w:w="2264" w:type="dxa"/>
            <w:gridSpan w:val="2"/>
            <w:vMerge w:val="restart"/>
            <w:tcBorders>
              <w:top w:val="nil"/>
              <w:left w:val="single" w:sz="4" w:space="0" w:color="auto"/>
              <w:bottom w:val="single" w:sz="4" w:space="0" w:color="auto"/>
              <w:right w:val="single" w:sz="4" w:space="0" w:color="auto"/>
            </w:tcBorders>
            <w:shd w:val="clear" w:color="000000" w:fill="A9D08E"/>
            <w:vAlign w:val="center"/>
            <w:hideMark/>
          </w:tcPr>
          <w:p w14:paraId="2963EFEF"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Impacto Potencial en la Sostenibilidad</w:t>
            </w:r>
          </w:p>
        </w:tc>
        <w:tc>
          <w:tcPr>
            <w:tcW w:w="942" w:type="dxa"/>
            <w:vMerge w:val="restart"/>
            <w:tcBorders>
              <w:top w:val="nil"/>
              <w:left w:val="single" w:sz="4" w:space="0" w:color="auto"/>
              <w:bottom w:val="single" w:sz="4" w:space="0" w:color="auto"/>
              <w:right w:val="single" w:sz="4" w:space="0" w:color="auto"/>
            </w:tcBorders>
            <w:shd w:val="clear" w:color="000000" w:fill="A9D08E"/>
            <w:vAlign w:val="center"/>
            <w:hideMark/>
          </w:tcPr>
          <w:p w14:paraId="79F86ADA"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Puntaje Inicial del Impacto (Antes) </w:t>
            </w:r>
          </w:p>
        </w:tc>
        <w:tc>
          <w:tcPr>
            <w:tcW w:w="1995" w:type="dxa"/>
            <w:vMerge w:val="restart"/>
            <w:tcBorders>
              <w:top w:val="nil"/>
              <w:left w:val="single" w:sz="4" w:space="0" w:color="auto"/>
              <w:bottom w:val="single" w:sz="4" w:space="0" w:color="auto"/>
              <w:right w:val="single" w:sz="4" w:space="0" w:color="auto"/>
            </w:tcBorders>
            <w:shd w:val="clear" w:color="000000" w:fill="A9D08E"/>
            <w:noWrap/>
            <w:vAlign w:val="center"/>
            <w:hideMark/>
          </w:tcPr>
          <w:p w14:paraId="4A2834E4"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Respuesta Propuesta</w:t>
            </w:r>
          </w:p>
        </w:tc>
        <w:tc>
          <w:tcPr>
            <w:tcW w:w="1140" w:type="dxa"/>
            <w:gridSpan w:val="3"/>
            <w:vMerge w:val="restart"/>
            <w:tcBorders>
              <w:top w:val="nil"/>
              <w:left w:val="single" w:sz="4" w:space="0" w:color="auto"/>
              <w:bottom w:val="single" w:sz="4" w:space="0" w:color="auto"/>
              <w:right w:val="single" w:sz="4" w:space="0" w:color="auto"/>
            </w:tcBorders>
            <w:shd w:val="clear" w:color="000000" w:fill="A9D08E"/>
            <w:vAlign w:val="center"/>
            <w:hideMark/>
          </w:tcPr>
          <w:p w14:paraId="0381E6DF"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Nuevo Puntaje del Impacto (Después)</w:t>
            </w:r>
          </w:p>
        </w:tc>
        <w:tc>
          <w:tcPr>
            <w:tcW w:w="883" w:type="dxa"/>
            <w:vMerge w:val="restart"/>
            <w:tcBorders>
              <w:top w:val="nil"/>
              <w:left w:val="single" w:sz="4" w:space="0" w:color="auto"/>
              <w:bottom w:val="single" w:sz="4" w:space="0" w:color="auto"/>
              <w:right w:val="single" w:sz="4" w:space="0" w:color="auto"/>
            </w:tcBorders>
            <w:shd w:val="clear" w:color="000000" w:fill="A9D08E"/>
            <w:noWrap/>
            <w:vAlign w:val="center"/>
            <w:hideMark/>
          </w:tcPr>
          <w:p w14:paraId="2982BCE6"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Cambio</w:t>
            </w:r>
          </w:p>
        </w:tc>
        <w:tc>
          <w:tcPr>
            <w:tcW w:w="3351" w:type="dxa"/>
            <w:gridSpan w:val="2"/>
            <w:vMerge w:val="restart"/>
            <w:tcBorders>
              <w:top w:val="nil"/>
              <w:left w:val="single" w:sz="4" w:space="0" w:color="auto"/>
              <w:bottom w:val="single" w:sz="4" w:space="0" w:color="auto"/>
              <w:right w:val="single" w:sz="4" w:space="0" w:color="auto"/>
            </w:tcBorders>
            <w:shd w:val="clear" w:color="000000" w:fill="A9D08E"/>
            <w:noWrap/>
            <w:vAlign w:val="center"/>
            <w:hideMark/>
          </w:tcPr>
          <w:p w14:paraId="17958CC3"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Resultado</w:t>
            </w:r>
          </w:p>
        </w:tc>
      </w:tr>
      <w:tr w:rsidR="00F212FE" w:rsidRPr="006358A3" w14:paraId="51096E29" w14:textId="77777777" w:rsidTr="0055381F">
        <w:trPr>
          <w:gridAfter w:val="4"/>
          <w:wAfter w:w="2761" w:type="dxa"/>
          <w:trHeight w:val="310"/>
        </w:trPr>
        <w:tc>
          <w:tcPr>
            <w:tcW w:w="1990" w:type="dxa"/>
            <w:tcBorders>
              <w:top w:val="nil"/>
              <w:left w:val="single" w:sz="4" w:space="0" w:color="auto"/>
              <w:bottom w:val="single" w:sz="4" w:space="0" w:color="auto"/>
              <w:right w:val="single" w:sz="4" w:space="0" w:color="auto"/>
            </w:tcBorders>
            <w:shd w:val="clear" w:color="000000" w:fill="E2EFDA"/>
            <w:noWrap/>
            <w:vAlign w:val="bottom"/>
            <w:hideMark/>
          </w:tcPr>
          <w:p w14:paraId="15CBDE7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Elemento</w:t>
            </w:r>
          </w:p>
        </w:tc>
        <w:tc>
          <w:tcPr>
            <w:tcW w:w="1979" w:type="dxa"/>
            <w:tcBorders>
              <w:top w:val="nil"/>
              <w:left w:val="nil"/>
              <w:bottom w:val="single" w:sz="4" w:space="0" w:color="auto"/>
              <w:right w:val="single" w:sz="4" w:space="0" w:color="auto"/>
            </w:tcBorders>
            <w:shd w:val="clear" w:color="000000" w:fill="E2EFDA"/>
            <w:noWrap/>
            <w:vAlign w:val="center"/>
            <w:hideMark/>
          </w:tcPr>
          <w:p w14:paraId="4921A98F"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Descripción</w:t>
            </w:r>
          </w:p>
        </w:tc>
        <w:tc>
          <w:tcPr>
            <w:tcW w:w="1667" w:type="dxa"/>
            <w:vMerge/>
            <w:tcBorders>
              <w:top w:val="nil"/>
              <w:left w:val="single" w:sz="4" w:space="0" w:color="auto"/>
              <w:bottom w:val="single" w:sz="4" w:space="0" w:color="auto"/>
              <w:right w:val="single" w:sz="4" w:space="0" w:color="auto"/>
            </w:tcBorders>
            <w:vAlign w:val="center"/>
            <w:hideMark/>
          </w:tcPr>
          <w:p w14:paraId="2B72AD3D"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452" w:type="dxa"/>
            <w:vMerge/>
            <w:tcBorders>
              <w:top w:val="nil"/>
              <w:left w:val="single" w:sz="4" w:space="0" w:color="auto"/>
              <w:bottom w:val="single" w:sz="4" w:space="0" w:color="auto"/>
              <w:right w:val="single" w:sz="4" w:space="0" w:color="auto"/>
            </w:tcBorders>
            <w:vAlign w:val="center"/>
            <w:hideMark/>
          </w:tcPr>
          <w:p w14:paraId="696CD24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2555" w:type="dxa"/>
            <w:vMerge/>
            <w:tcBorders>
              <w:top w:val="nil"/>
              <w:left w:val="single" w:sz="4" w:space="0" w:color="auto"/>
              <w:bottom w:val="single" w:sz="4" w:space="0" w:color="auto"/>
              <w:right w:val="single" w:sz="4" w:space="0" w:color="auto"/>
            </w:tcBorders>
            <w:vAlign w:val="center"/>
            <w:hideMark/>
          </w:tcPr>
          <w:p w14:paraId="0ECBD4D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2264" w:type="dxa"/>
            <w:gridSpan w:val="2"/>
            <w:vMerge/>
            <w:tcBorders>
              <w:top w:val="nil"/>
              <w:left w:val="single" w:sz="4" w:space="0" w:color="auto"/>
              <w:bottom w:val="single" w:sz="4" w:space="0" w:color="auto"/>
              <w:right w:val="single" w:sz="4" w:space="0" w:color="auto"/>
            </w:tcBorders>
            <w:vAlign w:val="center"/>
            <w:hideMark/>
          </w:tcPr>
          <w:p w14:paraId="3CB04CC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942" w:type="dxa"/>
            <w:vMerge/>
            <w:tcBorders>
              <w:top w:val="nil"/>
              <w:left w:val="single" w:sz="4" w:space="0" w:color="auto"/>
              <w:bottom w:val="single" w:sz="4" w:space="0" w:color="auto"/>
              <w:right w:val="single" w:sz="4" w:space="0" w:color="auto"/>
            </w:tcBorders>
            <w:vAlign w:val="center"/>
            <w:hideMark/>
          </w:tcPr>
          <w:p w14:paraId="527DB1D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95" w:type="dxa"/>
            <w:vMerge/>
            <w:tcBorders>
              <w:top w:val="nil"/>
              <w:left w:val="single" w:sz="4" w:space="0" w:color="auto"/>
              <w:bottom w:val="single" w:sz="4" w:space="0" w:color="auto"/>
              <w:right w:val="single" w:sz="4" w:space="0" w:color="auto"/>
            </w:tcBorders>
            <w:vAlign w:val="center"/>
            <w:hideMark/>
          </w:tcPr>
          <w:p w14:paraId="3B1BD57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140" w:type="dxa"/>
            <w:gridSpan w:val="3"/>
            <w:vMerge/>
            <w:tcBorders>
              <w:top w:val="nil"/>
              <w:left w:val="single" w:sz="4" w:space="0" w:color="auto"/>
              <w:bottom w:val="single" w:sz="4" w:space="0" w:color="auto"/>
              <w:right w:val="single" w:sz="4" w:space="0" w:color="auto"/>
            </w:tcBorders>
            <w:vAlign w:val="center"/>
            <w:hideMark/>
          </w:tcPr>
          <w:p w14:paraId="35D888E6"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883" w:type="dxa"/>
            <w:vMerge/>
            <w:tcBorders>
              <w:top w:val="nil"/>
              <w:left w:val="single" w:sz="4" w:space="0" w:color="auto"/>
              <w:bottom w:val="single" w:sz="4" w:space="0" w:color="auto"/>
              <w:right w:val="single" w:sz="4" w:space="0" w:color="auto"/>
            </w:tcBorders>
            <w:vAlign w:val="center"/>
            <w:hideMark/>
          </w:tcPr>
          <w:p w14:paraId="4F08BD8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3351" w:type="dxa"/>
            <w:gridSpan w:val="2"/>
            <w:vMerge/>
            <w:tcBorders>
              <w:top w:val="nil"/>
              <w:left w:val="single" w:sz="4" w:space="0" w:color="auto"/>
              <w:bottom w:val="single" w:sz="4" w:space="0" w:color="auto"/>
              <w:right w:val="single" w:sz="4" w:space="0" w:color="auto"/>
            </w:tcBorders>
            <w:vAlign w:val="center"/>
            <w:hideMark/>
          </w:tcPr>
          <w:p w14:paraId="1D5B4241"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r>
      <w:tr w:rsidR="00F212FE" w:rsidRPr="006358A3" w14:paraId="54211D6F" w14:textId="77777777" w:rsidTr="0055381F">
        <w:trPr>
          <w:gridAfter w:val="4"/>
          <w:wAfter w:w="2761" w:type="dxa"/>
          <w:trHeight w:val="1860"/>
        </w:trPr>
        <w:tc>
          <w:tcPr>
            <w:tcW w:w="1990" w:type="dxa"/>
            <w:vMerge w:val="restart"/>
            <w:tcBorders>
              <w:top w:val="single" w:sz="4" w:space="0" w:color="auto"/>
              <w:left w:val="single" w:sz="4" w:space="0" w:color="auto"/>
              <w:bottom w:val="single" w:sz="4" w:space="0" w:color="auto"/>
              <w:right w:val="nil"/>
            </w:tcBorders>
            <w:shd w:val="clear" w:color="auto" w:fill="00B050"/>
            <w:noWrap/>
            <w:vAlign w:val="bottom"/>
            <w:hideMark/>
          </w:tcPr>
          <w:p w14:paraId="71D3FDB9"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p w14:paraId="6CB99272"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val="restart"/>
            <w:tcBorders>
              <w:top w:val="nil"/>
              <w:left w:val="single" w:sz="4" w:space="0" w:color="auto"/>
              <w:bottom w:val="single" w:sz="4" w:space="0" w:color="auto"/>
              <w:right w:val="single" w:sz="4" w:space="0" w:color="auto"/>
            </w:tcBorders>
            <w:shd w:val="clear" w:color="000000" w:fill="F2F2F2"/>
            <w:vAlign w:val="center"/>
            <w:hideMark/>
          </w:tcPr>
          <w:p w14:paraId="26342384"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r w:rsidRPr="006358A3">
              <w:rPr>
                <w:rFonts w:ascii="Calibri" w:eastAsia="Times New Roman" w:hAnsi="Calibri" w:cs="Calibri"/>
                <w:color w:val="000000"/>
                <w:sz w:val="18"/>
                <w:szCs w:val="18"/>
                <w:lang w:val="es-CR" w:eastAsia="es-CR"/>
              </w:rPr>
              <w:t>Adquisición local es la práctica de adquirir productos y servicios de proveedores locales</w:t>
            </w:r>
          </w:p>
        </w:tc>
        <w:tc>
          <w:tcPr>
            <w:tcW w:w="1667" w:type="dxa"/>
            <w:tcBorders>
              <w:top w:val="nil"/>
              <w:left w:val="nil"/>
              <w:bottom w:val="single" w:sz="4" w:space="0" w:color="auto"/>
              <w:right w:val="single" w:sz="4" w:space="0" w:color="auto"/>
            </w:tcBorders>
            <w:shd w:val="clear" w:color="000000" w:fill="F2F2F2"/>
            <w:noWrap/>
            <w:vAlign w:val="center"/>
            <w:hideMark/>
          </w:tcPr>
          <w:p w14:paraId="39433B6C"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Vida Útil</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34B681D"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5EE5FE1E"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Actualmente se adquieren insumos sin priorizar su origen, lo que limita el soporte postventa y la adaptabilidad local de los materiales o servicios.</w:t>
            </w:r>
          </w:p>
        </w:tc>
        <w:tc>
          <w:tcPr>
            <w:tcW w:w="2264" w:type="dxa"/>
            <w:gridSpan w:val="2"/>
            <w:tcBorders>
              <w:top w:val="nil"/>
              <w:left w:val="nil"/>
              <w:bottom w:val="single" w:sz="4" w:space="0" w:color="auto"/>
              <w:right w:val="single" w:sz="4" w:space="0" w:color="auto"/>
            </w:tcBorders>
            <w:hideMark/>
          </w:tcPr>
          <w:p w14:paraId="3852C015"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Las soluciones pueden tener menor compatibilidad con el entorno a largo plazo.</w:t>
            </w:r>
          </w:p>
        </w:tc>
        <w:tc>
          <w:tcPr>
            <w:tcW w:w="942" w:type="dxa"/>
            <w:tcBorders>
              <w:top w:val="nil"/>
              <w:left w:val="nil"/>
              <w:bottom w:val="single" w:sz="4" w:space="0" w:color="auto"/>
              <w:right w:val="single" w:sz="4" w:space="0" w:color="auto"/>
            </w:tcBorders>
            <w:hideMark/>
          </w:tcPr>
          <w:p w14:paraId="599FB0C8"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5E4DC99D"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Integrar un criterio de selección de proveedores locales con experiencia en sostenibilidad y soporte técnico postventa.</w:t>
            </w:r>
          </w:p>
        </w:tc>
        <w:tc>
          <w:tcPr>
            <w:tcW w:w="1140" w:type="dxa"/>
            <w:gridSpan w:val="3"/>
            <w:tcBorders>
              <w:top w:val="nil"/>
              <w:left w:val="nil"/>
              <w:bottom w:val="single" w:sz="4" w:space="0" w:color="auto"/>
              <w:right w:val="single" w:sz="4" w:space="0" w:color="auto"/>
            </w:tcBorders>
            <w:hideMark/>
          </w:tcPr>
          <w:p w14:paraId="693C6785"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shd w:val="clear" w:color="000000" w:fill="FFFFFF"/>
            <w:noWrap/>
            <w:vAlign w:val="center"/>
            <w:hideMark/>
          </w:tcPr>
          <w:p w14:paraId="4D5C513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shd w:val="clear" w:color="000000" w:fill="FFFFFF"/>
            <w:noWrap/>
            <w:vAlign w:val="center"/>
            <w:hideMark/>
          </w:tcPr>
          <w:p w14:paraId="69A4035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C26E44">
              <w:rPr>
                <w:rFonts w:ascii="Calibri" w:eastAsia="Times New Roman" w:hAnsi="Calibri" w:cs="Calibri"/>
                <w:color w:val="000000"/>
                <w:sz w:val="24"/>
                <w:lang w:eastAsia="es-CR"/>
              </w:rPr>
              <w:t>Mayor adaptabilidad y mantenimiento de largo plazo en los proyectos.</w:t>
            </w:r>
            <w:r w:rsidRPr="006358A3">
              <w:rPr>
                <w:rFonts w:ascii="Calibri" w:eastAsia="Times New Roman" w:hAnsi="Calibri" w:cs="Calibri"/>
                <w:color w:val="000000"/>
                <w:sz w:val="24"/>
                <w:lang w:val="es-CR" w:eastAsia="es-CR"/>
              </w:rPr>
              <w:t> </w:t>
            </w:r>
          </w:p>
        </w:tc>
      </w:tr>
      <w:tr w:rsidR="00F212FE" w:rsidRPr="006358A3" w14:paraId="48F15020" w14:textId="77777777" w:rsidTr="0055381F">
        <w:trPr>
          <w:gridAfter w:val="4"/>
          <w:wAfter w:w="2761" w:type="dxa"/>
          <w:trHeight w:val="1550"/>
        </w:trPr>
        <w:tc>
          <w:tcPr>
            <w:tcW w:w="1990" w:type="dxa"/>
            <w:vMerge/>
            <w:tcBorders>
              <w:top w:val="single" w:sz="4" w:space="0" w:color="auto"/>
              <w:left w:val="single" w:sz="4" w:space="0" w:color="auto"/>
              <w:bottom w:val="single" w:sz="4" w:space="0" w:color="auto"/>
              <w:right w:val="nil"/>
            </w:tcBorders>
            <w:shd w:val="clear" w:color="auto" w:fill="00B050"/>
            <w:vAlign w:val="center"/>
            <w:hideMark/>
          </w:tcPr>
          <w:p w14:paraId="15731CB2"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7C208551"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06A77E86"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noProof/>
                <w:color w:val="000000"/>
                <w:sz w:val="24"/>
                <w:lang w:val="es-CR" w:eastAsia="es-CR"/>
              </w:rPr>
              <w:drawing>
                <wp:anchor distT="0" distB="0" distL="114300" distR="114300" simplePos="0" relativeHeight="251682816" behindDoc="0" locked="0" layoutInCell="1" allowOverlap="1" wp14:anchorId="074F4A0E" wp14:editId="07D89E9B">
                  <wp:simplePos x="0" y="0"/>
                  <wp:positionH relativeFrom="column">
                    <wp:posOffset>-2484120</wp:posOffset>
                  </wp:positionH>
                  <wp:positionV relativeFrom="paragraph">
                    <wp:posOffset>67310</wp:posOffset>
                  </wp:positionV>
                  <wp:extent cx="882650" cy="952500"/>
                  <wp:effectExtent l="0" t="0" r="0" b="0"/>
                  <wp:wrapNone/>
                  <wp:docPr id="1238328243" name="Imagen 41">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0000000-0008-0000-0400-000002000000}"/>
                              </a:ext>
                            </a:extLst>
                          </pic:cNvPr>
                          <pic:cNvPicPr>
                            <a:picLocks noChangeAspect="1"/>
                          </pic:cNvPicPr>
                        </pic:nvPicPr>
                        <pic:blipFill>
                          <a:blip r:embed="rId48"/>
                          <a:stretch>
                            <a:fillRect/>
                          </a:stretch>
                        </pic:blipFill>
                        <pic:spPr>
                          <a:xfrm>
                            <a:off x="0" y="0"/>
                            <a:ext cx="882650" cy="952500"/>
                          </a:xfrm>
                          <a:prstGeom prst="rect">
                            <a:avLst/>
                          </a:prstGeom>
                        </pic:spPr>
                      </pic:pic>
                    </a:graphicData>
                  </a:graphic>
                  <wp14:sizeRelH relativeFrom="page">
                    <wp14:pctWidth>0</wp14:pctWidth>
                  </wp14:sizeRelH>
                  <wp14:sizeRelV relativeFrom="page">
                    <wp14:pctHeight>0</wp14:pctHeight>
                  </wp14:sizeRelV>
                </wp:anchor>
              </w:drawing>
            </w:r>
            <w:r w:rsidRPr="006358A3">
              <w:rPr>
                <w:rFonts w:ascii="Calibri" w:eastAsia="Times New Roman" w:hAnsi="Calibri" w:cs="Calibri"/>
                <w:color w:val="000000"/>
                <w:sz w:val="24"/>
                <w:lang w:val="es-CR" w:eastAsia="es-CR"/>
              </w:rPr>
              <w:t>Mantenimiento</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2AD852A"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35DA75B9"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La falta de proveedores locales dificulta reparaciones o ajustes rápidos durante la operación del edificio.</w:t>
            </w:r>
          </w:p>
        </w:tc>
        <w:tc>
          <w:tcPr>
            <w:tcW w:w="2264" w:type="dxa"/>
            <w:gridSpan w:val="2"/>
            <w:tcBorders>
              <w:top w:val="nil"/>
              <w:left w:val="nil"/>
              <w:bottom w:val="single" w:sz="4" w:space="0" w:color="auto"/>
              <w:right w:val="single" w:sz="4" w:space="0" w:color="auto"/>
            </w:tcBorders>
            <w:hideMark/>
          </w:tcPr>
          <w:p w14:paraId="18E30F6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Esto incrementa los costos y tiempos de mantenimiento.</w:t>
            </w:r>
          </w:p>
        </w:tc>
        <w:tc>
          <w:tcPr>
            <w:tcW w:w="942" w:type="dxa"/>
            <w:tcBorders>
              <w:top w:val="nil"/>
              <w:left w:val="nil"/>
              <w:bottom w:val="single" w:sz="4" w:space="0" w:color="auto"/>
              <w:right w:val="single" w:sz="4" w:space="0" w:color="auto"/>
            </w:tcBorders>
            <w:noWrap/>
            <w:vAlign w:val="center"/>
            <w:hideMark/>
          </w:tcPr>
          <w:p w14:paraId="59D2AA0C"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1995" w:type="dxa"/>
            <w:tcBorders>
              <w:top w:val="nil"/>
              <w:left w:val="nil"/>
              <w:bottom w:val="single" w:sz="4" w:space="0" w:color="auto"/>
              <w:right w:val="single" w:sz="4" w:space="0" w:color="auto"/>
            </w:tcBorders>
            <w:hideMark/>
          </w:tcPr>
          <w:p w14:paraId="01D2811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Establecer relaciones con proveedores locales estratégicos que ofrezcan mantenimiento continuo y disponibilidad de repuestos.</w:t>
            </w:r>
          </w:p>
        </w:tc>
        <w:tc>
          <w:tcPr>
            <w:tcW w:w="1140" w:type="dxa"/>
            <w:gridSpan w:val="3"/>
            <w:tcBorders>
              <w:top w:val="nil"/>
              <w:left w:val="nil"/>
              <w:bottom w:val="single" w:sz="4" w:space="0" w:color="auto"/>
              <w:right w:val="single" w:sz="4" w:space="0" w:color="auto"/>
            </w:tcBorders>
            <w:noWrap/>
            <w:vAlign w:val="center"/>
            <w:hideMark/>
          </w:tcPr>
          <w:p w14:paraId="03AE9344"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5B54579E"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1</w:t>
            </w:r>
          </w:p>
        </w:tc>
        <w:tc>
          <w:tcPr>
            <w:tcW w:w="3351" w:type="dxa"/>
            <w:gridSpan w:val="2"/>
            <w:tcBorders>
              <w:top w:val="nil"/>
              <w:left w:val="nil"/>
              <w:bottom w:val="single" w:sz="4" w:space="0" w:color="auto"/>
              <w:right w:val="single" w:sz="4" w:space="0" w:color="auto"/>
            </w:tcBorders>
            <w:hideMark/>
          </w:tcPr>
          <w:p w14:paraId="4DB236E8"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Se mejoró la eficiencia operativa en el mantenimiento post-obra.</w:t>
            </w:r>
          </w:p>
        </w:tc>
      </w:tr>
      <w:tr w:rsidR="00F212FE" w:rsidRPr="006358A3" w14:paraId="12375E60" w14:textId="77777777" w:rsidTr="0055381F">
        <w:trPr>
          <w:gridAfter w:val="4"/>
          <w:wAfter w:w="2761" w:type="dxa"/>
          <w:trHeight w:val="1240"/>
        </w:trPr>
        <w:tc>
          <w:tcPr>
            <w:tcW w:w="1990" w:type="dxa"/>
            <w:vMerge/>
            <w:tcBorders>
              <w:top w:val="single" w:sz="4" w:space="0" w:color="auto"/>
              <w:left w:val="single" w:sz="4" w:space="0" w:color="auto"/>
              <w:bottom w:val="single" w:sz="4" w:space="0" w:color="auto"/>
              <w:right w:val="nil"/>
            </w:tcBorders>
            <w:shd w:val="clear" w:color="auto" w:fill="00B050"/>
            <w:vAlign w:val="center"/>
            <w:hideMark/>
          </w:tcPr>
          <w:p w14:paraId="6C9BC06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2E311506"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2C004659"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Eficacia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1977C88"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4B9129B9"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La compra a proveedores internacionales conlleva largos tiempos de entrega y riesgo de desabastecimiento.</w:t>
            </w:r>
          </w:p>
        </w:tc>
        <w:tc>
          <w:tcPr>
            <w:tcW w:w="2264" w:type="dxa"/>
            <w:gridSpan w:val="2"/>
            <w:tcBorders>
              <w:top w:val="nil"/>
              <w:left w:val="nil"/>
              <w:bottom w:val="single" w:sz="4" w:space="0" w:color="auto"/>
              <w:right w:val="single" w:sz="4" w:space="0" w:color="auto"/>
            </w:tcBorders>
            <w:hideMark/>
          </w:tcPr>
          <w:p w14:paraId="1AFA808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Afecta el cumplimiento del cronograma y la efectividad del proyecto.</w:t>
            </w:r>
          </w:p>
        </w:tc>
        <w:tc>
          <w:tcPr>
            <w:tcW w:w="942" w:type="dxa"/>
            <w:tcBorders>
              <w:top w:val="nil"/>
              <w:left w:val="nil"/>
              <w:bottom w:val="single" w:sz="4" w:space="0" w:color="auto"/>
              <w:right w:val="single" w:sz="4" w:space="0" w:color="auto"/>
            </w:tcBorders>
            <w:noWrap/>
            <w:vAlign w:val="center"/>
            <w:hideMark/>
          </w:tcPr>
          <w:p w14:paraId="1721076C"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692667F0"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Priorizar compras locales con acuerdos de entrega flexibles y soporte técnico cercano.</w:t>
            </w:r>
          </w:p>
        </w:tc>
        <w:tc>
          <w:tcPr>
            <w:tcW w:w="1140" w:type="dxa"/>
            <w:gridSpan w:val="3"/>
            <w:tcBorders>
              <w:top w:val="nil"/>
              <w:left w:val="nil"/>
              <w:bottom w:val="single" w:sz="4" w:space="0" w:color="auto"/>
              <w:right w:val="single" w:sz="4" w:space="0" w:color="auto"/>
            </w:tcBorders>
            <w:noWrap/>
            <w:vAlign w:val="center"/>
            <w:hideMark/>
          </w:tcPr>
          <w:p w14:paraId="016E5AC0"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019C3532"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60B1708B"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Mayor cumplimiento de plazos y continuidad de operaciones.</w:t>
            </w:r>
          </w:p>
        </w:tc>
      </w:tr>
      <w:tr w:rsidR="00F212FE" w:rsidRPr="006358A3" w14:paraId="6F9C6833" w14:textId="77777777" w:rsidTr="0055381F">
        <w:trPr>
          <w:gridAfter w:val="4"/>
          <w:wAfter w:w="2761" w:type="dxa"/>
          <w:trHeight w:val="1550"/>
        </w:trPr>
        <w:tc>
          <w:tcPr>
            <w:tcW w:w="1990" w:type="dxa"/>
            <w:vMerge/>
            <w:tcBorders>
              <w:top w:val="single" w:sz="4" w:space="0" w:color="auto"/>
              <w:left w:val="single" w:sz="4" w:space="0" w:color="auto"/>
              <w:bottom w:val="single" w:sz="4" w:space="0" w:color="auto"/>
              <w:right w:val="nil"/>
            </w:tcBorders>
            <w:shd w:val="clear" w:color="auto" w:fill="00B050"/>
            <w:vAlign w:val="center"/>
            <w:hideMark/>
          </w:tcPr>
          <w:p w14:paraId="712C33E2"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47CF48FB"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762FA3F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Eficiencia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CB23252"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7B41235E"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Los costos logísticos y de importación elevan el precio final de materiales y servicios.</w:t>
            </w:r>
          </w:p>
        </w:tc>
        <w:tc>
          <w:tcPr>
            <w:tcW w:w="2264" w:type="dxa"/>
            <w:gridSpan w:val="2"/>
            <w:tcBorders>
              <w:top w:val="nil"/>
              <w:left w:val="nil"/>
              <w:bottom w:val="single" w:sz="4" w:space="0" w:color="auto"/>
              <w:right w:val="single" w:sz="4" w:space="0" w:color="auto"/>
            </w:tcBorders>
            <w:hideMark/>
          </w:tcPr>
          <w:p w14:paraId="0CF6B41A"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Se reducen los márgenes de eficiencia financiera del proyecto.</w:t>
            </w:r>
          </w:p>
        </w:tc>
        <w:tc>
          <w:tcPr>
            <w:tcW w:w="942" w:type="dxa"/>
            <w:tcBorders>
              <w:top w:val="nil"/>
              <w:left w:val="nil"/>
              <w:bottom w:val="single" w:sz="4" w:space="0" w:color="auto"/>
              <w:right w:val="single" w:sz="4" w:space="0" w:color="auto"/>
            </w:tcBorders>
            <w:noWrap/>
            <w:vAlign w:val="center"/>
            <w:hideMark/>
          </w:tcPr>
          <w:p w14:paraId="6F681319"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1995" w:type="dxa"/>
            <w:tcBorders>
              <w:top w:val="nil"/>
              <w:left w:val="nil"/>
              <w:bottom w:val="single" w:sz="4" w:space="0" w:color="auto"/>
              <w:right w:val="single" w:sz="4" w:space="0" w:color="auto"/>
            </w:tcBorders>
            <w:hideMark/>
          </w:tcPr>
          <w:p w14:paraId="06B19521"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Incluir un análisis comparativo de costos logísticos entre proveedores locales y externos durante la fase de planificación.</w:t>
            </w:r>
          </w:p>
        </w:tc>
        <w:tc>
          <w:tcPr>
            <w:tcW w:w="1140" w:type="dxa"/>
            <w:gridSpan w:val="3"/>
            <w:tcBorders>
              <w:top w:val="nil"/>
              <w:left w:val="nil"/>
              <w:bottom w:val="single" w:sz="4" w:space="0" w:color="auto"/>
              <w:right w:val="single" w:sz="4" w:space="0" w:color="auto"/>
            </w:tcBorders>
            <w:noWrap/>
            <w:vAlign w:val="center"/>
            <w:hideMark/>
          </w:tcPr>
          <w:p w14:paraId="65B2CDF4"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179407F9"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1</w:t>
            </w:r>
          </w:p>
        </w:tc>
        <w:tc>
          <w:tcPr>
            <w:tcW w:w="3351" w:type="dxa"/>
            <w:gridSpan w:val="2"/>
            <w:tcBorders>
              <w:top w:val="nil"/>
              <w:left w:val="nil"/>
              <w:bottom w:val="single" w:sz="4" w:space="0" w:color="auto"/>
              <w:right w:val="single" w:sz="4" w:space="0" w:color="auto"/>
            </w:tcBorders>
            <w:hideMark/>
          </w:tcPr>
          <w:p w14:paraId="25029860"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Ahorro en costos logísticos y menor huella de carbono por transporte.</w:t>
            </w:r>
          </w:p>
        </w:tc>
      </w:tr>
      <w:tr w:rsidR="00F212FE" w:rsidRPr="006358A3" w14:paraId="5621238C" w14:textId="77777777" w:rsidTr="0055381F">
        <w:trPr>
          <w:gridAfter w:val="4"/>
          <w:wAfter w:w="2761" w:type="dxa"/>
          <w:trHeight w:val="1240"/>
        </w:trPr>
        <w:tc>
          <w:tcPr>
            <w:tcW w:w="1990" w:type="dxa"/>
            <w:vMerge/>
            <w:tcBorders>
              <w:top w:val="single" w:sz="4" w:space="0" w:color="auto"/>
              <w:left w:val="single" w:sz="4" w:space="0" w:color="auto"/>
              <w:bottom w:val="single" w:sz="4" w:space="0" w:color="auto"/>
              <w:right w:val="nil"/>
            </w:tcBorders>
            <w:shd w:val="clear" w:color="auto" w:fill="00B050"/>
            <w:vAlign w:val="center"/>
            <w:hideMark/>
          </w:tcPr>
          <w:p w14:paraId="5E5657C0"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317137E5"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5F7A092E"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Imparcialidad</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7BF245E"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2AE31140"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No hay mecanismos formales que promuevan la inclusión de proveedores locales </w:t>
            </w:r>
            <w:r w:rsidRPr="006358A3">
              <w:rPr>
                <w:rFonts w:ascii="Calibri" w:eastAsia="Times New Roman" w:hAnsi="Calibri" w:cs="Calibri"/>
                <w:color w:val="000000"/>
                <w:sz w:val="24"/>
                <w:lang w:val="es-CR" w:eastAsia="es-CR"/>
              </w:rPr>
              <w:lastRenderedPageBreak/>
              <w:t>diversos en los concursos.</w:t>
            </w:r>
          </w:p>
        </w:tc>
        <w:tc>
          <w:tcPr>
            <w:tcW w:w="2264" w:type="dxa"/>
            <w:gridSpan w:val="2"/>
            <w:tcBorders>
              <w:top w:val="nil"/>
              <w:left w:val="nil"/>
              <w:bottom w:val="single" w:sz="4" w:space="0" w:color="auto"/>
              <w:right w:val="single" w:sz="4" w:space="0" w:color="auto"/>
            </w:tcBorders>
            <w:hideMark/>
          </w:tcPr>
          <w:p w14:paraId="64199BB0"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lastRenderedPageBreak/>
              <w:t> </w:t>
            </w:r>
            <w:r w:rsidRPr="00C26E44">
              <w:rPr>
                <w:rFonts w:ascii="Calibri" w:eastAsia="Times New Roman" w:hAnsi="Calibri" w:cs="Calibri"/>
                <w:color w:val="000000"/>
                <w:sz w:val="24"/>
                <w:lang w:eastAsia="es-CR"/>
              </w:rPr>
              <w:t>Se limita la distribución equitativa de oportunidades económicas.</w:t>
            </w:r>
          </w:p>
        </w:tc>
        <w:tc>
          <w:tcPr>
            <w:tcW w:w="942" w:type="dxa"/>
            <w:tcBorders>
              <w:top w:val="nil"/>
              <w:left w:val="nil"/>
              <w:bottom w:val="single" w:sz="4" w:space="0" w:color="auto"/>
              <w:right w:val="single" w:sz="4" w:space="0" w:color="auto"/>
            </w:tcBorders>
            <w:noWrap/>
            <w:vAlign w:val="center"/>
            <w:hideMark/>
          </w:tcPr>
          <w:p w14:paraId="4576AE2A"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75046B6E"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Establecer políticas de inclusión y criterios transparentes de </w:t>
            </w:r>
            <w:r w:rsidRPr="006358A3">
              <w:rPr>
                <w:rFonts w:ascii="Calibri" w:eastAsia="Times New Roman" w:hAnsi="Calibri" w:cs="Calibri"/>
                <w:color w:val="000000"/>
                <w:sz w:val="24"/>
                <w:lang w:val="es-CR" w:eastAsia="es-CR"/>
              </w:rPr>
              <w:lastRenderedPageBreak/>
              <w:t>selección para proveedores regionales</w:t>
            </w:r>
          </w:p>
        </w:tc>
        <w:tc>
          <w:tcPr>
            <w:tcW w:w="1140" w:type="dxa"/>
            <w:gridSpan w:val="3"/>
            <w:tcBorders>
              <w:top w:val="nil"/>
              <w:left w:val="nil"/>
              <w:bottom w:val="single" w:sz="4" w:space="0" w:color="auto"/>
              <w:right w:val="single" w:sz="4" w:space="0" w:color="auto"/>
            </w:tcBorders>
            <w:noWrap/>
            <w:vAlign w:val="center"/>
            <w:hideMark/>
          </w:tcPr>
          <w:p w14:paraId="459A4390"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lastRenderedPageBreak/>
              <w:t>4</w:t>
            </w:r>
          </w:p>
        </w:tc>
        <w:tc>
          <w:tcPr>
            <w:tcW w:w="883" w:type="dxa"/>
            <w:tcBorders>
              <w:top w:val="nil"/>
              <w:left w:val="nil"/>
              <w:bottom w:val="single" w:sz="4" w:space="0" w:color="auto"/>
              <w:right w:val="single" w:sz="4" w:space="0" w:color="auto"/>
            </w:tcBorders>
            <w:noWrap/>
            <w:vAlign w:val="center"/>
            <w:hideMark/>
          </w:tcPr>
          <w:p w14:paraId="4A1EB4AB"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1705D74B"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Aumento en la equidad y desarrollo económico local.</w:t>
            </w:r>
          </w:p>
        </w:tc>
      </w:tr>
      <w:tr w:rsidR="00F212FE" w:rsidRPr="006358A3" w14:paraId="51EDB770" w14:textId="77777777" w:rsidTr="0055381F">
        <w:trPr>
          <w:gridAfter w:val="4"/>
          <w:wAfter w:w="2761" w:type="dxa"/>
          <w:trHeight w:val="1860"/>
        </w:trPr>
        <w:tc>
          <w:tcPr>
            <w:tcW w:w="1990" w:type="dxa"/>
            <w:vMerge w:val="restart"/>
            <w:tcBorders>
              <w:top w:val="single" w:sz="4" w:space="0" w:color="auto"/>
              <w:left w:val="single" w:sz="4" w:space="0" w:color="auto"/>
              <w:bottom w:val="single" w:sz="4" w:space="0" w:color="auto"/>
              <w:right w:val="nil"/>
            </w:tcBorders>
            <w:shd w:val="clear" w:color="auto" w:fill="00B050"/>
            <w:noWrap/>
            <w:vAlign w:val="bottom"/>
            <w:hideMark/>
          </w:tcPr>
          <w:p w14:paraId="505DA0C1"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noProof/>
                <w:color w:val="000000"/>
                <w:sz w:val="24"/>
                <w:lang w:val="es-CR" w:eastAsia="es-CR"/>
              </w:rPr>
              <w:drawing>
                <wp:anchor distT="0" distB="0" distL="114300" distR="114300" simplePos="0" relativeHeight="251683840" behindDoc="0" locked="0" layoutInCell="1" allowOverlap="1" wp14:anchorId="1C495789" wp14:editId="44AFD13A">
                  <wp:simplePos x="0" y="0"/>
                  <wp:positionH relativeFrom="column">
                    <wp:posOffset>174625</wp:posOffset>
                  </wp:positionH>
                  <wp:positionV relativeFrom="paragraph">
                    <wp:posOffset>-4321810</wp:posOffset>
                  </wp:positionV>
                  <wp:extent cx="889000" cy="882650"/>
                  <wp:effectExtent l="0" t="0" r="0" b="0"/>
                  <wp:wrapNone/>
                  <wp:docPr id="10" name="Imagen 40">
                    <a:extLst xmlns:a="http://schemas.openxmlformats.org/drawingml/2006/main">
                      <a:ext uri="{FF2B5EF4-FFF2-40B4-BE49-F238E27FC236}">
                        <a16:creationId xmlns:a16="http://schemas.microsoft.com/office/drawing/2014/main" id="{00000000-0008-0000-0400-00000A000000}"/>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00000000-0008-0000-0400-00000A000000}"/>
                              </a:ext>
                            </a:extLst>
                          </pic:cNvPr>
                          <pic:cNvPicPr>
                            <a:picLocks noChangeAspect="1"/>
                          </pic:cNvPicPr>
                        </pic:nvPicPr>
                        <pic:blipFill>
                          <a:blip r:embed="rId49"/>
                          <a:stretch>
                            <a:fillRect/>
                          </a:stretch>
                        </pic:blipFill>
                        <pic:spPr>
                          <a:xfrm>
                            <a:off x="0" y="0"/>
                            <a:ext cx="889000" cy="882650"/>
                          </a:xfrm>
                          <a:prstGeom prst="rect">
                            <a:avLst/>
                          </a:prstGeom>
                        </pic:spPr>
                      </pic:pic>
                    </a:graphicData>
                  </a:graphic>
                  <wp14:sizeRelH relativeFrom="page">
                    <wp14:pctWidth>0</wp14:pctWidth>
                  </wp14:sizeRelH>
                  <wp14:sizeRelV relativeFrom="page">
                    <wp14:pctHeight>0</wp14:pctHeight>
                  </wp14:sizeRelV>
                </wp:anchor>
              </w:drawing>
            </w:r>
          </w:p>
          <w:p w14:paraId="32ECDF5C"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val="restart"/>
            <w:tcBorders>
              <w:top w:val="nil"/>
              <w:left w:val="single" w:sz="4" w:space="0" w:color="auto"/>
              <w:bottom w:val="single" w:sz="4" w:space="0" w:color="auto"/>
              <w:right w:val="single" w:sz="4" w:space="0" w:color="auto"/>
            </w:tcBorders>
            <w:shd w:val="clear" w:color="000000" w:fill="F2F2F2"/>
            <w:vAlign w:val="center"/>
            <w:hideMark/>
          </w:tcPr>
          <w:p w14:paraId="44419EB1"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r w:rsidRPr="006358A3">
              <w:rPr>
                <w:rFonts w:ascii="Calibri" w:eastAsia="Times New Roman" w:hAnsi="Calibri" w:cs="Calibri"/>
                <w:color w:val="000000"/>
                <w:sz w:val="18"/>
                <w:szCs w:val="18"/>
                <w:lang w:val="es-CR" w:eastAsia="es-CR"/>
              </w:rPr>
              <w:t>Comunicación digital es el uso de herramientas y plataformas digitales para comunicar sobre el proyecto. Estas herramientas pueden incluir sitios web, boletines por correo electrónico, cuentas de redes sociales, aplicaciones de mensajería y otros canales de comunicación digital.</w:t>
            </w:r>
          </w:p>
        </w:tc>
        <w:tc>
          <w:tcPr>
            <w:tcW w:w="1667" w:type="dxa"/>
            <w:tcBorders>
              <w:top w:val="nil"/>
              <w:left w:val="nil"/>
              <w:bottom w:val="single" w:sz="4" w:space="0" w:color="auto"/>
              <w:right w:val="single" w:sz="4" w:space="0" w:color="auto"/>
            </w:tcBorders>
            <w:shd w:val="clear" w:color="000000" w:fill="F2F2F2"/>
            <w:noWrap/>
            <w:vAlign w:val="center"/>
            <w:hideMark/>
          </w:tcPr>
          <w:p w14:paraId="2471D71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Vida Útil</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E54C786"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55772E6E"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En los proyectos actuales no se documenta de forma accesible el desarrollo y resultados del proyecto, lo cual limita el aprendizaje para futuras iniciativas.</w:t>
            </w:r>
          </w:p>
        </w:tc>
        <w:tc>
          <w:tcPr>
            <w:tcW w:w="2264" w:type="dxa"/>
            <w:gridSpan w:val="2"/>
            <w:tcBorders>
              <w:top w:val="nil"/>
              <w:left w:val="nil"/>
              <w:bottom w:val="single" w:sz="4" w:space="0" w:color="auto"/>
              <w:right w:val="single" w:sz="4" w:space="0" w:color="auto"/>
            </w:tcBorders>
            <w:hideMark/>
          </w:tcPr>
          <w:p w14:paraId="583D0821"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La falta de registro reduce la posibilidad de replicar buenas prácticas a largo plazo.</w:t>
            </w:r>
          </w:p>
        </w:tc>
        <w:tc>
          <w:tcPr>
            <w:tcW w:w="942" w:type="dxa"/>
            <w:tcBorders>
              <w:top w:val="nil"/>
              <w:left w:val="nil"/>
              <w:bottom w:val="single" w:sz="4" w:space="0" w:color="auto"/>
              <w:right w:val="single" w:sz="4" w:space="0" w:color="auto"/>
            </w:tcBorders>
            <w:noWrap/>
            <w:vAlign w:val="center"/>
            <w:hideMark/>
          </w:tcPr>
          <w:p w14:paraId="386DAF7B"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62F1E530"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Crear una sección digital interna por proyecto donde se documenten avances, decisiones clave, lecciones aprendidas y entregables.</w:t>
            </w:r>
          </w:p>
        </w:tc>
        <w:tc>
          <w:tcPr>
            <w:tcW w:w="1140" w:type="dxa"/>
            <w:gridSpan w:val="3"/>
            <w:tcBorders>
              <w:top w:val="nil"/>
              <w:left w:val="nil"/>
              <w:bottom w:val="single" w:sz="4" w:space="0" w:color="auto"/>
              <w:right w:val="single" w:sz="4" w:space="0" w:color="auto"/>
            </w:tcBorders>
            <w:noWrap/>
            <w:vAlign w:val="center"/>
            <w:hideMark/>
          </w:tcPr>
          <w:p w14:paraId="74F244AA"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0D4132FC"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194D9F8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Mejora en la trazabilidad y transferencia de conocimiento para futuros proyectos.</w:t>
            </w:r>
          </w:p>
        </w:tc>
      </w:tr>
      <w:tr w:rsidR="00F212FE" w:rsidRPr="006358A3" w14:paraId="607B4070" w14:textId="77777777" w:rsidTr="0055381F">
        <w:trPr>
          <w:gridAfter w:val="4"/>
          <w:wAfter w:w="2761" w:type="dxa"/>
          <w:trHeight w:val="1550"/>
        </w:trPr>
        <w:tc>
          <w:tcPr>
            <w:tcW w:w="1990" w:type="dxa"/>
            <w:vMerge/>
            <w:tcBorders>
              <w:top w:val="single" w:sz="4" w:space="0" w:color="auto"/>
              <w:left w:val="single" w:sz="4" w:space="0" w:color="auto"/>
              <w:bottom w:val="single" w:sz="4" w:space="0" w:color="auto"/>
              <w:right w:val="nil"/>
            </w:tcBorders>
            <w:shd w:val="clear" w:color="auto" w:fill="00B050"/>
            <w:vAlign w:val="center"/>
            <w:hideMark/>
          </w:tcPr>
          <w:p w14:paraId="27A322C6"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3879CCAA"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33AD5B38"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Mantenimiento</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C91356F"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09BB9EBF"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No hay una estrategia digital clara para mantener informados a los interesados después del cierre del proyecto.</w:t>
            </w:r>
          </w:p>
        </w:tc>
        <w:tc>
          <w:tcPr>
            <w:tcW w:w="2264" w:type="dxa"/>
            <w:gridSpan w:val="2"/>
            <w:tcBorders>
              <w:top w:val="nil"/>
              <w:left w:val="nil"/>
              <w:bottom w:val="single" w:sz="4" w:space="0" w:color="auto"/>
              <w:right w:val="single" w:sz="4" w:space="0" w:color="auto"/>
            </w:tcBorders>
            <w:hideMark/>
          </w:tcPr>
          <w:p w14:paraId="7DC5BA6F"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Esto puede afectar el mantenimiento postventa y la percepción de valor.</w:t>
            </w:r>
          </w:p>
        </w:tc>
        <w:tc>
          <w:tcPr>
            <w:tcW w:w="942" w:type="dxa"/>
            <w:tcBorders>
              <w:top w:val="nil"/>
              <w:left w:val="nil"/>
              <w:bottom w:val="single" w:sz="4" w:space="0" w:color="auto"/>
              <w:right w:val="single" w:sz="4" w:space="0" w:color="auto"/>
            </w:tcBorders>
            <w:noWrap/>
            <w:vAlign w:val="center"/>
            <w:hideMark/>
          </w:tcPr>
          <w:p w14:paraId="258E253E"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59378B2C"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Incluir una fase de comunicación post-entrega con boletines digitales periódicos e invitaciones a dar retroalimentación.</w:t>
            </w:r>
          </w:p>
        </w:tc>
        <w:tc>
          <w:tcPr>
            <w:tcW w:w="1140" w:type="dxa"/>
            <w:gridSpan w:val="3"/>
            <w:tcBorders>
              <w:top w:val="nil"/>
              <w:left w:val="nil"/>
              <w:bottom w:val="single" w:sz="4" w:space="0" w:color="auto"/>
              <w:right w:val="single" w:sz="4" w:space="0" w:color="auto"/>
            </w:tcBorders>
            <w:noWrap/>
            <w:vAlign w:val="center"/>
            <w:hideMark/>
          </w:tcPr>
          <w:p w14:paraId="42E2F40C"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883" w:type="dxa"/>
            <w:tcBorders>
              <w:top w:val="nil"/>
              <w:left w:val="nil"/>
              <w:bottom w:val="single" w:sz="4" w:space="0" w:color="auto"/>
              <w:right w:val="single" w:sz="4" w:space="0" w:color="auto"/>
            </w:tcBorders>
            <w:noWrap/>
            <w:vAlign w:val="center"/>
            <w:hideMark/>
          </w:tcPr>
          <w:p w14:paraId="17B93AC4"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1</w:t>
            </w:r>
          </w:p>
        </w:tc>
        <w:tc>
          <w:tcPr>
            <w:tcW w:w="3351" w:type="dxa"/>
            <w:gridSpan w:val="2"/>
            <w:tcBorders>
              <w:top w:val="nil"/>
              <w:left w:val="nil"/>
              <w:bottom w:val="single" w:sz="4" w:space="0" w:color="auto"/>
              <w:right w:val="single" w:sz="4" w:space="0" w:color="auto"/>
            </w:tcBorders>
            <w:hideMark/>
          </w:tcPr>
          <w:p w14:paraId="381032D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Mejora en la relación con el cliente y seguimiento del ciclo de vida del proyecto.</w:t>
            </w:r>
          </w:p>
        </w:tc>
      </w:tr>
      <w:tr w:rsidR="00F212FE" w:rsidRPr="006358A3" w14:paraId="1C1630C7" w14:textId="77777777" w:rsidTr="0055381F">
        <w:trPr>
          <w:gridAfter w:val="4"/>
          <w:wAfter w:w="2761" w:type="dxa"/>
          <w:trHeight w:val="1550"/>
        </w:trPr>
        <w:tc>
          <w:tcPr>
            <w:tcW w:w="1990" w:type="dxa"/>
            <w:vMerge/>
            <w:tcBorders>
              <w:top w:val="single" w:sz="4" w:space="0" w:color="auto"/>
              <w:left w:val="single" w:sz="4" w:space="0" w:color="auto"/>
              <w:bottom w:val="single" w:sz="4" w:space="0" w:color="auto"/>
              <w:right w:val="nil"/>
            </w:tcBorders>
            <w:shd w:val="clear" w:color="auto" w:fill="00B050"/>
            <w:vAlign w:val="center"/>
            <w:hideMark/>
          </w:tcPr>
          <w:p w14:paraId="7363FCD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5DE71952"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05C34392"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Eficacia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F03F748"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46324452"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La comunicación entre áreas del equipo se da por canales informales, lo que genera pérdida de información importante del proyecto.</w:t>
            </w:r>
          </w:p>
        </w:tc>
        <w:tc>
          <w:tcPr>
            <w:tcW w:w="2264" w:type="dxa"/>
            <w:gridSpan w:val="2"/>
            <w:tcBorders>
              <w:top w:val="nil"/>
              <w:left w:val="nil"/>
              <w:bottom w:val="single" w:sz="4" w:space="0" w:color="auto"/>
              <w:right w:val="single" w:sz="4" w:space="0" w:color="auto"/>
            </w:tcBorders>
            <w:hideMark/>
          </w:tcPr>
          <w:p w14:paraId="1173DC5A"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Dificulta el cumplimiento de metas y la ejecución eficiente.</w:t>
            </w:r>
          </w:p>
        </w:tc>
        <w:tc>
          <w:tcPr>
            <w:tcW w:w="942" w:type="dxa"/>
            <w:tcBorders>
              <w:top w:val="nil"/>
              <w:left w:val="nil"/>
              <w:bottom w:val="single" w:sz="4" w:space="0" w:color="auto"/>
              <w:right w:val="single" w:sz="4" w:space="0" w:color="auto"/>
            </w:tcBorders>
            <w:noWrap/>
            <w:vAlign w:val="center"/>
            <w:hideMark/>
          </w:tcPr>
          <w:p w14:paraId="24D92504"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1995" w:type="dxa"/>
            <w:tcBorders>
              <w:top w:val="nil"/>
              <w:left w:val="nil"/>
              <w:bottom w:val="single" w:sz="4" w:space="0" w:color="auto"/>
              <w:right w:val="single" w:sz="4" w:space="0" w:color="auto"/>
            </w:tcBorders>
            <w:hideMark/>
          </w:tcPr>
          <w:p w14:paraId="396DC666"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Implementar una plataforma digital colaborativa (como Teams o Asana) con paneles de seguimiento por fase.</w:t>
            </w:r>
          </w:p>
        </w:tc>
        <w:tc>
          <w:tcPr>
            <w:tcW w:w="1140" w:type="dxa"/>
            <w:gridSpan w:val="3"/>
            <w:tcBorders>
              <w:top w:val="nil"/>
              <w:left w:val="nil"/>
              <w:bottom w:val="single" w:sz="4" w:space="0" w:color="auto"/>
              <w:right w:val="single" w:sz="4" w:space="0" w:color="auto"/>
            </w:tcBorders>
            <w:noWrap/>
            <w:vAlign w:val="center"/>
            <w:hideMark/>
          </w:tcPr>
          <w:p w14:paraId="4360F685"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5</w:t>
            </w:r>
          </w:p>
        </w:tc>
        <w:tc>
          <w:tcPr>
            <w:tcW w:w="883" w:type="dxa"/>
            <w:tcBorders>
              <w:top w:val="nil"/>
              <w:left w:val="nil"/>
              <w:bottom w:val="single" w:sz="4" w:space="0" w:color="auto"/>
              <w:right w:val="single" w:sz="4" w:space="0" w:color="auto"/>
            </w:tcBorders>
            <w:noWrap/>
            <w:vAlign w:val="center"/>
            <w:hideMark/>
          </w:tcPr>
          <w:p w14:paraId="79DE2062"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598D4829"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Mayor visibilidad del avance, mejora en coordinación y cumplimiento de objetivos.</w:t>
            </w:r>
          </w:p>
        </w:tc>
      </w:tr>
      <w:tr w:rsidR="00F212FE" w:rsidRPr="006358A3" w14:paraId="51988D72" w14:textId="77777777" w:rsidTr="0055381F">
        <w:trPr>
          <w:gridAfter w:val="4"/>
          <w:wAfter w:w="2761" w:type="dxa"/>
          <w:trHeight w:val="1550"/>
        </w:trPr>
        <w:tc>
          <w:tcPr>
            <w:tcW w:w="1990" w:type="dxa"/>
            <w:vMerge/>
            <w:tcBorders>
              <w:top w:val="single" w:sz="4" w:space="0" w:color="auto"/>
              <w:left w:val="single" w:sz="4" w:space="0" w:color="auto"/>
              <w:bottom w:val="single" w:sz="4" w:space="0" w:color="auto"/>
              <w:right w:val="nil"/>
            </w:tcBorders>
            <w:shd w:val="clear" w:color="auto" w:fill="00B050"/>
            <w:vAlign w:val="center"/>
            <w:hideMark/>
          </w:tcPr>
          <w:p w14:paraId="1A59FAA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08F12FD6"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27C4D872"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Eficiencia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5B04DA1"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179EE68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La falta de un canal único de comunicación con stakeholders genera duplicidad de mensajes y retrabajo.</w:t>
            </w:r>
          </w:p>
        </w:tc>
        <w:tc>
          <w:tcPr>
            <w:tcW w:w="2264" w:type="dxa"/>
            <w:gridSpan w:val="2"/>
            <w:tcBorders>
              <w:top w:val="nil"/>
              <w:left w:val="nil"/>
              <w:bottom w:val="single" w:sz="4" w:space="0" w:color="auto"/>
              <w:right w:val="single" w:sz="4" w:space="0" w:color="auto"/>
            </w:tcBorders>
            <w:hideMark/>
          </w:tcPr>
          <w:p w14:paraId="45FE254D"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Se desperdician recursos y tiempo en la gestión de información.</w:t>
            </w:r>
          </w:p>
        </w:tc>
        <w:tc>
          <w:tcPr>
            <w:tcW w:w="942" w:type="dxa"/>
            <w:tcBorders>
              <w:top w:val="nil"/>
              <w:left w:val="nil"/>
              <w:bottom w:val="single" w:sz="4" w:space="0" w:color="auto"/>
              <w:right w:val="single" w:sz="4" w:space="0" w:color="auto"/>
            </w:tcBorders>
            <w:noWrap/>
            <w:vAlign w:val="center"/>
            <w:hideMark/>
          </w:tcPr>
          <w:p w14:paraId="41E9E286"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44A40991"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Centralizar la comunicación con clientes y socios en un solo canal digital por proyecto (e-mail).</w:t>
            </w:r>
          </w:p>
        </w:tc>
        <w:tc>
          <w:tcPr>
            <w:tcW w:w="1140" w:type="dxa"/>
            <w:gridSpan w:val="3"/>
            <w:tcBorders>
              <w:top w:val="nil"/>
              <w:left w:val="nil"/>
              <w:bottom w:val="single" w:sz="4" w:space="0" w:color="auto"/>
              <w:right w:val="single" w:sz="4" w:space="0" w:color="auto"/>
            </w:tcBorders>
            <w:noWrap/>
            <w:vAlign w:val="center"/>
            <w:hideMark/>
          </w:tcPr>
          <w:p w14:paraId="640FE62D"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50FE38C5"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43D4B109"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Disminución del retrabajo, ahorro de tiempo y mayor claridad en las decisiones.</w:t>
            </w:r>
          </w:p>
        </w:tc>
      </w:tr>
      <w:tr w:rsidR="00F212FE" w:rsidRPr="006358A3" w14:paraId="3D312260" w14:textId="77777777" w:rsidTr="0055381F">
        <w:trPr>
          <w:gridAfter w:val="4"/>
          <w:wAfter w:w="2761" w:type="dxa"/>
          <w:trHeight w:val="1550"/>
        </w:trPr>
        <w:tc>
          <w:tcPr>
            <w:tcW w:w="1990" w:type="dxa"/>
            <w:vMerge/>
            <w:tcBorders>
              <w:top w:val="single" w:sz="4" w:space="0" w:color="auto"/>
              <w:left w:val="single" w:sz="4" w:space="0" w:color="auto"/>
              <w:bottom w:val="single" w:sz="4" w:space="0" w:color="auto"/>
              <w:right w:val="nil"/>
            </w:tcBorders>
            <w:shd w:val="clear" w:color="auto" w:fill="00B050"/>
            <w:vAlign w:val="center"/>
            <w:hideMark/>
          </w:tcPr>
          <w:p w14:paraId="64772CD2"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4AFF6F65"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4461603D"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Imparcialidad</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6B5E93D"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6BC1A445"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No todos los colaboradores o partes interesadas reciben la misma información sobre el proyecto.</w:t>
            </w:r>
          </w:p>
        </w:tc>
        <w:tc>
          <w:tcPr>
            <w:tcW w:w="2264" w:type="dxa"/>
            <w:gridSpan w:val="2"/>
            <w:tcBorders>
              <w:top w:val="nil"/>
              <w:left w:val="nil"/>
              <w:bottom w:val="single" w:sz="4" w:space="0" w:color="auto"/>
              <w:right w:val="single" w:sz="4" w:space="0" w:color="auto"/>
            </w:tcBorders>
            <w:hideMark/>
          </w:tcPr>
          <w:p w14:paraId="7EC7E678"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Aumenta el riesgo de desigualdades en la toma de decisiones y percepción del proyecto.</w:t>
            </w:r>
          </w:p>
        </w:tc>
        <w:tc>
          <w:tcPr>
            <w:tcW w:w="942" w:type="dxa"/>
            <w:tcBorders>
              <w:top w:val="nil"/>
              <w:left w:val="nil"/>
              <w:bottom w:val="single" w:sz="4" w:space="0" w:color="auto"/>
              <w:right w:val="single" w:sz="4" w:space="0" w:color="auto"/>
            </w:tcBorders>
            <w:noWrap/>
            <w:vAlign w:val="center"/>
            <w:hideMark/>
          </w:tcPr>
          <w:p w14:paraId="55E19017"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1995" w:type="dxa"/>
            <w:tcBorders>
              <w:top w:val="nil"/>
              <w:left w:val="nil"/>
              <w:bottom w:val="single" w:sz="4" w:space="0" w:color="auto"/>
              <w:right w:val="single" w:sz="4" w:space="0" w:color="auto"/>
            </w:tcBorders>
            <w:hideMark/>
          </w:tcPr>
          <w:p w14:paraId="49619DFE"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Garantizar la inclusión de todos los interesados en los canales oficiales del proyecto, con actualizaciones periódicas y </w:t>
            </w:r>
            <w:r w:rsidRPr="006358A3">
              <w:rPr>
                <w:rFonts w:ascii="Calibri" w:eastAsia="Times New Roman" w:hAnsi="Calibri" w:cs="Calibri"/>
                <w:color w:val="000000"/>
                <w:sz w:val="24"/>
                <w:lang w:val="es-CR" w:eastAsia="es-CR"/>
              </w:rPr>
              <w:lastRenderedPageBreak/>
              <w:t>contenido accesible.</w:t>
            </w:r>
          </w:p>
        </w:tc>
        <w:tc>
          <w:tcPr>
            <w:tcW w:w="1140" w:type="dxa"/>
            <w:gridSpan w:val="3"/>
            <w:tcBorders>
              <w:top w:val="nil"/>
              <w:left w:val="nil"/>
              <w:bottom w:val="single" w:sz="4" w:space="0" w:color="auto"/>
              <w:right w:val="single" w:sz="4" w:space="0" w:color="auto"/>
            </w:tcBorders>
            <w:noWrap/>
            <w:vAlign w:val="center"/>
            <w:hideMark/>
          </w:tcPr>
          <w:p w14:paraId="40F6F8BB"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lastRenderedPageBreak/>
              <w:t>4</w:t>
            </w:r>
          </w:p>
        </w:tc>
        <w:tc>
          <w:tcPr>
            <w:tcW w:w="883" w:type="dxa"/>
            <w:tcBorders>
              <w:top w:val="nil"/>
              <w:left w:val="nil"/>
              <w:bottom w:val="single" w:sz="4" w:space="0" w:color="auto"/>
              <w:right w:val="single" w:sz="4" w:space="0" w:color="auto"/>
            </w:tcBorders>
            <w:noWrap/>
            <w:vAlign w:val="center"/>
            <w:hideMark/>
          </w:tcPr>
          <w:p w14:paraId="5DB10782"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1</w:t>
            </w:r>
          </w:p>
        </w:tc>
        <w:tc>
          <w:tcPr>
            <w:tcW w:w="3351" w:type="dxa"/>
            <w:gridSpan w:val="2"/>
            <w:tcBorders>
              <w:top w:val="nil"/>
              <w:left w:val="nil"/>
              <w:bottom w:val="single" w:sz="4" w:space="0" w:color="auto"/>
              <w:right w:val="single" w:sz="4" w:space="0" w:color="auto"/>
            </w:tcBorders>
            <w:hideMark/>
          </w:tcPr>
          <w:p w14:paraId="6B79DD71"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Mejora la transparencia y la equidad en el acceso a la información.</w:t>
            </w:r>
          </w:p>
        </w:tc>
      </w:tr>
      <w:tr w:rsidR="00F212FE" w:rsidRPr="006358A3" w14:paraId="4011B73A" w14:textId="77777777" w:rsidTr="0055381F">
        <w:trPr>
          <w:gridAfter w:val="4"/>
          <w:wAfter w:w="2761" w:type="dxa"/>
          <w:trHeight w:val="1860"/>
        </w:trPr>
        <w:tc>
          <w:tcPr>
            <w:tcW w:w="1990" w:type="dxa"/>
            <w:vMerge w:val="restart"/>
            <w:tcBorders>
              <w:top w:val="single" w:sz="4" w:space="0" w:color="auto"/>
              <w:left w:val="nil"/>
              <w:bottom w:val="nil"/>
              <w:right w:val="nil"/>
            </w:tcBorders>
            <w:shd w:val="clear" w:color="auto" w:fill="00B050"/>
            <w:noWrap/>
            <w:vAlign w:val="bottom"/>
            <w:hideMark/>
          </w:tcPr>
          <w:p w14:paraId="21008D20"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noProof/>
                <w:color w:val="000000"/>
                <w:sz w:val="24"/>
                <w:lang w:val="es-CR" w:eastAsia="es-CR"/>
              </w:rPr>
              <w:drawing>
                <wp:anchor distT="0" distB="0" distL="114300" distR="114300" simplePos="0" relativeHeight="251684864" behindDoc="0" locked="0" layoutInCell="1" allowOverlap="1" wp14:anchorId="27FA693A" wp14:editId="4CA390AA">
                  <wp:simplePos x="0" y="0"/>
                  <wp:positionH relativeFrom="column">
                    <wp:posOffset>116840</wp:posOffset>
                  </wp:positionH>
                  <wp:positionV relativeFrom="paragraph">
                    <wp:posOffset>-3759835</wp:posOffset>
                  </wp:positionV>
                  <wp:extent cx="857250" cy="889000"/>
                  <wp:effectExtent l="0" t="0" r="0" b="6350"/>
                  <wp:wrapNone/>
                  <wp:docPr id="14" name="Imagen 39">
                    <a:extLst xmlns:a="http://schemas.openxmlformats.org/drawingml/2006/main">
                      <a:ext uri="{FF2B5EF4-FFF2-40B4-BE49-F238E27FC236}">
                        <a16:creationId xmlns:a16="http://schemas.microsoft.com/office/drawing/2014/main" id="{00000000-0008-0000-0400-00000E000000}"/>
                      </a:ext>
                    </a:extLst>
                  </wp:docPr>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00000000-0008-0000-0400-00000E000000}"/>
                              </a:ext>
                            </a:extLst>
                          </pic:cNvPr>
                          <pic:cNvPicPr>
                            <a:picLocks noChangeAspect="1"/>
                          </pic:cNvPicPr>
                        </pic:nvPicPr>
                        <pic:blipFill>
                          <a:blip r:embed="rId50"/>
                          <a:stretch>
                            <a:fillRect/>
                          </a:stretch>
                        </pic:blipFill>
                        <pic:spPr>
                          <a:xfrm>
                            <a:off x="0" y="0"/>
                            <a:ext cx="857250" cy="889000"/>
                          </a:xfrm>
                          <a:prstGeom prst="rect">
                            <a:avLst/>
                          </a:prstGeom>
                        </pic:spPr>
                      </pic:pic>
                    </a:graphicData>
                  </a:graphic>
                  <wp14:sizeRelH relativeFrom="page">
                    <wp14:pctWidth>0</wp14:pctWidth>
                  </wp14:sizeRelH>
                  <wp14:sizeRelV relativeFrom="page">
                    <wp14:pctHeight>0</wp14:pctHeight>
                  </wp14:sizeRelV>
                </wp:anchor>
              </w:drawing>
            </w:r>
          </w:p>
          <w:p w14:paraId="2D32CCB5"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val="restart"/>
            <w:tcBorders>
              <w:top w:val="nil"/>
              <w:left w:val="single" w:sz="4" w:space="0" w:color="auto"/>
              <w:bottom w:val="single" w:sz="4" w:space="0" w:color="auto"/>
              <w:right w:val="single" w:sz="4" w:space="0" w:color="auto"/>
            </w:tcBorders>
            <w:shd w:val="clear" w:color="000000" w:fill="F2F2F2"/>
            <w:vAlign w:val="center"/>
            <w:hideMark/>
          </w:tcPr>
          <w:p w14:paraId="10E40B8E"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r w:rsidRPr="006358A3">
              <w:rPr>
                <w:rFonts w:ascii="Calibri" w:eastAsia="Times New Roman" w:hAnsi="Calibri" w:cs="Calibri"/>
                <w:color w:val="000000"/>
                <w:sz w:val="18"/>
                <w:szCs w:val="18"/>
                <w:lang w:val="es-CR" w:eastAsia="es-CR"/>
              </w:rPr>
              <w:t>Viajes y desplazamientos es el movimiento del personal relacionado con el proyecto entre diferentes locasiones. Los viajes y desplazamientos pueden incluir llegar al sitio del proyecto, asistir a reuniones fuera del sitio, realizar presentaciones fuera del sitio, recopilar datos y brindar apoyo fuera del sitio.</w:t>
            </w:r>
          </w:p>
        </w:tc>
        <w:tc>
          <w:tcPr>
            <w:tcW w:w="1667" w:type="dxa"/>
            <w:tcBorders>
              <w:top w:val="nil"/>
              <w:left w:val="nil"/>
              <w:bottom w:val="single" w:sz="4" w:space="0" w:color="auto"/>
              <w:right w:val="single" w:sz="4" w:space="0" w:color="auto"/>
            </w:tcBorders>
            <w:shd w:val="clear" w:color="000000" w:fill="F2F2F2"/>
            <w:noWrap/>
            <w:vAlign w:val="center"/>
            <w:hideMark/>
          </w:tcPr>
          <w:p w14:paraId="179C0B39"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Vida Útil</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8674BDE"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0DD66C6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El exceso de desplazamientos del equipo técnico genera desgaste físico y mental, lo que puede disminuir su desempeño sostenido en proyectos prolongados.</w:t>
            </w:r>
          </w:p>
        </w:tc>
        <w:tc>
          <w:tcPr>
            <w:tcW w:w="2264" w:type="dxa"/>
            <w:gridSpan w:val="2"/>
            <w:tcBorders>
              <w:top w:val="nil"/>
              <w:left w:val="nil"/>
              <w:bottom w:val="single" w:sz="4" w:space="0" w:color="auto"/>
              <w:right w:val="single" w:sz="4" w:space="0" w:color="auto"/>
            </w:tcBorders>
            <w:hideMark/>
          </w:tcPr>
          <w:p w14:paraId="76095C58"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Afecta la continuidad y estabilidad de los colaboradores clave.</w:t>
            </w:r>
          </w:p>
        </w:tc>
        <w:tc>
          <w:tcPr>
            <w:tcW w:w="942" w:type="dxa"/>
            <w:tcBorders>
              <w:top w:val="nil"/>
              <w:left w:val="nil"/>
              <w:bottom w:val="single" w:sz="4" w:space="0" w:color="auto"/>
              <w:right w:val="single" w:sz="4" w:space="0" w:color="auto"/>
            </w:tcBorders>
            <w:noWrap/>
            <w:vAlign w:val="center"/>
            <w:hideMark/>
          </w:tcPr>
          <w:p w14:paraId="60288D42"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0EC00F65"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Establecer esquemas híbridos de trabajo y rotación de visitas de campo para equilibrar las cargas de desplazamiento.</w:t>
            </w:r>
          </w:p>
        </w:tc>
        <w:tc>
          <w:tcPr>
            <w:tcW w:w="1140" w:type="dxa"/>
            <w:gridSpan w:val="3"/>
            <w:tcBorders>
              <w:top w:val="nil"/>
              <w:left w:val="nil"/>
              <w:bottom w:val="single" w:sz="4" w:space="0" w:color="auto"/>
              <w:right w:val="single" w:sz="4" w:space="0" w:color="auto"/>
            </w:tcBorders>
            <w:noWrap/>
            <w:vAlign w:val="center"/>
            <w:hideMark/>
          </w:tcPr>
          <w:p w14:paraId="791B572D"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28EC501C"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0CCA1845"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Se redujo el ausentismo por fatiga y se mantuvo la motivación en fases largas del proyecto.</w:t>
            </w:r>
          </w:p>
        </w:tc>
      </w:tr>
      <w:tr w:rsidR="00F212FE" w:rsidRPr="006358A3" w14:paraId="58826F56" w14:textId="77777777" w:rsidTr="0055381F">
        <w:trPr>
          <w:gridAfter w:val="4"/>
          <w:wAfter w:w="2761" w:type="dxa"/>
          <w:trHeight w:val="1860"/>
        </w:trPr>
        <w:tc>
          <w:tcPr>
            <w:tcW w:w="1990" w:type="dxa"/>
            <w:vMerge/>
            <w:tcBorders>
              <w:top w:val="nil"/>
              <w:left w:val="nil"/>
              <w:bottom w:val="nil"/>
              <w:right w:val="nil"/>
            </w:tcBorders>
            <w:shd w:val="clear" w:color="auto" w:fill="00B050"/>
            <w:vAlign w:val="center"/>
            <w:hideMark/>
          </w:tcPr>
          <w:p w14:paraId="02AF13B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11937586"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611051B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Mantenimiento</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A1B1D76"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0D46251E"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La planificación logística de desplazamientos se hace de forma reactiva, sin prever mantenimientos de vehículos o reservas con antelación.</w:t>
            </w:r>
          </w:p>
        </w:tc>
        <w:tc>
          <w:tcPr>
            <w:tcW w:w="2264" w:type="dxa"/>
            <w:gridSpan w:val="2"/>
            <w:tcBorders>
              <w:top w:val="nil"/>
              <w:left w:val="nil"/>
              <w:bottom w:val="single" w:sz="4" w:space="0" w:color="auto"/>
              <w:right w:val="single" w:sz="4" w:space="0" w:color="auto"/>
            </w:tcBorders>
            <w:hideMark/>
          </w:tcPr>
          <w:p w14:paraId="570A9CEE"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C26E44">
              <w:rPr>
                <w:rFonts w:ascii="Calibri" w:eastAsia="Times New Roman" w:hAnsi="Calibri" w:cs="Calibri"/>
                <w:color w:val="000000"/>
                <w:sz w:val="24"/>
                <w:lang w:eastAsia="es-CR"/>
              </w:rPr>
              <w:t>Esto incrementa costos operativos y riesgos de fallas logísticas.</w:t>
            </w:r>
          </w:p>
        </w:tc>
        <w:tc>
          <w:tcPr>
            <w:tcW w:w="942" w:type="dxa"/>
            <w:tcBorders>
              <w:top w:val="nil"/>
              <w:left w:val="nil"/>
              <w:bottom w:val="single" w:sz="4" w:space="0" w:color="auto"/>
              <w:right w:val="single" w:sz="4" w:space="0" w:color="auto"/>
            </w:tcBorders>
            <w:noWrap/>
            <w:vAlign w:val="center"/>
            <w:hideMark/>
          </w:tcPr>
          <w:p w14:paraId="4D3336AB"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40C520A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Integrar una agenda anticipada de visitas a sitio, incluyendo mantenimiento preventivo de vehículos y coordinación con proveedores de transporte.</w:t>
            </w:r>
          </w:p>
        </w:tc>
        <w:tc>
          <w:tcPr>
            <w:tcW w:w="1140" w:type="dxa"/>
            <w:gridSpan w:val="3"/>
            <w:tcBorders>
              <w:top w:val="nil"/>
              <w:left w:val="nil"/>
              <w:bottom w:val="single" w:sz="4" w:space="0" w:color="auto"/>
              <w:right w:val="single" w:sz="4" w:space="0" w:color="auto"/>
            </w:tcBorders>
            <w:noWrap/>
            <w:vAlign w:val="center"/>
            <w:hideMark/>
          </w:tcPr>
          <w:p w14:paraId="65827B09"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883" w:type="dxa"/>
            <w:tcBorders>
              <w:top w:val="nil"/>
              <w:left w:val="nil"/>
              <w:bottom w:val="single" w:sz="4" w:space="0" w:color="auto"/>
              <w:right w:val="single" w:sz="4" w:space="0" w:color="auto"/>
            </w:tcBorders>
            <w:noWrap/>
            <w:vAlign w:val="center"/>
            <w:hideMark/>
          </w:tcPr>
          <w:p w14:paraId="59B6F657"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1</w:t>
            </w:r>
          </w:p>
        </w:tc>
        <w:tc>
          <w:tcPr>
            <w:tcW w:w="3351" w:type="dxa"/>
            <w:gridSpan w:val="2"/>
            <w:tcBorders>
              <w:top w:val="nil"/>
              <w:left w:val="nil"/>
              <w:bottom w:val="single" w:sz="4" w:space="0" w:color="auto"/>
              <w:right w:val="single" w:sz="4" w:space="0" w:color="auto"/>
            </w:tcBorders>
            <w:hideMark/>
          </w:tcPr>
          <w:p w14:paraId="5B153AED"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Mejor gestión logística, reducción de imprevistos y costos operativos.</w:t>
            </w:r>
          </w:p>
        </w:tc>
      </w:tr>
      <w:tr w:rsidR="00F212FE" w:rsidRPr="006358A3" w14:paraId="73278694" w14:textId="77777777" w:rsidTr="0055381F">
        <w:trPr>
          <w:gridAfter w:val="4"/>
          <w:wAfter w:w="2761" w:type="dxa"/>
          <w:trHeight w:val="1550"/>
        </w:trPr>
        <w:tc>
          <w:tcPr>
            <w:tcW w:w="1990" w:type="dxa"/>
            <w:vMerge/>
            <w:tcBorders>
              <w:top w:val="nil"/>
              <w:left w:val="nil"/>
              <w:bottom w:val="nil"/>
              <w:right w:val="nil"/>
            </w:tcBorders>
            <w:shd w:val="clear" w:color="auto" w:fill="00B050"/>
            <w:vAlign w:val="center"/>
            <w:hideMark/>
          </w:tcPr>
          <w:p w14:paraId="1EF61CE5"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62BF512F"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609A69AA"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Eficacia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ED486B0"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5A3FBEF0"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La improvisación de viajes genera retrasos en la recolección de datos clave y afecta la oportunidad de decisiones críticas.</w:t>
            </w:r>
          </w:p>
        </w:tc>
        <w:tc>
          <w:tcPr>
            <w:tcW w:w="2264" w:type="dxa"/>
            <w:gridSpan w:val="2"/>
            <w:tcBorders>
              <w:top w:val="nil"/>
              <w:left w:val="nil"/>
              <w:bottom w:val="single" w:sz="4" w:space="0" w:color="auto"/>
              <w:right w:val="single" w:sz="4" w:space="0" w:color="auto"/>
            </w:tcBorders>
            <w:hideMark/>
          </w:tcPr>
          <w:p w14:paraId="5A8CF572"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Se compromete la ejecución efectiva del proyecto.</w:t>
            </w:r>
          </w:p>
        </w:tc>
        <w:tc>
          <w:tcPr>
            <w:tcW w:w="942" w:type="dxa"/>
            <w:tcBorders>
              <w:top w:val="nil"/>
              <w:left w:val="nil"/>
              <w:bottom w:val="single" w:sz="4" w:space="0" w:color="auto"/>
              <w:right w:val="single" w:sz="4" w:space="0" w:color="auto"/>
            </w:tcBorders>
            <w:noWrap/>
            <w:vAlign w:val="center"/>
            <w:hideMark/>
          </w:tcPr>
          <w:p w14:paraId="6CB104B5"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1995" w:type="dxa"/>
            <w:tcBorders>
              <w:top w:val="nil"/>
              <w:left w:val="nil"/>
              <w:bottom w:val="single" w:sz="4" w:space="0" w:color="auto"/>
              <w:right w:val="single" w:sz="4" w:space="0" w:color="auto"/>
            </w:tcBorders>
            <w:hideMark/>
          </w:tcPr>
          <w:p w14:paraId="5E0E7BFA"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Planificar las visitas de desplazamiento como hitos en el cronograma del proyecto, ligándolas a entregables específicos.</w:t>
            </w:r>
          </w:p>
        </w:tc>
        <w:tc>
          <w:tcPr>
            <w:tcW w:w="1140" w:type="dxa"/>
            <w:gridSpan w:val="3"/>
            <w:tcBorders>
              <w:top w:val="nil"/>
              <w:left w:val="nil"/>
              <w:bottom w:val="single" w:sz="4" w:space="0" w:color="auto"/>
              <w:right w:val="single" w:sz="4" w:space="0" w:color="auto"/>
            </w:tcBorders>
            <w:noWrap/>
            <w:vAlign w:val="center"/>
            <w:hideMark/>
          </w:tcPr>
          <w:p w14:paraId="6CB71922"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5</w:t>
            </w:r>
          </w:p>
        </w:tc>
        <w:tc>
          <w:tcPr>
            <w:tcW w:w="883" w:type="dxa"/>
            <w:tcBorders>
              <w:top w:val="nil"/>
              <w:left w:val="nil"/>
              <w:bottom w:val="single" w:sz="4" w:space="0" w:color="auto"/>
              <w:right w:val="single" w:sz="4" w:space="0" w:color="auto"/>
            </w:tcBorders>
            <w:noWrap/>
            <w:vAlign w:val="center"/>
            <w:hideMark/>
          </w:tcPr>
          <w:p w14:paraId="474C1C18"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4DDEB08A"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Mayor cumplimiento de entregas y mejora en la toma de decisiones.</w:t>
            </w:r>
          </w:p>
        </w:tc>
      </w:tr>
      <w:tr w:rsidR="00F212FE" w:rsidRPr="006358A3" w14:paraId="24C9B7C2" w14:textId="77777777" w:rsidTr="0055381F">
        <w:trPr>
          <w:gridAfter w:val="4"/>
          <w:wAfter w:w="2761" w:type="dxa"/>
          <w:trHeight w:val="1860"/>
        </w:trPr>
        <w:tc>
          <w:tcPr>
            <w:tcW w:w="1990" w:type="dxa"/>
            <w:vMerge/>
            <w:tcBorders>
              <w:top w:val="nil"/>
              <w:left w:val="nil"/>
              <w:bottom w:val="nil"/>
              <w:right w:val="nil"/>
            </w:tcBorders>
            <w:shd w:val="clear" w:color="auto" w:fill="00B050"/>
            <w:vAlign w:val="center"/>
            <w:hideMark/>
          </w:tcPr>
          <w:p w14:paraId="4E62E3E9"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42CE3D22"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7D0C12DF"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Eficiencia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33CE6D4"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6270298E"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No se evalúan rutas ni se optimizan viajes conjuntos, lo que eleva los costos y el tiempo de traslado.</w:t>
            </w:r>
          </w:p>
        </w:tc>
        <w:tc>
          <w:tcPr>
            <w:tcW w:w="2264" w:type="dxa"/>
            <w:gridSpan w:val="2"/>
            <w:tcBorders>
              <w:top w:val="nil"/>
              <w:left w:val="nil"/>
              <w:bottom w:val="single" w:sz="4" w:space="0" w:color="auto"/>
              <w:right w:val="single" w:sz="4" w:space="0" w:color="auto"/>
            </w:tcBorders>
            <w:hideMark/>
          </w:tcPr>
          <w:p w14:paraId="03F724ED"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Impacta negativamente en los recursos del proyecto.</w:t>
            </w:r>
          </w:p>
        </w:tc>
        <w:tc>
          <w:tcPr>
            <w:tcW w:w="942" w:type="dxa"/>
            <w:tcBorders>
              <w:top w:val="nil"/>
              <w:left w:val="nil"/>
              <w:bottom w:val="single" w:sz="4" w:space="0" w:color="auto"/>
              <w:right w:val="single" w:sz="4" w:space="0" w:color="auto"/>
            </w:tcBorders>
            <w:noWrap/>
            <w:vAlign w:val="center"/>
            <w:hideMark/>
          </w:tcPr>
          <w:p w14:paraId="3B5040A2"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10CC6AF5"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Optimizar los desplazamientos utilizando herramientas de geolocalización, compartición de rutas y uso de transporte colectivo.</w:t>
            </w:r>
          </w:p>
        </w:tc>
        <w:tc>
          <w:tcPr>
            <w:tcW w:w="1140" w:type="dxa"/>
            <w:gridSpan w:val="3"/>
            <w:tcBorders>
              <w:top w:val="nil"/>
              <w:left w:val="nil"/>
              <w:bottom w:val="single" w:sz="4" w:space="0" w:color="auto"/>
              <w:right w:val="single" w:sz="4" w:space="0" w:color="auto"/>
            </w:tcBorders>
            <w:noWrap/>
            <w:vAlign w:val="center"/>
            <w:hideMark/>
          </w:tcPr>
          <w:p w14:paraId="0D300642"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066CCFDF"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176F52D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Reducción de tiempo y presupuesto destinado a transporte.</w:t>
            </w:r>
          </w:p>
        </w:tc>
      </w:tr>
      <w:tr w:rsidR="00F212FE" w:rsidRPr="006358A3" w14:paraId="565CF28A" w14:textId="77777777" w:rsidTr="0055381F">
        <w:trPr>
          <w:gridAfter w:val="4"/>
          <w:wAfter w:w="2761" w:type="dxa"/>
          <w:trHeight w:val="1860"/>
        </w:trPr>
        <w:tc>
          <w:tcPr>
            <w:tcW w:w="1990" w:type="dxa"/>
            <w:vMerge/>
            <w:tcBorders>
              <w:top w:val="nil"/>
              <w:left w:val="nil"/>
              <w:bottom w:val="single" w:sz="4" w:space="0" w:color="auto"/>
              <w:right w:val="nil"/>
            </w:tcBorders>
            <w:shd w:val="clear" w:color="auto" w:fill="00B050"/>
            <w:vAlign w:val="center"/>
            <w:hideMark/>
          </w:tcPr>
          <w:p w14:paraId="699B430C"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04681EB2"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296E456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Imparcialidad</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668E60C"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014E103D"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Algunos roles tienen más acceso a recursos de desplazamiento o flexibilidad que otros.</w:t>
            </w:r>
          </w:p>
        </w:tc>
        <w:tc>
          <w:tcPr>
            <w:tcW w:w="2264" w:type="dxa"/>
            <w:gridSpan w:val="2"/>
            <w:tcBorders>
              <w:top w:val="nil"/>
              <w:left w:val="nil"/>
              <w:bottom w:val="single" w:sz="4" w:space="0" w:color="auto"/>
              <w:right w:val="single" w:sz="4" w:space="0" w:color="auto"/>
            </w:tcBorders>
            <w:hideMark/>
          </w:tcPr>
          <w:p w14:paraId="2AD1984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Esto puede generar inequidad y malestar interno.</w:t>
            </w:r>
          </w:p>
        </w:tc>
        <w:tc>
          <w:tcPr>
            <w:tcW w:w="942" w:type="dxa"/>
            <w:tcBorders>
              <w:top w:val="nil"/>
              <w:left w:val="nil"/>
              <w:bottom w:val="single" w:sz="4" w:space="0" w:color="auto"/>
              <w:right w:val="single" w:sz="4" w:space="0" w:color="auto"/>
            </w:tcBorders>
            <w:noWrap/>
            <w:vAlign w:val="center"/>
            <w:hideMark/>
          </w:tcPr>
          <w:p w14:paraId="45CBA466"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306EC2C5"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Establecer criterios transparentes para asignar recursos de transporte, asegurando igualdad de condiciones para roles equivalentes.</w:t>
            </w:r>
          </w:p>
        </w:tc>
        <w:tc>
          <w:tcPr>
            <w:tcW w:w="1140" w:type="dxa"/>
            <w:gridSpan w:val="3"/>
            <w:tcBorders>
              <w:top w:val="nil"/>
              <w:left w:val="nil"/>
              <w:bottom w:val="single" w:sz="4" w:space="0" w:color="auto"/>
              <w:right w:val="single" w:sz="4" w:space="0" w:color="auto"/>
            </w:tcBorders>
            <w:noWrap/>
            <w:vAlign w:val="center"/>
            <w:hideMark/>
          </w:tcPr>
          <w:p w14:paraId="2432DC54"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883" w:type="dxa"/>
            <w:tcBorders>
              <w:top w:val="nil"/>
              <w:left w:val="nil"/>
              <w:bottom w:val="single" w:sz="4" w:space="0" w:color="auto"/>
              <w:right w:val="single" w:sz="4" w:space="0" w:color="auto"/>
            </w:tcBorders>
            <w:noWrap/>
            <w:vAlign w:val="center"/>
            <w:hideMark/>
          </w:tcPr>
          <w:p w14:paraId="4E3B5769"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1</w:t>
            </w:r>
          </w:p>
        </w:tc>
        <w:tc>
          <w:tcPr>
            <w:tcW w:w="3351" w:type="dxa"/>
            <w:gridSpan w:val="2"/>
            <w:tcBorders>
              <w:top w:val="nil"/>
              <w:left w:val="nil"/>
              <w:bottom w:val="single" w:sz="4" w:space="0" w:color="auto"/>
              <w:right w:val="single" w:sz="4" w:space="0" w:color="auto"/>
            </w:tcBorders>
            <w:hideMark/>
          </w:tcPr>
          <w:p w14:paraId="5595294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Mayor equidad percibida y mejor ambiente organizacional.</w:t>
            </w:r>
          </w:p>
        </w:tc>
      </w:tr>
      <w:tr w:rsidR="00F212FE" w:rsidRPr="006358A3" w14:paraId="31FD49CB" w14:textId="77777777" w:rsidTr="0055381F">
        <w:trPr>
          <w:gridAfter w:val="4"/>
          <w:wAfter w:w="2761" w:type="dxa"/>
          <w:trHeight w:val="1550"/>
        </w:trPr>
        <w:tc>
          <w:tcPr>
            <w:tcW w:w="1990" w:type="dxa"/>
            <w:vMerge w:val="restart"/>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46D173FF"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noProof/>
                <w:color w:val="000000"/>
                <w:sz w:val="24"/>
                <w:lang w:val="es-CR" w:eastAsia="es-CR"/>
              </w:rPr>
              <w:drawing>
                <wp:anchor distT="0" distB="0" distL="114300" distR="114300" simplePos="0" relativeHeight="251685888" behindDoc="0" locked="0" layoutInCell="1" allowOverlap="1" wp14:anchorId="39F1A53F" wp14:editId="065D336A">
                  <wp:simplePos x="0" y="0"/>
                  <wp:positionH relativeFrom="column">
                    <wp:posOffset>276225</wp:posOffset>
                  </wp:positionH>
                  <wp:positionV relativeFrom="paragraph">
                    <wp:posOffset>-468630</wp:posOffset>
                  </wp:positionV>
                  <wp:extent cx="863600" cy="889000"/>
                  <wp:effectExtent l="0" t="0" r="0" b="6350"/>
                  <wp:wrapNone/>
                  <wp:docPr id="18" name="Imagen 38">
                    <a:extLst xmlns:a="http://schemas.openxmlformats.org/drawingml/2006/main">
                      <a:ext uri="{FF2B5EF4-FFF2-40B4-BE49-F238E27FC236}">
                        <a16:creationId xmlns:a16="http://schemas.microsoft.com/office/drawing/2014/main" id="{00000000-0008-0000-0400-000012000000}"/>
                      </a:ext>
                    </a:extLst>
                  </wp:docPr>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00000000-0008-0000-0400-000012000000}"/>
                              </a:ext>
                            </a:extLst>
                          </pic:cNvPr>
                          <pic:cNvPicPr>
                            <a:picLocks noChangeAspect="1"/>
                          </pic:cNvPicPr>
                        </pic:nvPicPr>
                        <pic:blipFill>
                          <a:blip r:embed="rId51"/>
                          <a:stretch>
                            <a:fillRect/>
                          </a:stretch>
                        </pic:blipFill>
                        <pic:spPr>
                          <a:xfrm>
                            <a:off x="0" y="0"/>
                            <a:ext cx="863600" cy="889000"/>
                          </a:xfrm>
                          <a:prstGeom prst="rect">
                            <a:avLst/>
                          </a:prstGeom>
                        </pic:spPr>
                      </pic:pic>
                    </a:graphicData>
                  </a:graphic>
                  <wp14:sizeRelH relativeFrom="page">
                    <wp14:pctWidth>0</wp14:pctWidth>
                  </wp14:sizeRelH>
                  <wp14:sizeRelV relativeFrom="page">
                    <wp14:pctHeight>0</wp14:pctHeight>
                  </wp14:sizeRelV>
                </wp:anchor>
              </w:drawing>
            </w:r>
          </w:p>
          <w:p w14:paraId="6C5BCBA2"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val="restart"/>
            <w:tcBorders>
              <w:top w:val="nil"/>
              <w:left w:val="single" w:sz="4" w:space="0" w:color="auto"/>
              <w:bottom w:val="single" w:sz="4" w:space="0" w:color="auto"/>
              <w:right w:val="single" w:sz="4" w:space="0" w:color="auto"/>
            </w:tcBorders>
            <w:shd w:val="clear" w:color="000000" w:fill="F2F2F2"/>
            <w:vAlign w:val="center"/>
            <w:hideMark/>
          </w:tcPr>
          <w:p w14:paraId="18A0096E"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r w:rsidRPr="006358A3">
              <w:rPr>
                <w:rFonts w:ascii="Calibri" w:eastAsia="Times New Roman" w:hAnsi="Calibri" w:cs="Calibri"/>
                <w:color w:val="000000"/>
                <w:sz w:val="18"/>
                <w:szCs w:val="18"/>
                <w:lang w:val="es-CR" w:eastAsia="es-CR"/>
              </w:rPr>
              <w:t>Logística es la planificación y ejecución de actividades relacionadas con el transporte de bienes, materias primas y servicios para uso del proyecto. La logística incluye actividades como la programación del transporte, la estimación de costos, la coordinación del personal y asegurarse de que todos los procedimientos necesarios se completen a tiempo.</w:t>
            </w:r>
          </w:p>
        </w:tc>
        <w:tc>
          <w:tcPr>
            <w:tcW w:w="1667" w:type="dxa"/>
            <w:tcBorders>
              <w:top w:val="nil"/>
              <w:left w:val="nil"/>
              <w:bottom w:val="single" w:sz="4" w:space="0" w:color="auto"/>
              <w:right w:val="single" w:sz="4" w:space="0" w:color="auto"/>
            </w:tcBorders>
            <w:shd w:val="clear" w:color="000000" w:fill="F2F2F2"/>
            <w:noWrap/>
            <w:vAlign w:val="center"/>
            <w:hideMark/>
          </w:tcPr>
          <w:p w14:paraId="4E9672F0"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Vida Útil</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CC440F1"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0FFC6300"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La logística improvisada provoca retrasos en entregas clave, afectando la continuidad de actividades constructivas y de diseño.</w:t>
            </w:r>
          </w:p>
        </w:tc>
        <w:tc>
          <w:tcPr>
            <w:tcW w:w="2264" w:type="dxa"/>
            <w:gridSpan w:val="2"/>
            <w:tcBorders>
              <w:top w:val="nil"/>
              <w:left w:val="nil"/>
              <w:bottom w:val="single" w:sz="4" w:space="0" w:color="auto"/>
              <w:right w:val="single" w:sz="4" w:space="0" w:color="auto"/>
            </w:tcBorders>
            <w:hideMark/>
          </w:tcPr>
          <w:p w14:paraId="606EBDCE"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Esto compromete la duración proyectada del uso de materiales y soluciones implementadas.</w:t>
            </w:r>
          </w:p>
        </w:tc>
        <w:tc>
          <w:tcPr>
            <w:tcW w:w="942" w:type="dxa"/>
            <w:tcBorders>
              <w:top w:val="nil"/>
              <w:left w:val="nil"/>
              <w:bottom w:val="single" w:sz="4" w:space="0" w:color="auto"/>
              <w:right w:val="single" w:sz="4" w:space="0" w:color="auto"/>
            </w:tcBorders>
            <w:noWrap/>
            <w:vAlign w:val="center"/>
            <w:hideMark/>
          </w:tcPr>
          <w:p w14:paraId="13747AA1"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1995" w:type="dxa"/>
            <w:tcBorders>
              <w:top w:val="nil"/>
              <w:left w:val="nil"/>
              <w:bottom w:val="single" w:sz="4" w:space="0" w:color="auto"/>
              <w:right w:val="single" w:sz="4" w:space="0" w:color="auto"/>
            </w:tcBorders>
            <w:hideMark/>
          </w:tcPr>
          <w:p w14:paraId="7691307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Establecer un sistema logístico basado en cronogramas integrados por fases y responsables, actualizado semanalmente.</w:t>
            </w:r>
          </w:p>
        </w:tc>
        <w:tc>
          <w:tcPr>
            <w:tcW w:w="1140" w:type="dxa"/>
            <w:gridSpan w:val="3"/>
            <w:tcBorders>
              <w:top w:val="nil"/>
              <w:left w:val="nil"/>
              <w:bottom w:val="single" w:sz="4" w:space="0" w:color="auto"/>
              <w:right w:val="single" w:sz="4" w:space="0" w:color="auto"/>
            </w:tcBorders>
            <w:noWrap/>
            <w:vAlign w:val="center"/>
            <w:hideMark/>
          </w:tcPr>
          <w:p w14:paraId="3AFCB44C"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0B9D9FA7"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1</w:t>
            </w:r>
          </w:p>
        </w:tc>
        <w:tc>
          <w:tcPr>
            <w:tcW w:w="3351" w:type="dxa"/>
            <w:gridSpan w:val="2"/>
            <w:tcBorders>
              <w:top w:val="nil"/>
              <w:left w:val="nil"/>
              <w:bottom w:val="single" w:sz="4" w:space="0" w:color="auto"/>
              <w:right w:val="single" w:sz="4" w:space="0" w:color="auto"/>
            </w:tcBorders>
            <w:hideMark/>
          </w:tcPr>
          <w:p w14:paraId="39028D8E"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Mayor continuidad en la ejecución sin interrupciones logísticas.</w:t>
            </w:r>
          </w:p>
        </w:tc>
      </w:tr>
      <w:tr w:rsidR="00F212FE" w:rsidRPr="006358A3" w14:paraId="5258F11B" w14:textId="77777777" w:rsidTr="0055381F">
        <w:trPr>
          <w:gridAfter w:val="4"/>
          <w:wAfter w:w="2761" w:type="dxa"/>
          <w:trHeight w:val="1550"/>
        </w:trPr>
        <w:tc>
          <w:tcPr>
            <w:tcW w:w="1990" w:type="dxa"/>
            <w:vMerge/>
            <w:tcBorders>
              <w:top w:val="single" w:sz="4" w:space="0" w:color="auto"/>
              <w:left w:val="single" w:sz="4" w:space="0" w:color="auto"/>
              <w:bottom w:val="single" w:sz="4" w:space="0" w:color="auto"/>
              <w:right w:val="single" w:sz="4" w:space="0" w:color="auto"/>
            </w:tcBorders>
            <w:shd w:val="clear" w:color="auto" w:fill="00B050"/>
            <w:vAlign w:val="center"/>
            <w:hideMark/>
          </w:tcPr>
          <w:p w14:paraId="5D04B5FA"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18C631BB"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066E9AB8"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Mantenimiento</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C3238C5"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0DB8B2B0"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No se contemplan frecuencias ni protocolos de mantenimiento logístico para equipos o servicios utilizados repetidamente.</w:t>
            </w:r>
          </w:p>
        </w:tc>
        <w:tc>
          <w:tcPr>
            <w:tcW w:w="2264" w:type="dxa"/>
            <w:gridSpan w:val="2"/>
            <w:tcBorders>
              <w:top w:val="nil"/>
              <w:left w:val="nil"/>
              <w:bottom w:val="single" w:sz="4" w:space="0" w:color="auto"/>
              <w:right w:val="single" w:sz="4" w:space="0" w:color="auto"/>
            </w:tcBorders>
            <w:hideMark/>
          </w:tcPr>
          <w:p w14:paraId="01ABCA9B"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Riesgo de fallas en el suministro y parálisis en momentos críticos.</w:t>
            </w:r>
          </w:p>
        </w:tc>
        <w:tc>
          <w:tcPr>
            <w:tcW w:w="942" w:type="dxa"/>
            <w:tcBorders>
              <w:top w:val="nil"/>
              <w:left w:val="nil"/>
              <w:bottom w:val="single" w:sz="4" w:space="0" w:color="auto"/>
              <w:right w:val="single" w:sz="4" w:space="0" w:color="auto"/>
            </w:tcBorders>
            <w:noWrap/>
            <w:vAlign w:val="center"/>
            <w:hideMark/>
          </w:tcPr>
          <w:p w14:paraId="3688466B"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250253DD"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Incluir en el plan logístico un cronograma de mantenimiento preventivo de vehículos, maquinaria y rutas.</w:t>
            </w:r>
          </w:p>
        </w:tc>
        <w:tc>
          <w:tcPr>
            <w:tcW w:w="1140" w:type="dxa"/>
            <w:gridSpan w:val="3"/>
            <w:tcBorders>
              <w:top w:val="nil"/>
              <w:left w:val="nil"/>
              <w:bottom w:val="single" w:sz="4" w:space="0" w:color="auto"/>
              <w:right w:val="single" w:sz="4" w:space="0" w:color="auto"/>
            </w:tcBorders>
            <w:noWrap/>
            <w:vAlign w:val="center"/>
            <w:hideMark/>
          </w:tcPr>
          <w:p w14:paraId="6557F95C"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883" w:type="dxa"/>
            <w:tcBorders>
              <w:top w:val="nil"/>
              <w:left w:val="nil"/>
              <w:bottom w:val="single" w:sz="4" w:space="0" w:color="auto"/>
              <w:right w:val="single" w:sz="4" w:space="0" w:color="auto"/>
            </w:tcBorders>
            <w:noWrap/>
            <w:vAlign w:val="center"/>
            <w:hideMark/>
          </w:tcPr>
          <w:p w14:paraId="7B062179"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1</w:t>
            </w:r>
          </w:p>
        </w:tc>
        <w:tc>
          <w:tcPr>
            <w:tcW w:w="3351" w:type="dxa"/>
            <w:gridSpan w:val="2"/>
            <w:tcBorders>
              <w:top w:val="nil"/>
              <w:left w:val="nil"/>
              <w:bottom w:val="single" w:sz="4" w:space="0" w:color="auto"/>
              <w:right w:val="single" w:sz="4" w:space="0" w:color="auto"/>
            </w:tcBorders>
            <w:hideMark/>
          </w:tcPr>
          <w:p w14:paraId="353F241B"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Se evitó el uso de equipos defectuosos, manteniendo la regularidad en entregas.</w:t>
            </w:r>
          </w:p>
        </w:tc>
      </w:tr>
      <w:tr w:rsidR="00F212FE" w:rsidRPr="006358A3" w14:paraId="70499D59" w14:textId="77777777" w:rsidTr="0055381F">
        <w:trPr>
          <w:gridAfter w:val="4"/>
          <w:wAfter w:w="2761" w:type="dxa"/>
          <w:trHeight w:val="1550"/>
        </w:trPr>
        <w:tc>
          <w:tcPr>
            <w:tcW w:w="1990" w:type="dxa"/>
            <w:vMerge/>
            <w:tcBorders>
              <w:top w:val="single" w:sz="4" w:space="0" w:color="auto"/>
              <w:left w:val="single" w:sz="4" w:space="0" w:color="auto"/>
              <w:bottom w:val="single" w:sz="4" w:space="0" w:color="auto"/>
              <w:right w:val="single" w:sz="4" w:space="0" w:color="auto"/>
            </w:tcBorders>
            <w:shd w:val="clear" w:color="auto" w:fill="00B050"/>
            <w:vAlign w:val="center"/>
            <w:hideMark/>
          </w:tcPr>
          <w:p w14:paraId="392675B8"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137EF6AD"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08CA14BB"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Eficacia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B8A0128"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085B305B"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La falta de coordinación entre compras, transporte y obra genera demoras o exceso de materiales no aprovechables.</w:t>
            </w:r>
          </w:p>
        </w:tc>
        <w:tc>
          <w:tcPr>
            <w:tcW w:w="2264" w:type="dxa"/>
            <w:gridSpan w:val="2"/>
            <w:tcBorders>
              <w:top w:val="nil"/>
              <w:left w:val="nil"/>
              <w:bottom w:val="single" w:sz="4" w:space="0" w:color="auto"/>
              <w:right w:val="single" w:sz="4" w:space="0" w:color="auto"/>
            </w:tcBorders>
            <w:hideMark/>
          </w:tcPr>
          <w:p w14:paraId="2D5AB7DA"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Esto impide el cumplimiento eficaz de tiempos y costos.</w:t>
            </w:r>
          </w:p>
        </w:tc>
        <w:tc>
          <w:tcPr>
            <w:tcW w:w="942" w:type="dxa"/>
            <w:tcBorders>
              <w:top w:val="nil"/>
              <w:left w:val="nil"/>
              <w:bottom w:val="single" w:sz="4" w:space="0" w:color="auto"/>
              <w:right w:val="single" w:sz="4" w:space="0" w:color="auto"/>
            </w:tcBorders>
            <w:noWrap/>
            <w:vAlign w:val="center"/>
            <w:hideMark/>
          </w:tcPr>
          <w:p w14:paraId="0C4BE0CB"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55FB80DF"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Implementar herramientas colaborativas que integren pedidos, inventarios, rutas y tiempos de entrega.</w:t>
            </w:r>
          </w:p>
        </w:tc>
        <w:tc>
          <w:tcPr>
            <w:tcW w:w="1140" w:type="dxa"/>
            <w:gridSpan w:val="3"/>
            <w:tcBorders>
              <w:top w:val="nil"/>
              <w:left w:val="nil"/>
              <w:bottom w:val="single" w:sz="4" w:space="0" w:color="auto"/>
              <w:right w:val="single" w:sz="4" w:space="0" w:color="auto"/>
            </w:tcBorders>
            <w:noWrap/>
            <w:vAlign w:val="center"/>
            <w:hideMark/>
          </w:tcPr>
          <w:p w14:paraId="2C8BBC89"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07CC9F3A"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5005242C"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Mejor aprovechamiento del tiempo y los recursos, reducción de materiales mal utilizados.</w:t>
            </w:r>
          </w:p>
        </w:tc>
      </w:tr>
      <w:tr w:rsidR="00F212FE" w:rsidRPr="006358A3" w14:paraId="771804EC" w14:textId="77777777" w:rsidTr="0055381F">
        <w:trPr>
          <w:gridAfter w:val="4"/>
          <w:wAfter w:w="2761" w:type="dxa"/>
          <w:trHeight w:val="1550"/>
        </w:trPr>
        <w:tc>
          <w:tcPr>
            <w:tcW w:w="1990" w:type="dxa"/>
            <w:vMerge/>
            <w:tcBorders>
              <w:top w:val="single" w:sz="4" w:space="0" w:color="auto"/>
              <w:left w:val="single" w:sz="4" w:space="0" w:color="auto"/>
              <w:bottom w:val="single" w:sz="4" w:space="0" w:color="auto"/>
              <w:right w:val="single" w:sz="4" w:space="0" w:color="auto"/>
            </w:tcBorders>
            <w:shd w:val="clear" w:color="auto" w:fill="00B050"/>
            <w:vAlign w:val="center"/>
            <w:hideMark/>
          </w:tcPr>
          <w:p w14:paraId="532658B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01264837"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34AD106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Eficiencia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E5A9ED3"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258BE978"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Las rutas logísticas se definen sin análisis previo, generando mayor gasto en combustible, tiempos muertos y sobrecostos.</w:t>
            </w:r>
          </w:p>
        </w:tc>
        <w:tc>
          <w:tcPr>
            <w:tcW w:w="2264" w:type="dxa"/>
            <w:gridSpan w:val="2"/>
            <w:tcBorders>
              <w:top w:val="nil"/>
              <w:left w:val="nil"/>
              <w:bottom w:val="single" w:sz="4" w:space="0" w:color="auto"/>
              <w:right w:val="single" w:sz="4" w:space="0" w:color="auto"/>
            </w:tcBorders>
            <w:hideMark/>
          </w:tcPr>
          <w:p w14:paraId="0388768A"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Impacto económico y ambiental negativo.</w:t>
            </w:r>
          </w:p>
        </w:tc>
        <w:tc>
          <w:tcPr>
            <w:tcW w:w="942" w:type="dxa"/>
            <w:tcBorders>
              <w:top w:val="nil"/>
              <w:left w:val="nil"/>
              <w:bottom w:val="single" w:sz="4" w:space="0" w:color="auto"/>
              <w:right w:val="single" w:sz="4" w:space="0" w:color="auto"/>
            </w:tcBorders>
            <w:noWrap/>
            <w:vAlign w:val="center"/>
            <w:hideMark/>
          </w:tcPr>
          <w:p w14:paraId="25384CB9"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7BE41EB5"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Optimizar rutas mediante herramientas de geolocalización, combinando entregas por zonas.</w:t>
            </w:r>
          </w:p>
        </w:tc>
        <w:tc>
          <w:tcPr>
            <w:tcW w:w="1140" w:type="dxa"/>
            <w:gridSpan w:val="3"/>
            <w:tcBorders>
              <w:top w:val="nil"/>
              <w:left w:val="nil"/>
              <w:bottom w:val="single" w:sz="4" w:space="0" w:color="auto"/>
              <w:right w:val="single" w:sz="4" w:space="0" w:color="auto"/>
            </w:tcBorders>
            <w:noWrap/>
            <w:vAlign w:val="center"/>
            <w:hideMark/>
          </w:tcPr>
          <w:p w14:paraId="797B0D39"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00B72D23"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0E4B3AB6"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Menor impacto ambiental y reducción de costos de transporte.</w:t>
            </w:r>
          </w:p>
        </w:tc>
      </w:tr>
      <w:tr w:rsidR="00F212FE" w:rsidRPr="006358A3" w14:paraId="29350F6B" w14:textId="77777777" w:rsidTr="0055381F">
        <w:trPr>
          <w:gridAfter w:val="4"/>
          <w:wAfter w:w="2761" w:type="dxa"/>
          <w:trHeight w:val="1550"/>
        </w:trPr>
        <w:tc>
          <w:tcPr>
            <w:tcW w:w="1990" w:type="dxa"/>
            <w:vMerge/>
            <w:tcBorders>
              <w:top w:val="single" w:sz="4" w:space="0" w:color="auto"/>
              <w:left w:val="single" w:sz="4" w:space="0" w:color="auto"/>
              <w:bottom w:val="single" w:sz="4" w:space="0" w:color="auto"/>
              <w:right w:val="single" w:sz="4" w:space="0" w:color="auto"/>
            </w:tcBorders>
            <w:shd w:val="clear" w:color="auto" w:fill="00B050"/>
            <w:vAlign w:val="center"/>
            <w:hideMark/>
          </w:tcPr>
          <w:p w14:paraId="6F81CEE6"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61EB4B35"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1AB1219F"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Imparcialidad</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863A3C9"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418F136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La logística prioriza a ciertas áreas del proyecto (diseño u obra) sin criterios equitativos, lo cual genera tensiones internas.</w:t>
            </w:r>
          </w:p>
        </w:tc>
        <w:tc>
          <w:tcPr>
            <w:tcW w:w="2264" w:type="dxa"/>
            <w:gridSpan w:val="2"/>
            <w:tcBorders>
              <w:top w:val="nil"/>
              <w:left w:val="nil"/>
              <w:bottom w:val="single" w:sz="4" w:space="0" w:color="auto"/>
              <w:right w:val="single" w:sz="4" w:space="0" w:color="auto"/>
            </w:tcBorders>
            <w:hideMark/>
          </w:tcPr>
          <w:p w14:paraId="28E78DBD"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Percepción de desigualdad y reclamos por parte de equipos.</w:t>
            </w:r>
          </w:p>
        </w:tc>
        <w:tc>
          <w:tcPr>
            <w:tcW w:w="942" w:type="dxa"/>
            <w:tcBorders>
              <w:top w:val="nil"/>
              <w:left w:val="nil"/>
              <w:bottom w:val="single" w:sz="4" w:space="0" w:color="auto"/>
              <w:right w:val="single" w:sz="4" w:space="0" w:color="auto"/>
            </w:tcBorders>
            <w:noWrap/>
            <w:vAlign w:val="center"/>
            <w:hideMark/>
          </w:tcPr>
          <w:p w14:paraId="56355E28"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5869FDD8"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Establecer un protocolo de distribución logística que priorice necesidades por fase del proyecto, con criterios compartidos.</w:t>
            </w:r>
          </w:p>
        </w:tc>
        <w:tc>
          <w:tcPr>
            <w:tcW w:w="1140" w:type="dxa"/>
            <w:gridSpan w:val="3"/>
            <w:tcBorders>
              <w:top w:val="nil"/>
              <w:left w:val="nil"/>
              <w:bottom w:val="single" w:sz="4" w:space="0" w:color="auto"/>
              <w:right w:val="single" w:sz="4" w:space="0" w:color="auto"/>
            </w:tcBorders>
            <w:noWrap/>
            <w:vAlign w:val="center"/>
            <w:hideMark/>
          </w:tcPr>
          <w:p w14:paraId="753C3516"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883" w:type="dxa"/>
            <w:tcBorders>
              <w:top w:val="nil"/>
              <w:left w:val="nil"/>
              <w:bottom w:val="single" w:sz="4" w:space="0" w:color="auto"/>
              <w:right w:val="single" w:sz="4" w:space="0" w:color="auto"/>
            </w:tcBorders>
            <w:noWrap/>
            <w:vAlign w:val="center"/>
            <w:hideMark/>
          </w:tcPr>
          <w:p w14:paraId="21CD833B"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1</w:t>
            </w:r>
          </w:p>
        </w:tc>
        <w:tc>
          <w:tcPr>
            <w:tcW w:w="3351" w:type="dxa"/>
            <w:gridSpan w:val="2"/>
            <w:tcBorders>
              <w:top w:val="nil"/>
              <w:left w:val="nil"/>
              <w:bottom w:val="single" w:sz="4" w:space="0" w:color="auto"/>
              <w:right w:val="single" w:sz="4" w:space="0" w:color="auto"/>
            </w:tcBorders>
            <w:hideMark/>
          </w:tcPr>
          <w:p w14:paraId="64303A2F"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Se fortaleció la equidad interna en los recursos asignados y tiempos de entrega.</w:t>
            </w:r>
          </w:p>
        </w:tc>
      </w:tr>
      <w:tr w:rsidR="00F212FE" w:rsidRPr="006358A3" w14:paraId="205AF7D6" w14:textId="77777777" w:rsidTr="0055381F">
        <w:trPr>
          <w:gridAfter w:val="4"/>
          <w:wAfter w:w="2761" w:type="dxa"/>
          <w:trHeight w:val="320"/>
        </w:trPr>
        <w:tc>
          <w:tcPr>
            <w:tcW w:w="1990" w:type="dxa"/>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739D366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Categoría</w:t>
            </w:r>
          </w:p>
        </w:tc>
        <w:tc>
          <w:tcPr>
            <w:tcW w:w="1979" w:type="dxa"/>
            <w:tcBorders>
              <w:top w:val="nil"/>
              <w:left w:val="nil"/>
              <w:bottom w:val="single" w:sz="4" w:space="0" w:color="auto"/>
              <w:right w:val="nil"/>
            </w:tcBorders>
            <w:shd w:val="clear" w:color="000000" w:fill="A9D08E"/>
            <w:noWrap/>
            <w:vAlign w:val="center"/>
            <w:hideMark/>
          </w:tcPr>
          <w:p w14:paraId="713C6ED8"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Energía</w:t>
            </w:r>
          </w:p>
        </w:tc>
        <w:tc>
          <w:tcPr>
            <w:tcW w:w="1667" w:type="dxa"/>
            <w:vMerge w:val="restart"/>
            <w:tcBorders>
              <w:top w:val="nil"/>
              <w:left w:val="single" w:sz="4" w:space="0" w:color="auto"/>
              <w:bottom w:val="single" w:sz="4" w:space="0" w:color="auto"/>
              <w:right w:val="single" w:sz="4" w:space="0" w:color="auto"/>
            </w:tcBorders>
            <w:shd w:val="clear" w:color="000000" w:fill="A9D08E"/>
            <w:noWrap/>
            <w:vAlign w:val="center"/>
            <w:hideMark/>
          </w:tcPr>
          <w:p w14:paraId="3675507A"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Lente</w:t>
            </w:r>
          </w:p>
        </w:tc>
        <w:tc>
          <w:tcPr>
            <w:tcW w:w="1452" w:type="dxa"/>
            <w:vMerge w:val="restart"/>
            <w:tcBorders>
              <w:top w:val="nil"/>
              <w:left w:val="single" w:sz="4" w:space="0" w:color="auto"/>
              <w:bottom w:val="single" w:sz="4" w:space="0" w:color="auto"/>
              <w:right w:val="single" w:sz="4" w:space="0" w:color="auto"/>
            </w:tcBorders>
            <w:shd w:val="clear" w:color="000000" w:fill="A9D08E"/>
            <w:noWrap/>
            <w:vAlign w:val="center"/>
            <w:hideMark/>
          </w:tcPr>
          <w:p w14:paraId="4D9D2379"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¿Calificado?</w:t>
            </w:r>
          </w:p>
        </w:tc>
        <w:tc>
          <w:tcPr>
            <w:tcW w:w="2555" w:type="dxa"/>
            <w:vMerge w:val="restart"/>
            <w:tcBorders>
              <w:top w:val="nil"/>
              <w:left w:val="single" w:sz="4" w:space="0" w:color="auto"/>
              <w:bottom w:val="single" w:sz="4" w:space="0" w:color="auto"/>
              <w:right w:val="single" w:sz="4" w:space="0" w:color="auto"/>
            </w:tcBorders>
            <w:shd w:val="clear" w:color="000000" w:fill="A9D08E"/>
            <w:noWrap/>
            <w:vAlign w:val="center"/>
            <w:hideMark/>
          </w:tcPr>
          <w:p w14:paraId="2066B9EB"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Descripción (Causa)</w:t>
            </w:r>
          </w:p>
        </w:tc>
        <w:tc>
          <w:tcPr>
            <w:tcW w:w="2264" w:type="dxa"/>
            <w:gridSpan w:val="2"/>
            <w:vMerge w:val="restart"/>
            <w:tcBorders>
              <w:top w:val="nil"/>
              <w:left w:val="single" w:sz="4" w:space="0" w:color="auto"/>
              <w:bottom w:val="single" w:sz="4" w:space="0" w:color="auto"/>
              <w:right w:val="single" w:sz="4" w:space="0" w:color="auto"/>
            </w:tcBorders>
            <w:shd w:val="clear" w:color="000000" w:fill="A9D08E"/>
            <w:vAlign w:val="center"/>
            <w:hideMark/>
          </w:tcPr>
          <w:p w14:paraId="1FF7217F"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Impacto Potencial en la Sostenibilidad</w:t>
            </w:r>
          </w:p>
        </w:tc>
        <w:tc>
          <w:tcPr>
            <w:tcW w:w="942" w:type="dxa"/>
            <w:vMerge w:val="restart"/>
            <w:tcBorders>
              <w:top w:val="nil"/>
              <w:left w:val="single" w:sz="4" w:space="0" w:color="auto"/>
              <w:bottom w:val="single" w:sz="4" w:space="0" w:color="auto"/>
              <w:right w:val="single" w:sz="4" w:space="0" w:color="auto"/>
            </w:tcBorders>
            <w:shd w:val="clear" w:color="000000" w:fill="A9D08E"/>
            <w:vAlign w:val="center"/>
            <w:hideMark/>
          </w:tcPr>
          <w:p w14:paraId="66CCD6A8"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Puntaje Inicial del Impacto (Antes) </w:t>
            </w:r>
          </w:p>
        </w:tc>
        <w:tc>
          <w:tcPr>
            <w:tcW w:w="1995" w:type="dxa"/>
            <w:vMerge w:val="restart"/>
            <w:tcBorders>
              <w:top w:val="nil"/>
              <w:left w:val="single" w:sz="4" w:space="0" w:color="auto"/>
              <w:bottom w:val="single" w:sz="4" w:space="0" w:color="auto"/>
              <w:right w:val="single" w:sz="4" w:space="0" w:color="auto"/>
            </w:tcBorders>
            <w:shd w:val="clear" w:color="000000" w:fill="A9D08E"/>
            <w:noWrap/>
            <w:vAlign w:val="center"/>
            <w:hideMark/>
          </w:tcPr>
          <w:p w14:paraId="5B53DCD9"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Respuesta Propuesta</w:t>
            </w:r>
          </w:p>
        </w:tc>
        <w:tc>
          <w:tcPr>
            <w:tcW w:w="1140" w:type="dxa"/>
            <w:gridSpan w:val="3"/>
            <w:vMerge w:val="restart"/>
            <w:tcBorders>
              <w:top w:val="nil"/>
              <w:left w:val="single" w:sz="4" w:space="0" w:color="auto"/>
              <w:bottom w:val="single" w:sz="4" w:space="0" w:color="auto"/>
              <w:right w:val="single" w:sz="4" w:space="0" w:color="auto"/>
            </w:tcBorders>
            <w:shd w:val="clear" w:color="000000" w:fill="A9D08E"/>
            <w:vAlign w:val="center"/>
            <w:hideMark/>
          </w:tcPr>
          <w:p w14:paraId="3B4C474D"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Nuevo Puntaje del Impacto (Después)</w:t>
            </w:r>
          </w:p>
        </w:tc>
        <w:tc>
          <w:tcPr>
            <w:tcW w:w="883" w:type="dxa"/>
            <w:vMerge w:val="restart"/>
            <w:tcBorders>
              <w:top w:val="nil"/>
              <w:left w:val="single" w:sz="4" w:space="0" w:color="auto"/>
              <w:bottom w:val="single" w:sz="4" w:space="0" w:color="auto"/>
              <w:right w:val="single" w:sz="4" w:space="0" w:color="auto"/>
            </w:tcBorders>
            <w:shd w:val="clear" w:color="000000" w:fill="A9D08E"/>
            <w:noWrap/>
            <w:vAlign w:val="center"/>
            <w:hideMark/>
          </w:tcPr>
          <w:p w14:paraId="78581FF9"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Cambio</w:t>
            </w:r>
          </w:p>
        </w:tc>
        <w:tc>
          <w:tcPr>
            <w:tcW w:w="3351" w:type="dxa"/>
            <w:gridSpan w:val="2"/>
            <w:vMerge w:val="restart"/>
            <w:tcBorders>
              <w:top w:val="nil"/>
              <w:left w:val="single" w:sz="4" w:space="0" w:color="auto"/>
              <w:bottom w:val="single" w:sz="4" w:space="0" w:color="auto"/>
              <w:right w:val="single" w:sz="4" w:space="0" w:color="auto"/>
            </w:tcBorders>
            <w:shd w:val="clear" w:color="000000" w:fill="A9D08E"/>
            <w:noWrap/>
            <w:vAlign w:val="center"/>
            <w:hideMark/>
          </w:tcPr>
          <w:p w14:paraId="67CF8CD7"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Resultado</w:t>
            </w:r>
          </w:p>
        </w:tc>
      </w:tr>
      <w:tr w:rsidR="00F212FE" w:rsidRPr="006358A3" w14:paraId="1BD6DA3E" w14:textId="77777777" w:rsidTr="0055381F">
        <w:trPr>
          <w:gridAfter w:val="4"/>
          <w:wAfter w:w="2761" w:type="dxa"/>
          <w:trHeight w:val="310"/>
        </w:trPr>
        <w:tc>
          <w:tcPr>
            <w:tcW w:w="1990" w:type="dxa"/>
            <w:tcBorders>
              <w:top w:val="nil"/>
              <w:left w:val="nil"/>
              <w:bottom w:val="nil"/>
              <w:right w:val="nil"/>
            </w:tcBorders>
            <w:shd w:val="clear" w:color="auto" w:fill="C5E0B3" w:themeFill="accent6" w:themeFillTint="66"/>
            <w:noWrap/>
            <w:vAlign w:val="bottom"/>
            <w:hideMark/>
          </w:tcPr>
          <w:p w14:paraId="5CE29D8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bl>
            <w:tblPr>
              <w:tblW w:w="0" w:type="auto"/>
              <w:tblCellSpacing w:w="0" w:type="dxa"/>
              <w:tblCellMar>
                <w:left w:w="0" w:type="dxa"/>
                <w:right w:w="0" w:type="dxa"/>
              </w:tblCellMar>
              <w:tblLook w:val="04A0" w:firstRow="1" w:lastRow="0" w:firstColumn="1" w:lastColumn="0" w:noHBand="0" w:noVBand="1"/>
            </w:tblPr>
            <w:tblGrid>
              <w:gridCol w:w="1840"/>
            </w:tblGrid>
            <w:tr w:rsidR="00F212FE" w:rsidRPr="006358A3" w14:paraId="2BA84C18" w14:textId="77777777" w:rsidTr="0055381F">
              <w:trPr>
                <w:trHeight w:val="310"/>
                <w:tblCellSpacing w:w="0" w:type="dxa"/>
              </w:trPr>
              <w:tc>
                <w:tcPr>
                  <w:tcW w:w="1820" w:type="dxa"/>
                  <w:tcBorders>
                    <w:top w:val="nil"/>
                    <w:left w:val="single" w:sz="4" w:space="0" w:color="auto"/>
                    <w:bottom w:val="single" w:sz="4" w:space="0" w:color="auto"/>
                    <w:right w:val="single" w:sz="4" w:space="0" w:color="auto"/>
                  </w:tcBorders>
                  <w:shd w:val="clear" w:color="000000" w:fill="E2EFDA"/>
                  <w:noWrap/>
                  <w:vAlign w:val="bottom"/>
                  <w:hideMark/>
                </w:tcPr>
                <w:p w14:paraId="7CC1A372" w14:textId="77777777" w:rsidR="00F212FE" w:rsidRPr="006358A3" w:rsidRDefault="00F212FE" w:rsidP="00217E41">
                  <w:pPr>
                    <w:framePr w:hSpace="141" w:wrap="around" w:hAnchor="margin" w:y="-10280"/>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Elemento</w:t>
                  </w:r>
                </w:p>
              </w:tc>
            </w:tr>
          </w:tbl>
          <w:p w14:paraId="727BFBF9"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tcBorders>
              <w:top w:val="nil"/>
              <w:left w:val="nil"/>
              <w:bottom w:val="single" w:sz="4" w:space="0" w:color="auto"/>
              <w:right w:val="single" w:sz="4" w:space="0" w:color="auto"/>
            </w:tcBorders>
            <w:shd w:val="clear" w:color="000000" w:fill="E2EFDA"/>
            <w:noWrap/>
            <w:vAlign w:val="center"/>
            <w:hideMark/>
          </w:tcPr>
          <w:p w14:paraId="197E75B2"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Descripción</w:t>
            </w:r>
          </w:p>
        </w:tc>
        <w:tc>
          <w:tcPr>
            <w:tcW w:w="1667" w:type="dxa"/>
            <w:vMerge/>
            <w:tcBorders>
              <w:top w:val="nil"/>
              <w:left w:val="single" w:sz="4" w:space="0" w:color="auto"/>
              <w:bottom w:val="single" w:sz="4" w:space="0" w:color="auto"/>
              <w:right w:val="single" w:sz="4" w:space="0" w:color="auto"/>
            </w:tcBorders>
            <w:vAlign w:val="center"/>
            <w:hideMark/>
          </w:tcPr>
          <w:p w14:paraId="2375F96B"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452" w:type="dxa"/>
            <w:vMerge/>
            <w:tcBorders>
              <w:top w:val="nil"/>
              <w:left w:val="single" w:sz="4" w:space="0" w:color="auto"/>
              <w:bottom w:val="single" w:sz="4" w:space="0" w:color="auto"/>
              <w:right w:val="single" w:sz="4" w:space="0" w:color="auto"/>
            </w:tcBorders>
            <w:vAlign w:val="center"/>
            <w:hideMark/>
          </w:tcPr>
          <w:p w14:paraId="7FEE49D8"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2555" w:type="dxa"/>
            <w:vMerge/>
            <w:tcBorders>
              <w:top w:val="nil"/>
              <w:left w:val="single" w:sz="4" w:space="0" w:color="auto"/>
              <w:bottom w:val="single" w:sz="4" w:space="0" w:color="auto"/>
              <w:right w:val="single" w:sz="4" w:space="0" w:color="auto"/>
            </w:tcBorders>
            <w:vAlign w:val="center"/>
            <w:hideMark/>
          </w:tcPr>
          <w:p w14:paraId="7393EAB6"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2264" w:type="dxa"/>
            <w:gridSpan w:val="2"/>
            <w:vMerge/>
            <w:tcBorders>
              <w:top w:val="nil"/>
              <w:left w:val="single" w:sz="4" w:space="0" w:color="auto"/>
              <w:bottom w:val="single" w:sz="4" w:space="0" w:color="auto"/>
              <w:right w:val="single" w:sz="4" w:space="0" w:color="auto"/>
            </w:tcBorders>
            <w:vAlign w:val="center"/>
            <w:hideMark/>
          </w:tcPr>
          <w:p w14:paraId="0CA0431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942" w:type="dxa"/>
            <w:vMerge/>
            <w:tcBorders>
              <w:top w:val="nil"/>
              <w:left w:val="single" w:sz="4" w:space="0" w:color="auto"/>
              <w:bottom w:val="single" w:sz="4" w:space="0" w:color="auto"/>
              <w:right w:val="single" w:sz="4" w:space="0" w:color="auto"/>
            </w:tcBorders>
            <w:vAlign w:val="center"/>
            <w:hideMark/>
          </w:tcPr>
          <w:p w14:paraId="7B3A0C96"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95" w:type="dxa"/>
            <w:vMerge/>
            <w:tcBorders>
              <w:top w:val="nil"/>
              <w:left w:val="single" w:sz="4" w:space="0" w:color="auto"/>
              <w:bottom w:val="single" w:sz="4" w:space="0" w:color="auto"/>
              <w:right w:val="single" w:sz="4" w:space="0" w:color="auto"/>
            </w:tcBorders>
            <w:vAlign w:val="center"/>
            <w:hideMark/>
          </w:tcPr>
          <w:p w14:paraId="7D01CAC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140" w:type="dxa"/>
            <w:gridSpan w:val="3"/>
            <w:vMerge/>
            <w:tcBorders>
              <w:top w:val="nil"/>
              <w:left w:val="single" w:sz="4" w:space="0" w:color="auto"/>
              <w:bottom w:val="single" w:sz="4" w:space="0" w:color="auto"/>
              <w:right w:val="single" w:sz="4" w:space="0" w:color="auto"/>
            </w:tcBorders>
            <w:vAlign w:val="center"/>
            <w:hideMark/>
          </w:tcPr>
          <w:p w14:paraId="48CD30E6"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883" w:type="dxa"/>
            <w:vMerge/>
            <w:tcBorders>
              <w:top w:val="nil"/>
              <w:left w:val="single" w:sz="4" w:space="0" w:color="auto"/>
              <w:bottom w:val="single" w:sz="4" w:space="0" w:color="auto"/>
              <w:right w:val="single" w:sz="4" w:space="0" w:color="auto"/>
            </w:tcBorders>
            <w:vAlign w:val="center"/>
            <w:hideMark/>
          </w:tcPr>
          <w:p w14:paraId="02D9C418"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3351" w:type="dxa"/>
            <w:gridSpan w:val="2"/>
            <w:vMerge/>
            <w:tcBorders>
              <w:top w:val="nil"/>
              <w:left w:val="single" w:sz="4" w:space="0" w:color="auto"/>
              <w:bottom w:val="single" w:sz="4" w:space="0" w:color="auto"/>
              <w:right w:val="single" w:sz="4" w:space="0" w:color="auto"/>
            </w:tcBorders>
            <w:vAlign w:val="center"/>
            <w:hideMark/>
          </w:tcPr>
          <w:p w14:paraId="77448CB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r>
      <w:tr w:rsidR="00F212FE" w:rsidRPr="006358A3" w14:paraId="6ACAF86C" w14:textId="77777777" w:rsidTr="0055381F">
        <w:trPr>
          <w:gridAfter w:val="4"/>
          <w:wAfter w:w="2761" w:type="dxa"/>
          <w:trHeight w:val="2170"/>
        </w:trPr>
        <w:tc>
          <w:tcPr>
            <w:tcW w:w="1990" w:type="dxa"/>
            <w:vMerge w:val="restart"/>
            <w:tcBorders>
              <w:top w:val="nil"/>
              <w:left w:val="single" w:sz="4" w:space="0" w:color="auto"/>
              <w:bottom w:val="single" w:sz="4" w:space="0" w:color="auto"/>
              <w:right w:val="single" w:sz="4" w:space="0" w:color="auto"/>
            </w:tcBorders>
            <w:shd w:val="clear" w:color="auto" w:fill="29B95C"/>
            <w:vAlign w:val="center"/>
            <w:hideMark/>
          </w:tcPr>
          <w:p w14:paraId="1C7F48E1" w14:textId="77777777" w:rsidR="00F212FE" w:rsidRPr="006358A3" w:rsidRDefault="00F212FE" w:rsidP="0055381F">
            <w:pPr>
              <w:spacing w:line="240" w:lineRule="auto"/>
              <w:ind w:firstLine="0"/>
              <w:rPr>
                <w:rFonts w:ascii="Calibri" w:eastAsia="Times New Roman" w:hAnsi="Calibri" w:cs="Calibri"/>
                <w:color w:val="4A9F38"/>
                <w:sz w:val="24"/>
                <w:lang w:val="es-CR" w:eastAsia="es-CR"/>
              </w:rPr>
            </w:pPr>
            <w:r w:rsidRPr="006358A3">
              <w:rPr>
                <w:rFonts w:ascii="Calibri" w:eastAsia="Times New Roman" w:hAnsi="Calibri" w:cs="Calibri"/>
                <w:noProof/>
                <w:color w:val="000000"/>
                <w:sz w:val="24"/>
                <w:lang w:val="es-CR" w:eastAsia="es-CR"/>
              </w:rPr>
              <w:drawing>
                <wp:anchor distT="0" distB="0" distL="114300" distR="114300" simplePos="0" relativeHeight="251686912" behindDoc="0" locked="0" layoutInCell="1" allowOverlap="1" wp14:anchorId="408A0E99" wp14:editId="0B5EDA0E">
                  <wp:simplePos x="0" y="0"/>
                  <wp:positionH relativeFrom="column">
                    <wp:posOffset>88900</wp:posOffset>
                  </wp:positionH>
                  <wp:positionV relativeFrom="paragraph">
                    <wp:posOffset>-6350</wp:posOffset>
                  </wp:positionV>
                  <wp:extent cx="889000" cy="920750"/>
                  <wp:effectExtent l="0" t="0" r="6350" b="0"/>
                  <wp:wrapNone/>
                  <wp:docPr id="22" name="Imagen 37">
                    <a:extLst xmlns:a="http://schemas.openxmlformats.org/drawingml/2006/main">
                      <a:ext uri="{FF2B5EF4-FFF2-40B4-BE49-F238E27FC236}">
                        <a16:creationId xmlns:a16="http://schemas.microsoft.com/office/drawing/2014/main" id="{00000000-0008-0000-0400-000016000000}"/>
                      </a:ext>
                    </a:extLst>
                  </wp:docPr>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00000000-0008-0000-0400-000016000000}"/>
                              </a:ext>
                            </a:extLst>
                          </pic:cNvPr>
                          <pic:cNvPicPr>
                            <a:picLocks noChangeAspect="1"/>
                          </pic:cNvPicPr>
                        </pic:nvPicPr>
                        <pic:blipFill>
                          <a:blip r:embed="rId52"/>
                          <a:stretch>
                            <a:fillRect/>
                          </a:stretch>
                        </pic:blipFill>
                        <pic:spPr>
                          <a:xfrm>
                            <a:off x="0" y="0"/>
                            <a:ext cx="889000" cy="920750"/>
                          </a:xfrm>
                          <a:prstGeom prst="rect">
                            <a:avLst/>
                          </a:prstGeom>
                        </pic:spPr>
                      </pic:pic>
                    </a:graphicData>
                  </a:graphic>
                  <wp14:sizeRelH relativeFrom="page">
                    <wp14:pctWidth>0</wp14:pctWidth>
                  </wp14:sizeRelH>
                  <wp14:sizeRelV relativeFrom="page">
                    <wp14:pctHeight>0</wp14:pctHeight>
                  </wp14:sizeRelV>
                </wp:anchor>
              </w:drawing>
            </w:r>
          </w:p>
        </w:tc>
        <w:tc>
          <w:tcPr>
            <w:tcW w:w="1979" w:type="dxa"/>
            <w:vMerge w:val="restart"/>
            <w:tcBorders>
              <w:top w:val="nil"/>
              <w:left w:val="single" w:sz="4" w:space="0" w:color="auto"/>
              <w:bottom w:val="single" w:sz="4" w:space="0" w:color="auto"/>
              <w:right w:val="single" w:sz="4" w:space="0" w:color="auto"/>
            </w:tcBorders>
            <w:shd w:val="clear" w:color="000000" w:fill="F2F2F2"/>
            <w:vAlign w:val="center"/>
            <w:hideMark/>
          </w:tcPr>
          <w:p w14:paraId="5A1B96BC"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r w:rsidRPr="006358A3">
              <w:rPr>
                <w:rFonts w:ascii="Calibri" w:eastAsia="Times New Roman" w:hAnsi="Calibri" w:cs="Calibri"/>
                <w:color w:val="000000"/>
                <w:sz w:val="18"/>
                <w:szCs w:val="18"/>
                <w:lang w:val="es-CR" w:eastAsia="es-CR"/>
              </w:rPr>
              <w:t>Consumo de energía es la cantidad de energía utilizada por el proyecto a lo largo de su duración. Abarca todos los aspectos del uso de la energía, desde la iluminación de las oficinas hasta la energía necesaria para el transporte</w:t>
            </w:r>
          </w:p>
        </w:tc>
        <w:tc>
          <w:tcPr>
            <w:tcW w:w="1667" w:type="dxa"/>
            <w:tcBorders>
              <w:top w:val="nil"/>
              <w:left w:val="nil"/>
              <w:bottom w:val="single" w:sz="4" w:space="0" w:color="auto"/>
              <w:right w:val="single" w:sz="4" w:space="0" w:color="auto"/>
            </w:tcBorders>
            <w:shd w:val="clear" w:color="000000" w:fill="F2F2F2"/>
            <w:noWrap/>
            <w:vAlign w:val="center"/>
            <w:hideMark/>
          </w:tcPr>
          <w:p w14:paraId="6F729092"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Vida Útil</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9212EEC"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2911CD35"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No se realizan análisis energéticos en etapas tempranas del diseño, lo que reduce la posibilidad de incorporar soluciones de eficiencia energética duradera.</w:t>
            </w:r>
          </w:p>
        </w:tc>
        <w:tc>
          <w:tcPr>
            <w:tcW w:w="2264" w:type="dxa"/>
            <w:gridSpan w:val="2"/>
            <w:tcBorders>
              <w:top w:val="nil"/>
              <w:left w:val="nil"/>
              <w:bottom w:val="single" w:sz="4" w:space="0" w:color="auto"/>
              <w:right w:val="single" w:sz="4" w:space="0" w:color="auto"/>
            </w:tcBorders>
            <w:hideMark/>
          </w:tcPr>
          <w:p w14:paraId="2AFA29F2"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Mayor consumo de recursos durante la operación del proyecto.</w:t>
            </w:r>
          </w:p>
        </w:tc>
        <w:tc>
          <w:tcPr>
            <w:tcW w:w="942" w:type="dxa"/>
            <w:tcBorders>
              <w:top w:val="nil"/>
              <w:left w:val="nil"/>
              <w:bottom w:val="single" w:sz="4" w:space="0" w:color="auto"/>
              <w:right w:val="single" w:sz="4" w:space="0" w:color="auto"/>
            </w:tcBorders>
            <w:noWrap/>
            <w:vAlign w:val="center"/>
            <w:hideMark/>
          </w:tcPr>
          <w:p w14:paraId="5A27EB86"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1995" w:type="dxa"/>
            <w:tcBorders>
              <w:top w:val="nil"/>
              <w:left w:val="nil"/>
              <w:bottom w:val="single" w:sz="4" w:space="0" w:color="auto"/>
              <w:right w:val="single" w:sz="4" w:space="0" w:color="auto"/>
            </w:tcBorders>
            <w:hideMark/>
          </w:tcPr>
          <w:p w14:paraId="48835FE0"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Incorporar simulaciones energéticas y diseño pasivo desde la etapa conceptual, considerando iluminación natural, ventilación cruzada y materiales eficientes.</w:t>
            </w:r>
          </w:p>
        </w:tc>
        <w:tc>
          <w:tcPr>
            <w:tcW w:w="1140" w:type="dxa"/>
            <w:gridSpan w:val="3"/>
            <w:tcBorders>
              <w:top w:val="nil"/>
              <w:left w:val="nil"/>
              <w:bottom w:val="single" w:sz="4" w:space="0" w:color="auto"/>
              <w:right w:val="single" w:sz="4" w:space="0" w:color="auto"/>
            </w:tcBorders>
            <w:noWrap/>
            <w:vAlign w:val="center"/>
            <w:hideMark/>
          </w:tcPr>
          <w:p w14:paraId="7301F94D"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5</w:t>
            </w:r>
          </w:p>
        </w:tc>
        <w:tc>
          <w:tcPr>
            <w:tcW w:w="883" w:type="dxa"/>
            <w:tcBorders>
              <w:top w:val="nil"/>
              <w:left w:val="nil"/>
              <w:bottom w:val="single" w:sz="4" w:space="0" w:color="auto"/>
              <w:right w:val="single" w:sz="4" w:space="0" w:color="auto"/>
            </w:tcBorders>
            <w:noWrap/>
            <w:vAlign w:val="center"/>
            <w:hideMark/>
          </w:tcPr>
          <w:p w14:paraId="2DC5F283"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1DF5690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Disminución del consumo energético operativo y aumento en la vida útil funcional de los espacios.</w:t>
            </w:r>
          </w:p>
        </w:tc>
      </w:tr>
      <w:tr w:rsidR="00F212FE" w:rsidRPr="006358A3" w14:paraId="0112B334" w14:textId="77777777" w:rsidTr="0055381F">
        <w:trPr>
          <w:gridAfter w:val="4"/>
          <w:wAfter w:w="2761" w:type="dxa"/>
          <w:trHeight w:val="1550"/>
        </w:trPr>
        <w:tc>
          <w:tcPr>
            <w:tcW w:w="1990" w:type="dxa"/>
            <w:vMerge/>
            <w:tcBorders>
              <w:top w:val="nil"/>
              <w:left w:val="single" w:sz="4" w:space="0" w:color="auto"/>
              <w:bottom w:val="single" w:sz="4" w:space="0" w:color="auto"/>
              <w:right w:val="single" w:sz="4" w:space="0" w:color="auto"/>
            </w:tcBorders>
            <w:shd w:val="clear" w:color="auto" w:fill="29B95C"/>
            <w:vAlign w:val="center"/>
            <w:hideMark/>
          </w:tcPr>
          <w:p w14:paraId="07A940FF" w14:textId="77777777" w:rsidR="00F212FE" w:rsidRPr="006358A3" w:rsidRDefault="00F212FE" w:rsidP="0055381F">
            <w:pPr>
              <w:spacing w:line="240" w:lineRule="auto"/>
              <w:ind w:firstLine="0"/>
              <w:rPr>
                <w:rFonts w:ascii="Calibri" w:eastAsia="Times New Roman" w:hAnsi="Calibri" w:cs="Calibri"/>
                <w:color w:val="4A9F38"/>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032F308F"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4466A116"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Mantenimiento</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03E993E"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6C89BE9B"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La planificación del mantenimiento energético es reactiva y no considera optimización del uso energético a largo plazo.</w:t>
            </w:r>
          </w:p>
        </w:tc>
        <w:tc>
          <w:tcPr>
            <w:tcW w:w="2264" w:type="dxa"/>
            <w:gridSpan w:val="2"/>
            <w:tcBorders>
              <w:top w:val="nil"/>
              <w:left w:val="nil"/>
              <w:bottom w:val="single" w:sz="4" w:space="0" w:color="auto"/>
              <w:right w:val="single" w:sz="4" w:space="0" w:color="auto"/>
            </w:tcBorders>
            <w:hideMark/>
          </w:tcPr>
          <w:p w14:paraId="7B622D6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Aumento en costos de operación y fallas energéticas.</w:t>
            </w:r>
          </w:p>
        </w:tc>
        <w:tc>
          <w:tcPr>
            <w:tcW w:w="942" w:type="dxa"/>
            <w:tcBorders>
              <w:top w:val="nil"/>
              <w:left w:val="nil"/>
              <w:bottom w:val="single" w:sz="4" w:space="0" w:color="auto"/>
              <w:right w:val="single" w:sz="4" w:space="0" w:color="auto"/>
            </w:tcBorders>
            <w:noWrap/>
            <w:vAlign w:val="center"/>
            <w:hideMark/>
          </w:tcPr>
          <w:p w14:paraId="0074B43E"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183370B0"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Integrar un plan de mantenimiento para sistemas eléctricos y de climatización, incluyendo revisión periódica y ajustes de eficiencia.</w:t>
            </w:r>
          </w:p>
        </w:tc>
        <w:tc>
          <w:tcPr>
            <w:tcW w:w="1140" w:type="dxa"/>
            <w:gridSpan w:val="3"/>
            <w:tcBorders>
              <w:top w:val="nil"/>
              <w:left w:val="nil"/>
              <w:bottom w:val="single" w:sz="4" w:space="0" w:color="auto"/>
              <w:right w:val="single" w:sz="4" w:space="0" w:color="auto"/>
            </w:tcBorders>
            <w:noWrap/>
            <w:vAlign w:val="center"/>
            <w:hideMark/>
          </w:tcPr>
          <w:p w14:paraId="0876D254"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516F9CF2"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41E4C97E"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Mayor continuidad operativa y reducción del consumo excesivo de energía.</w:t>
            </w:r>
          </w:p>
        </w:tc>
      </w:tr>
      <w:tr w:rsidR="00F212FE" w:rsidRPr="006358A3" w14:paraId="4457E118" w14:textId="77777777" w:rsidTr="0055381F">
        <w:trPr>
          <w:gridAfter w:val="4"/>
          <w:wAfter w:w="2761" w:type="dxa"/>
          <w:trHeight w:val="1550"/>
        </w:trPr>
        <w:tc>
          <w:tcPr>
            <w:tcW w:w="1990" w:type="dxa"/>
            <w:vMerge/>
            <w:tcBorders>
              <w:top w:val="nil"/>
              <w:left w:val="single" w:sz="4" w:space="0" w:color="auto"/>
              <w:bottom w:val="single" w:sz="4" w:space="0" w:color="auto"/>
              <w:right w:val="single" w:sz="4" w:space="0" w:color="auto"/>
            </w:tcBorders>
            <w:shd w:val="clear" w:color="auto" w:fill="29B95C"/>
            <w:vAlign w:val="center"/>
            <w:hideMark/>
          </w:tcPr>
          <w:p w14:paraId="45718FDB" w14:textId="77777777" w:rsidR="00F212FE" w:rsidRPr="006358A3" w:rsidRDefault="00F212FE" w:rsidP="0055381F">
            <w:pPr>
              <w:spacing w:line="240" w:lineRule="auto"/>
              <w:ind w:firstLine="0"/>
              <w:rPr>
                <w:rFonts w:ascii="Calibri" w:eastAsia="Times New Roman" w:hAnsi="Calibri" w:cs="Calibri"/>
                <w:color w:val="4A9F38"/>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30A8A6B8"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51109DD6"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Eficacia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583EF0A"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3176135F"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La selección de equipos no siempre considera criterios de eficiencia energética en función del uso previsto.</w:t>
            </w:r>
          </w:p>
        </w:tc>
        <w:tc>
          <w:tcPr>
            <w:tcW w:w="2264" w:type="dxa"/>
            <w:gridSpan w:val="2"/>
            <w:tcBorders>
              <w:top w:val="nil"/>
              <w:left w:val="nil"/>
              <w:bottom w:val="single" w:sz="4" w:space="0" w:color="auto"/>
              <w:right w:val="single" w:sz="4" w:space="0" w:color="auto"/>
            </w:tcBorders>
            <w:hideMark/>
          </w:tcPr>
          <w:p w14:paraId="19D1FAF5"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Menor rendimiento del proyecto y mayor huella energética.</w:t>
            </w:r>
          </w:p>
        </w:tc>
        <w:tc>
          <w:tcPr>
            <w:tcW w:w="942" w:type="dxa"/>
            <w:tcBorders>
              <w:top w:val="nil"/>
              <w:left w:val="nil"/>
              <w:bottom w:val="single" w:sz="4" w:space="0" w:color="auto"/>
              <w:right w:val="single" w:sz="4" w:space="0" w:color="auto"/>
            </w:tcBorders>
            <w:noWrap/>
            <w:vAlign w:val="center"/>
            <w:hideMark/>
          </w:tcPr>
          <w:p w14:paraId="27953B82"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2318AE0A"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Establecer criterios de selección energética mínima para equipos y sistemas, </w:t>
            </w:r>
            <w:r w:rsidRPr="006358A3">
              <w:rPr>
                <w:rFonts w:ascii="Calibri" w:eastAsia="Times New Roman" w:hAnsi="Calibri" w:cs="Calibri"/>
                <w:color w:val="000000"/>
                <w:sz w:val="24"/>
                <w:lang w:val="es-CR" w:eastAsia="es-CR"/>
              </w:rPr>
              <w:lastRenderedPageBreak/>
              <w:t>validados por el equipo de diseño.</w:t>
            </w:r>
          </w:p>
        </w:tc>
        <w:tc>
          <w:tcPr>
            <w:tcW w:w="1140" w:type="dxa"/>
            <w:gridSpan w:val="3"/>
            <w:tcBorders>
              <w:top w:val="nil"/>
              <w:left w:val="nil"/>
              <w:bottom w:val="single" w:sz="4" w:space="0" w:color="auto"/>
              <w:right w:val="single" w:sz="4" w:space="0" w:color="auto"/>
            </w:tcBorders>
            <w:noWrap/>
            <w:vAlign w:val="center"/>
            <w:hideMark/>
          </w:tcPr>
          <w:p w14:paraId="04D977E0"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lastRenderedPageBreak/>
              <w:t>4</w:t>
            </w:r>
          </w:p>
        </w:tc>
        <w:tc>
          <w:tcPr>
            <w:tcW w:w="883" w:type="dxa"/>
            <w:tcBorders>
              <w:top w:val="nil"/>
              <w:left w:val="nil"/>
              <w:bottom w:val="single" w:sz="4" w:space="0" w:color="auto"/>
              <w:right w:val="single" w:sz="4" w:space="0" w:color="auto"/>
            </w:tcBorders>
            <w:noWrap/>
            <w:vAlign w:val="center"/>
            <w:hideMark/>
          </w:tcPr>
          <w:p w14:paraId="25D86F5E"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7B353C51"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Aumento en la eficacia del sistema general con menor impacto ambiental.</w:t>
            </w:r>
          </w:p>
        </w:tc>
      </w:tr>
      <w:tr w:rsidR="00F212FE" w:rsidRPr="006358A3" w14:paraId="75BCD10B" w14:textId="77777777" w:rsidTr="0055381F">
        <w:trPr>
          <w:gridAfter w:val="4"/>
          <w:wAfter w:w="2761" w:type="dxa"/>
          <w:trHeight w:val="1240"/>
        </w:trPr>
        <w:tc>
          <w:tcPr>
            <w:tcW w:w="1990" w:type="dxa"/>
            <w:vMerge/>
            <w:tcBorders>
              <w:top w:val="nil"/>
              <w:left w:val="single" w:sz="4" w:space="0" w:color="auto"/>
              <w:bottom w:val="single" w:sz="4" w:space="0" w:color="auto"/>
              <w:right w:val="single" w:sz="4" w:space="0" w:color="auto"/>
            </w:tcBorders>
            <w:shd w:val="clear" w:color="auto" w:fill="29B95C"/>
            <w:vAlign w:val="center"/>
            <w:hideMark/>
          </w:tcPr>
          <w:p w14:paraId="7A631E52" w14:textId="77777777" w:rsidR="00F212FE" w:rsidRPr="006358A3" w:rsidRDefault="00F212FE" w:rsidP="0055381F">
            <w:pPr>
              <w:spacing w:line="240" w:lineRule="auto"/>
              <w:ind w:firstLine="0"/>
              <w:rPr>
                <w:rFonts w:ascii="Calibri" w:eastAsia="Times New Roman" w:hAnsi="Calibri" w:cs="Calibri"/>
                <w:color w:val="4A9F38"/>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478F305E"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5B3F544C"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Eficiencia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791D2C2"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204F2C9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La operación de las oficinas y obras se realiza con sistemas que no están optimizados para el ahorro energético.</w:t>
            </w:r>
          </w:p>
        </w:tc>
        <w:tc>
          <w:tcPr>
            <w:tcW w:w="2264" w:type="dxa"/>
            <w:gridSpan w:val="2"/>
            <w:tcBorders>
              <w:top w:val="nil"/>
              <w:left w:val="nil"/>
              <w:bottom w:val="single" w:sz="4" w:space="0" w:color="auto"/>
              <w:right w:val="single" w:sz="4" w:space="0" w:color="auto"/>
            </w:tcBorders>
            <w:hideMark/>
          </w:tcPr>
          <w:p w14:paraId="186DE3EA"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Mayores costos de operación y emisiones innecesarias.</w:t>
            </w:r>
          </w:p>
        </w:tc>
        <w:tc>
          <w:tcPr>
            <w:tcW w:w="942" w:type="dxa"/>
            <w:tcBorders>
              <w:top w:val="nil"/>
              <w:left w:val="nil"/>
              <w:bottom w:val="single" w:sz="4" w:space="0" w:color="auto"/>
              <w:right w:val="single" w:sz="4" w:space="0" w:color="auto"/>
            </w:tcBorders>
            <w:noWrap/>
            <w:vAlign w:val="center"/>
            <w:hideMark/>
          </w:tcPr>
          <w:p w14:paraId="4ACD39AF"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1995" w:type="dxa"/>
            <w:tcBorders>
              <w:top w:val="nil"/>
              <w:left w:val="nil"/>
              <w:bottom w:val="single" w:sz="4" w:space="0" w:color="auto"/>
              <w:right w:val="single" w:sz="4" w:space="0" w:color="auto"/>
            </w:tcBorders>
            <w:hideMark/>
          </w:tcPr>
          <w:p w14:paraId="3E2AD8D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Automatizar sistemas de iluminación, climatización y uso de energía por zonas, con sensores y temporizadores.</w:t>
            </w:r>
          </w:p>
        </w:tc>
        <w:tc>
          <w:tcPr>
            <w:tcW w:w="1140" w:type="dxa"/>
            <w:gridSpan w:val="3"/>
            <w:tcBorders>
              <w:top w:val="nil"/>
              <w:left w:val="nil"/>
              <w:bottom w:val="single" w:sz="4" w:space="0" w:color="auto"/>
              <w:right w:val="single" w:sz="4" w:space="0" w:color="auto"/>
            </w:tcBorders>
            <w:noWrap/>
            <w:vAlign w:val="center"/>
            <w:hideMark/>
          </w:tcPr>
          <w:p w14:paraId="0CCCDFDC"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5</w:t>
            </w:r>
          </w:p>
        </w:tc>
        <w:tc>
          <w:tcPr>
            <w:tcW w:w="883" w:type="dxa"/>
            <w:tcBorders>
              <w:top w:val="nil"/>
              <w:left w:val="nil"/>
              <w:bottom w:val="single" w:sz="4" w:space="0" w:color="auto"/>
              <w:right w:val="single" w:sz="4" w:space="0" w:color="auto"/>
            </w:tcBorders>
            <w:noWrap/>
            <w:vAlign w:val="center"/>
            <w:hideMark/>
          </w:tcPr>
          <w:p w14:paraId="2AB4C028"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733C921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Mejora en la eficiencia energética y reducción en la factura eléctrica.</w:t>
            </w:r>
          </w:p>
        </w:tc>
      </w:tr>
      <w:tr w:rsidR="00F212FE" w:rsidRPr="006358A3" w14:paraId="3ABB9644" w14:textId="77777777" w:rsidTr="0055381F">
        <w:trPr>
          <w:gridAfter w:val="4"/>
          <w:wAfter w:w="2761" w:type="dxa"/>
          <w:trHeight w:val="1860"/>
        </w:trPr>
        <w:tc>
          <w:tcPr>
            <w:tcW w:w="1990" w:type="dxa"/>
            <w:vMerge/>
            <w:tcBorders>
              <w:top w:val="nil"/>
              <w:left w:val="single" w:sz="4" w:space="0" w:color="auto"/>
              <w:bottom w:val="single" w:sz="4" w:space="0" w:color="auto"/>
              <w:right w:val="single" w:sz="4" w:space="0" w:color="auto"/>
            </w:tcBorders>
            <w:shd w:val="clear" w:color="auto" w:fill="29B95C"/>
            <w:vAlign w:val="center"/>
            <w:hideMark/>
          </w:tcPr>
          <w:p w14:paraId="67AC93CC" w14:textId="77777777" w:rsidR="00F212FE" w:rsidRPr="006358A3" w:rsidRDefault="00F212FE" w:rsidP="0055381F">
            <w:pPr>
              <w:spacing w:line="240" w:lineRule="auto"/>
              <w:ind w:firstLine="0"/>
              <w:rPr>
                <w:rFonts w:ascii="Calibri" w:eastAsia="Times New Roman" w:hAnsi="Calibri" w:cs="Calibri"/>
                <w:color w:val="4A9F38"/>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62AEDC3D"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6943F5E9"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Imparcialidad</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F3DDF1B"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33A50B7E"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No todos los usuarios tienen acceso equitativo a condiciones térmicas y lumínicas óptimas.</w:t>
            </w:r>
          </w:p>
        </w:tc>
        <w:tc>
          <w:tcPr>
            <w:tcW w:w="2264" w:type="dxa"/>
            <w:gridSpan w:val="2"/>
            <w:tcBorders>
              <w:top w:val="nil"/>
              <w:left w:val="nil"/>
              <w:bottom w:val="single" w:sz="4" w:space="0" w:color="auto"/>
              <w:right w:val="single" w:sz="4" w:space="0" w:color="auto"/>
            </w:tcBorders>
            <w:hideMark/>
          </w:tcPr>
          <w:p w14:paraId="5DB69DD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Disminución en la comodidad, productividad y equidad en el entorno laboral.</w:t>
            </w:r>
          </w:p>
        </w:tc>
        <w:tc>
          <w:tcPr>
            <w:tcW w:w="942" w:type="dxa"/>
            <w:tcBorders>
              <w:top w:val="nil"/>
              <w:left w:val="nil"/>
              <w:bottom w:val="single" w:sz="4" w:space="0" w:color="auto"/>
              <w:right w:val="single" w:sz="4" w:space="0" w:color="auto"/>
            </w:tcBorders>
            <w:noWrap/>
            <w:vAlign w:val="center"/>
            <w:hideMark/>
          </w:tcPr>
          <w:p w14:paraId="41D21C5E"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34972521"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Diseñar espacios considerando el confort ambiental equitativo para todos los usuarios, integrando controles individuales de iluminación y ventilación.</w:t>
            </w:r>
          </w:p>
        </w:tc>
        <w:tc>
          <w:tcPr>
            <w:tcW w:w="1140" w:type="dxa"/>
            <w:gridSpan w:val="3"/>
            <w:tcBorders>
              <w:top w:val="nil"/>
              <w:left w:val="nil"/>
              <w:bottom w:val="single" w:sz="4" w:space="0" w:color="auto"/>
              <w:right w:val="single" w:sz="4" w:space="0" w:color="auto"/>
            </w:tcBorders>
            <w:noWrap/>
            <w:vAlign w:val="center"/>
            <w:hideMark/>
          </w:tcPr>
          <w:p w14:paraId="25783ACE"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1074C62F"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6AE3A84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Mejora en bienestar del personal y percepción de equidad en el ambiente laboral.</w:t>
            </w:r>
          </w:p>
        </w:tc>
      </w:tr>
      <w:tr w:rsidR="00F212FE" w:rsidRPr="006358A3" w14:paraId="6108B35D" w14:textId="77777777" w:rsidTr="0055381F">
        <w:trPr>
          <w:gridAfter w:val="4"/>
          <w:wAfter w:w="2761" w:type="dxa"/>
          <w:trHeight w:val="1550"/>
        </w:trPr>
        <w:tc>
          <w:tcPr>
            <w:tcW w:w="1990" w:type="dxa"/>
            <w:vMerge w:val="restart"/>
            <w:tcBorders>
              <w:top w:val="single" w:sz="4" w:space="0" w:color="auto"/>
              <w:left w:val="single" w:sz="4" w:space="0" w:color="auto"/>
              <w:bottom w:val="single" w:sz="4" w:space="0" w:color="auto"/>
              <w:right w:val="nil"/>
            </w:tcBorders>
            <w:shd w:val="clear" w:color="auto" w:fill="29B95C"/>
            <w:noWrap/>
            <w:vAlign w:val="bottom"/>
            <w:hideMark/>
          </w:tcPr>
          <w:p w14:paraId="49808CE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noProof/>
                <w:color w:val="000000"/>
                <w:sz w:val="24"/>
                <w:lang w:val="es-CR" w:eastAsia="es-CR"/>
              </w:rPr>
              <w:drawing>
                <wp:anchor distT="0" distB="0" distL="114300" distR="114300" simplePos="0" relativeHeight="251687936" behindDoc="0" locked="0" layoutInCell="1" allowOverlap="1" wp14:anchorId="50DFEFBA" wp14:editId="39FC8597">
                  <wp:simplePos x="0" y="0"/>
                  <wp:positionH relativeFrom="column">
                    <wp:posOffset>165100</wp:posOffset>
                  </wp:positionH>
                  <wp:positionV relativeFrom="paragraph">
                    <wp:posOffset>-1916430</wp:posOffset>
                  </wp:positionV>
                  <wp:extent cx="869950" cy="895350"/>
                  <wp:effectExtent l="0" t="0" r="6350" b="0"/>
                  <wp:wrapNone/>
                  <wp:docPr id="30" name="Imagen 36">
                    <a:extLst xmlns:a="http://schemas.openxmlformats.org/drawingml/2006/main">
                      <a:ext uri="{FF2B5EF4-FFF2-40B4-BE49-F238E27FC236}">
                        <a16:creationId xmlns:a16="http://schemas.microsoft.com/office/drawing/2014/main" id="{00000000-0008-0000-0400-00001E000000}"/>
                      </a:ext>
                    </a:extLst>
                  </wp:docPr>
                  <wp:cNvGraphicFramePr/>
                  <a:graphic xmlns:a="http://schemas.openxmlformats.org/drawingml/2006/main">
                    <a:graphicData uri="http://schemas.openxmlformats.org/drawingml/2006/picture">
                      <pic:pic xmlns:pic="http://schemas.openxmlformats.org/drawingml/2006/picture">
                        <pic:nvPicPr>
                          <pic:cNvPr id="30" name="Picture 29">
                            <a:extLst>
                              <a:ext uri="{FF2B5EF4-FFF2-40B4-BE49-F238E27FC236}">
                                <a16:creationId xmlns:a16="http://schemas.microsoft.com/office/drawing/2014/main" id="{00000000-0008-0000-0400-00001E000000}"/>
                              </a:ext>
                            </a:extLst>
                          </pic:cNvPr>
                          <pic:cNvPicPr>
                            <a:picLocks noChangeAspect="1"/>
                          </pic:cNvPicPr>
                        </pic:nvPicPr>
                        <pic:blipFill>
                          <a:blip r:embed="rId53"/>
                          <a:stretch>
                            <a:fillRect/>
                          </a:stretch>
                        </pic:blipFill>
                        <pic:spPr>
                          <a:xfrm>
                            <a:off x="0" y="0"/>
                            <a:ext cx="869950" cy="895350"/>
                          </a:xfrm>
                          <a:prstGeom prst="rect">
                            <a:avLst/>
                          </a:prstGeom>
                        </pic:spPr>
                      </pic:pic>
                    </a:graphicData>
                  </a:graphic>
                  <wp14:sizeRelH relativeFrom="page">
                    <wp14:pctWidth>0</wp14:pctWidth>
                  </wp14:sizeRelH>
                  <wp14:sizeRelV relativeFrom="page">
                    <wp14:pctHeight>0</wp14:pctHeight>
                  </wp14:sizeRelV>
                </wp:anchor>
              </w:drawing>
            </w:r>
          </w:p>
          <w:p w14:paraId="63A9C6AA"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val="restart"/>
            <w:tcBorders>
              <w:top w:val="nil"/>
              <w:left w:val="single" w:sz="4" w:space="0" w:color="auto"/>
              <w:bottom w:val="single" w:sz="4" w:space="0" w:color="auto"/>
              <w:right w:val="single" w:sz="4" w:space="0" w:color="auto"/>
            </w:tcBorders>
            <w:shd w:val="clear" w:color="000000" w:fill="F2F2F2"/>
            <w:vAlign w:val="center"/>
            <w:hideMark/>
          </w:tcPr>
          <w:p w14:paraId="03375EAC"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r w:rsidRPr="006358A3">
              <w:rPr>
                <w:rFonts w:ascii="Calibri" w:eastAsia="Times New Roman" w:hAnsi="Calibri" w:cs="Calibri"/>
                <w:color w:val="000000"/>
                <w:sz w:val="18"/>
                <w:szCs w:val="18"/>
                <w:lang w:val="es-CR" w:eastAsia="es-CR"/>
              </w:rPr>
              <w:t xml:space="preserve">Emisiones de gases de efecto invernadero son gases (principalmente dióxido de carbono y metano) liberados a la atmósfera como resultado directo de las actividades asociadas con el proyecto. Esto incluye las emisiones como resultado directo del consumo de energía del proyecto, así como las emisiones del transporte de bienes, materias primas y servicios adquiridos. También incluye las emisiones de GEI causadas por la distribución, operación y </w:t>
            </w:r>
            <w:r w:rsidRPr="006358A3">
              <w:rPr>
                <w:rFonts w:ascii="Calibri" w:eastAsia="Times New Roman" w:hAnsi="Calibri" w:cs="Calibri"/>
                <w:color w:val="000000"/>
                <w:sz w:val="18"/>
                <w:szCs w:val="18"/>
                <w:lang w:val="es-CR" w:eastAsia="es-CR"/>
              </w:rPr>
              <w:lastRenderedPageBreak/>
              <w:t>disposición del producto del proyecto</w:t>
            </w:r>
          </w:p>
        </w:tc>
        <w:tc>
          <w:tcPr>
            <w:tcW w:w="1667" w:type="dxa"/>
            <w:tcBorders>
              <w:top w:val="nil"/>
              <w:left w:val="nil"/>
              <w:bottom w:val="single" w:sz="4" w:space="0" w:color="auto"/>
              <w:right w:val="single" w:sz="4" w:space="0" w:color="auto"/>
            </w:tcBorders>
            <w:shd w:val="clear" w:color="000000" w:fill="F2F2F2"/>
            <w:noWrap/>
            <w:vAlign w:val="center"/>
            <w:hideMark/>
          </w:tcPr>
          <w:p w14:paraId="7E37AA12"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lastRenderedPageBreak/>
              <w:t>Vida Útil</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8848095"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4E45B14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No se contabiliza la huella de carbono de los materiales y procesos utilizados durante la vida útil del proyecto.</w:t>
            </w:r>
          </w:p>
        </w:tc>
        <w:tc>
          <w:tcPr>
            <w:tcW w:w="2264" w:type="dxa"/>
            <w:gridSpan w:val="2"/>
            <w:tcBorders>
              <w:top w:val="nil"/>
              <w:left w:val="nil"/>
              <w:bottom w:val="single" w:sz="4" w:space="0" w:color="auto"/>
              <w:right w:val="single" w:sz="4" w:space="0" w:color="auto"/>
            </w:tcBorders>
            <w:hideMark/>
          </w:tcPr>
          <w:p w14:paraId="62AE4F1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Aumento de emisiones GEI en el ciclo de vida del edificio.</w:t>
            </w:r>
          </w:p>
        </w:tc>
        <w:tc>
          <w:tcPr>
            <w:tcW w:w="942" w:type="dxa"/>
            <w:tcBorders>
              <w:top w:val="nil"/>
              <w:left w:val="nil"/>
              <w:bottom w:val="single" w:sz="4" w:space="0" w:color="auto"/>
              <w:right w:val="single" w:sz="4" w:space="0" w:color="auto"/>
            </w:tcBorders>
            <w:noWrap/>
            <w:vAlign w:val="center"/>
            <w:hideMark/>
          </w:tcPr>
          <w:p w14:paraId="541C6FC8"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1995" w:type="dxa"/>
            <w:tcBorders>
              <w:top w:val="nil"/>
              <w:left w:val="nil"/>
              <w:bottom w:val="single" w:sz="4" w:space="0" w:color="auto"/>
              <w:right w:val="single" w:sz="4" w:space="0" w:color="auto"/>
            </w:tcBorders>
            <w:hideMark/>
          </w:tcPr>
          <w:p w14:paraId="61F92A5D"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Aplicar una evaluación de ciclo de vida  y seleccionar materiales con bajo contenido de carbono incorporado.</w:t>
            </w:r>
          </w:p>
        </w:tc>
        <w:tc>
          <w:tcPr>
            <w:tcW w:w="1140" w:type="dxa"/>
            <w:gridSpan w:val="3"/>
            <w:tcBorders>
              <w:top w:val="nil"/>
              <w:left w:val="nil"/>
              <w:bottom w:val="single" w:sz="4" w:space="0" w:color="auto"/>
              <w:right w:val="single" w:sz="4" w:space="0" w:color="auto"/>
            </w:tcBorders>
            <w:noWrap/>
            <w:vAlign w:val="center"/>
            <w:hideMark/>
          </w:tcPr>
          <w:p w14:paraId="2EDB2267"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5</w:t>
            </w:r>
          </w:p>
        </w:tc>
        <w:tc>
          <w:tcPr>
            <w:tcW w:w="883" w:type="dxa"/>
            <w:tcBorders>
              <w:top w:val="nil"/>
              <w:left w:val="nil"/>
              <w:bottom w:val="single" w:sz="4" w:space="0" w:color="auto"/>
              <w:right w:val="single" w:sz="4" w:space="0" w:color="auto"/>
            </w:tcBorders>
            <w:noWrap/>
            <w:vAlign w:val="center"/>
            <w:hideMark/>
          </w:tcPr>
          <w:p w14:paraId="27C3A37C"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17638C4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Mayor sostenibilidad a largo plazo y cumplimiento de metas climáticas.</w:t>
            </w:r>
          </w:p>
        </w:tc>
      </w:tr>
      <w:tr w:rsidR="00F212FE" w:rsidRPr="006358A3" w14:paraId="28544E43" w14:textId="77777777" w:rsidTr="0055381F">
        <w:trPr>
          <w:gridAfter w:val="4"/>
          <w:wAfter w:w="2761" w:type="dxa"/>
          <w:trHeight w:val="1550"/>
        </w:trPr>
        <w:tc>
          <w:tcPr>
            <w:tcW w:w="1990" w:type="dxa"/>
            <w:vMerge/>
            <w:tcBorders>
              <w:top w:val="single" w:sz="4" w:space="0" w:color="auto"/>
              <w:left w:val="single" w:sz="4" w:space="0" w:color="auto"/>
              <w:bottom w:val="single" w:sz="4" w:space="0" w:color="auto"/>
              <w:right w:val="nil"/>
            </w:tcBorders>
            <w:shd w:val="clear" w:color="auto" w:fill="29B95C"/>
            <w:vAlign w:val="center"/>
            <w:hideMark/>
          </w:tcPr>
          <w:p w14:paraId="25D5EC80"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1ADEABB1"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6B6D59D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Mantenimiento</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D1BDA27"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108CF698"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Las actividades de mantenimiento generan emisiones indirectas, pero no se monitorean ni se planifican para mitigarlas.</w:t>
            </w:r>
          </w:p>
        </w:tc>
        <w:tc>
          <w:tcPr>
            <w:tcW w:w="2264" w:type="dxa"/>
            <w:gridSpan w:val="2"/>
            <w:tcBorders>
              <w:top w:val="nil"/>
              <w:left w:val="nil"/>
              <w:bottom w:val="single" w:sz="4" w:space="0" w:color="auto"/>
              <w:right w:val="single" w:sz="4" w:space="0" w:color="auto"/>
            </w:tcBorders>
            <w:hideMark/>
          </w:tcPr>
          <w:p w14:paraId="0ADCD25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Emisiones recurrentes no gestionadas.</w:t>
            </w:r>
          </w:p>
        </w:tc>
        <w:tc>
          <w:tcPr>
            <w:tcW w:w="942" w:type="dxa"/>
            <w:tcBorders>
              <w:top w:val="nil"/>
              <w:left w:val="nil"/>
              <w:bottom w:val="single" w:sz="4" w:space="0" w:color="auto"/>
              <w:right w:val="single" w:sz="4" w:space="0" w:color="auto"/>
            </w:tcBorders>
            <w:noWrap/>
            <w:vAlign w:val="center"/>
            <w:hideMark/>
          </w:tcPr>
          <w:p w14:paraId="547DA154"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72A2F1EC"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Incluir criterios de bajas emisiones en los protocolos de mantenimiento y optimizar desplazamientos de personal técnico.</w:t>
            </w:r>
          </w:p>
        </w:tc>
        <w:tc>
          <w:tcPr>
            <w:tcW w:w="1140" w:type="dxa"/>
            <w:gridSpan w:val="3"/>
            <w:tcBorders>
              <w:top w:val="nil"/>
              <w:left w:val="nil"/>
              <w:bottom w:val="single" w:sz="4" w:space="0" w:color="auto"/>
              <w:right w:val="single" w:sz="4" w:space="0" w:color="auto"/>
            </w:tcBorders>
            <w:noWrap/>
            <w:vAlign w:val="center"/>
            <w:hideMark/>
          </w:tcPr>
          <w:p w14:paraId="7027E5D7"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45A953BA"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0BFDF2B2"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Menor impacto ambiental durante la operación continua.</w:t>
            </w:r>
          </w:p>
        </w:tc>
      </w:tr>
      <w:tr w:rsidR="00F212FE" w:rsidRPr="006358A3" w14:paraId="35C6A28D" w14:textId="77777777" w:rsidTr="0055381F">
        <w:trPr>
          <w:gridAfter w:val="4"/>
          <w:wAfter w:w="2761" w:type="dxa"/>
          <w:trHeight w:val="1550"/>
        </w:trPr>
        <w:tc>
          <w:tcPr>
            <w:tcW w:w="1990" w:type="dxa"/>
            <w:vMerge/>
            <w:tcBorders>
              <w:top w:val="single" w:sz="4" w:space="0" w:color="auto"/>
              <w:left w:val="single" w:sz="4" w:space="0" w:color="auto"/>
              <w:bottom w:val="single" w:sz="4" w:space="0" w:color="auto"/>
              <w:right w:val="nil"/>
            </w:tcBorders>
            <w:shd w:val="clear" w:color="auto" w:fill="29B95C"/>
            <w:vAlign w:val="center"/>
            <w:hideMark/>
          </w:tcPr>
          <w:p w14:paraId="454B31A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70BC1720"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7AD0097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Eficacia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A079776"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304A4822"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No se consideran los impactos de las emisiones en la planificación temprana del proyecto.</w:t>
            </w:r>
          </w:p>
        </w:tc>
        <w:tc>
          <w:tcPr>
            <w:tcW w:w="2264" w:type="dxa"/>
            <w:gridSpan w:val="2"/>
            <w:tcBorders>
              <w:top w:val="nil"/>
              <w:left w:val="nil"/>
              <w:bottom w:val="single" w:sz="4" w:space="0" w:color="auto"/>
              <w:right w:val="single" w:sz="4" w:space="0" w:color="auto"/>
            </w:tcBorders>
            <w:hideMark/>
          </w:tcPr>
          <w:p w14:paraId="2CBE1805"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Reducción de eficacia ambiental.</w:t>
            </w:r>
          </w:p>
        </w:tc>
        <w:tc>
          <w:tcPr>
            <w:tcW w:w="942" w:type="dxa"/>
            <w:tcBorders>
              <w:top w:val="nil"/>
              <w:left w:val="nil"/>
              <w:bottom w:val="single" w:sz="4" w:space="0" w:color="auto"/>
              <w:right w:val="single" w:sz="4" w:space="0" w:color="auto"/>
            </w:tcBorders>
            <w:noWrap/>
            <w:vAlign w:val="center"/>
            <w:hideMark/>
          </w:tcPr>
          <w:p w14:paraId="13AC3F3A"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52024B8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Establecer metas de reducción de emisiones para cada fase del proyecto y capacitar al equipo técnico en construcción sostenible.</w:t>
            </w:r>
          </w:p>
        </w:tc>
        <w:tc>
          <w:tcPr>
            <w:tcW w:w="1140" w:type="dxa"/>
            <w:gridSpan w:val="3"/>
            <w:tcBorders>
              <w:top w:val="nil"/>
              <w:left w:val="nil"/>
              <w:bottom w:val="single" w:sz="4" w:space="0" w:color="auto"/>
              <w:right w:val="single" w:sz="4" w:space="0" w:color="auto"/>
            </w:tcBorders>
            <w:noWrap/>
            <w:vAlign w:val="center"/>
            <w:hideMark/>
          </w:tcPr>
          <w:p w14:paraId="3D17F0AD"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5A790200"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6F4E9C1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Se integran criterios climáticos desde la etapa de diseño, mejorando la coherencia con objetivos ambientales.</w:t>
            </w:r>
          </w:p>
        </w:tc>
      </w:tr>
      <w:tr w:rsidR="00F212FE" w:rsidRPr="006358A3" w14:paraId="21D68254" w14:textId="77777777" w:rsidTr="0055381F">
        <w:trPr>
          <w:gridAfter w:val="4"/>
          <w:wAfter w:w="2761" w:type="dxa"/>
          <w:trHeight w:val="1240"/>
        </w:trPr>
        <w:tc>
          <w:tcPr>
            <w:tcW w:w="1990" w:type="dxa"/>
            <w:vMerge/>
            <w:tcBorders>
              <w:top w:val="single" w:sz="4" w:space="0" w:color="auto"/>
              <w:left w:val="single" w:sz="4" w:space="0" w:color="auto"/>
              <w:bottom w:val="single" w:sz="4" w:space="0" w:color="auto"/>
              <w:right w:val="nil"/>
            </w:tcBorders>
            <w:shd w:val="clear" w:color="auto" w:fill="29B95C"/>
            <w:vAlign w:val="center"/>
            <w:hideMark/>
          </w:tcPr>
          <w:p w14:paraId="2056DBA8"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3F358D1B"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04730CD2"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Eficiencia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CBF76C1"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683BB93B"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El uso intensivo de transporte y maquinaria genera emisiones evitables por falta de planificación logística.</w:t>
            </w:r>
          </w:p>
        </w:tc>
        <w:tc>
          <w:tcPr>
            <w:tcW w:w="2264" w:type="dxa"/>
            <w:gridSpan w:val="2"/>
            <w:tcBorders>
              <w:top w:val="nil"/>
              <w:left w:val="nil"/>
              <w:bottom w:val="single" w:sz="4" w:space="0" w:color="auto"/>
              <w:right w:val="single" w:sz="4" w:space="0" w:color="auto"/>
            </w:tcBorders>
            <w:hideMark/>
          </w:tcPr>
          <w:p w14:paraId="563DF495"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Ineficiencia en el uso de recursos energéticos.</w:t>
            </w:r>
          </w:p>
        </w:tc>
        <w:tc>
          <w:tcPr>
            <w:tcW w:w="942" w:type="dxa"/>
            <w:tcBorders>
              <w:top w:val="nil"/>
              <w:left w:val="nil"/>
              <w:bottom w:val="single" w:sz="4" w:space="0" w:color="auto"/>
              <w:right w:val="single" w:sz="4" w:space="0" w:color="auto"/>
            </w:tcBorders>
            <w:noWrap/>
            <w:vAlign w:val="center"/>
            <w:hideMark/>
          </w:tcPr>
          <w:p w14:paraId="21DCE467"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1995" w:type="dxa"/>
            <w:tcBorders>
              <w:top w:val="nil"/>
              <w:left w:val="nil"/>
              <w:bottom w:val="single" w:sz="4" w:space="0" w:color="auto"/>
              <w:right w:val="single" w:sz="4" w:space="0" w:color="auto"/>
            </w:tcBorders>
            <w:hideMark/>
          </w:tcPr>
          <w:p w14:paraId="323308F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Optimizar rutas, usar transporte compartido y maquinaria con estándares de eficiencia energética.</w:t>
            </w:r>
          </w:p>
        </w:tc>
        <w:tc>
          <w:tcPr>
            <w:tcW w:w="1140" w:type="dxa"/>
            <w:gridSpan w:val="3"/>
            <w:tcBorders>
              <w:top w:val="nil"/>
              <w:left w:val="nil"/>
              <w:bottom w:val="single" w:sz="4" w:space="0" w:color="auto"/>
              <w:right w:val="single" w:sz="4" w:space="0" w:color="auto"/>
            </w:tcBorders>
            <w:noWrap/>
            <w:vAlign w:val="center"/>
            <w:hideMark/>
          </w:tcPr>
          <w:p w14:paraId="6AEB41B2"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5</w:t>
            </w:r>
          </w:p>
        </w:tc>
        <w:tc>
          <w:tcPr>
            <w:tcW w:w="883" w:type="dxa"/>
            <w:tcBorders>
              <w:top w:val="nil"/>
              <w:left w:val="nil"/>
              <w:bottom w:val="single" w:sz="4" w:space="0" w:color="auto"/>
              <w:right w:val="single" w:sz="4" w:space="0" w:color="auto"/>
            </w:tcBorders>
            <w:noWrap/>
            <w:vAlign w:val="center"/>
            <w:hideMark/>
          </w:tcPr>
          <w:p w14:paraId="5E442753"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77A57716"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Reducción significativa de emisiones y costos operativos.</w:t>
            </w:r>
          </w:p>
        </w:tc>
      </w:tr>
      <w:tr w:rsidR="00F212FE" w:rsidRPr="006358A3" w14:paraId="0F529565" w14:textId="77777777" w:rsidTr="0055381F">
        <w:trPr>
          <w:gridAfter w:val="4"/>
          <w:wAfter w:w="2761" w:type="dxa"/>
          <w:trHeight w:val="1860"/>
        </w:trPr>
        <w:tc>
          <w:tcPr>
            <w:tcW w:w="1990" w:type="dxa"/>
            <w:vMerge/>
            <w:tcBorders>
              <w:top w:val="single" w:sz="4" w:space="0" w:color="auto"/>
              <w:left w:val="single" w:sz="4" w:space="0" w:color="auto"/>
              <w:bottom w:val="single" w:sz="4" w:space="0" w:color="auto"/>
              <w:right w:val="nil"/>
            </w:tcBorders>
            <w:shd w:val="clear" w:color="auto" w:fill="29B95C"/>
            <w:vAlign w:val="center"/>
            <w:hideMark/>
          </w:tcPr>
          <w:p w14:paraId="3D52836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218779FB"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655F662D"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Imparcialidad</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7DFBDF1"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7D86881C"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Las emisiones generadas por el proyecto pueden afectar desproporcionadamente a comunidades cercanas sin mecanismos de compensación.</w:t>
            </w:r>
          </w:p>
        </w:tc>
        <w:tc>
          <w:tcPr>
            <w:tcW w:w="2264" w:type="dxa"/>
            <w:gridSpan w:val="2"/>
            <w:tcBorders>
              <w:top w:val="nil"/>
              <w:left w:val="nil"/>
              <w:bottom w:val="single" w:sz="4" w:space="0" w:color="auto"/>
              <w:right w:val="single" w:sz="4" w:space="0" w:color="auto"/>
            </w:tcBorders>
            <w:hideMark/>
          </w:tcPr>
          <w:p w14:paraId="2D2097E7" w14:textId="77777777" w:rsidR="00F212FE"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Inequidad en la distribución de los impactos.</w:t>
            </w:r>
          </w:p>
          <w:p w14:paraId="56704AF7" w14:textId="77777777" w:rsidR="00F212FE" w:rsidRDefault="00F212FE" w:rsidP="0055381F">
            <w:pPr>
              <w:rPr>
                <w:rFonts w:ascii="Calibri" w:eastAsia="Times New Roman" w:hAnsi="Calibri" w:cs="Calibri"/>
                <w:color w:val="000000"/>
                <w:sz w:val="24"/>
                <w:lang w:val="es-CR" w:eastAsia="es-CR"/>
              </w:rPr>
            </w:pPr>
          </w:p>
          <w:p w14:paraId="2CF8BB9A" w14:textId="77777777" w:rsidR="00F212FE" w:rsidRPr="00825784" w:rsidRDefault="00F212FE" w:rsidP="0055381F">
            <w:pPr>
              <w:rPr>
                <w:rFonts w:ascii="Calibri" w:eastAsia="Times New Roman" w:hAnsi="Calibri" w:cs="Calibri"/>
                <w:sz w:val="24"/>
                <w:lang w:val="es-CR" w:eastAsia="es-CR"/>
              </w:rPr>
            </w:pPr>
          </w:p>
        </w:tc>
        <w:tc>
          <w:tcPr>
            <w:tcW w:w="942" w:type="dxa"/>
            <w:tcBorders>
              <w:top w:val="nil"/>
              <w:left w:val="nil"/>
              <w:bottom w:val="single" w:sz="4" w:space="0" w:color="auto"/>
              <w:right w:val="single" w:sz="4" w:space="0" w:color="auto"/>
            </w:tcBorders>
            <w:noWrap/>
            <w:vAlign w:val="center"/>
            <w:hideMark/>
          </w:tcPr>
          <w:p w14:paraId="5D41BC90"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3DEBD44D"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Establecer estrategias de mitigación comunitaria y comunicación transparente sobre impactos ambientales.</w:t>
            </w:r>
          </w:p>
        </w:tc>
        <w:tc>
          <w:tcPr>
            <w:tcW w:w="1140" w:type="dxa"/>
            <w:gridSpan w:val="3"/>
            <w:tcBorders>
              <w:top w:val="nil"/>
              <w:left w:val="nil"/>
              <w:bottom w:val="single" w:sz="4" w:space="0" w:color="auto"/>
              <w:right w:val="single" w:sz="4" w:space="0" w:color="auto"/>
            </w:tcBorders>
            <w:noWrap/>
            <w:vAlign w:val="center"/>
            <w:hideMark/>
          </w:tcPr>
          <w:p w14:paraId="1B3C6EB5"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786FDC55"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7664AD20"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Mejora la relación con stakeholders y garantiza justicia ambiental.</w:t>
            </w:r>
          </w:p>
        </w:tc>
      </w:tr>
      <w:tr w:rsidR="00F212FE" w:rsidRPr="006358A3" w14:paraId="4F92EB6E" w14:textId="77777777" w:rsidTr="0055381F">
        <w:trPr>
          <w:gridAfter w:val="4"/>
          <w:wAfter w:w="2761" w:type="dxa"/>
          <w:trHeight w:val="1550"/>
        </w:trPr>
        <w:tc>
          <w:tcPr>
            <w:tcW w:w="1990" w:type="dxa"/>
            <w:vMerge w:val="restart"/>
            <w:tcBorders>
              <w:top w:val="single" w:sz="4" w:space="0" w:color="auto"/>
              <w:left w:val="single" w:sz="4" w:space="0" w:color="auto"/>
              <w:bottom w:val="single" w:sz="4" w:space="0" w:color="auto"/>
              <w:right w:val="nil"/>
            </w:tcBorders>
            <w:shd w:val="clear" w:color="auto" w:fill="29B95C"/>
            <w:noWrap/>
            <w:vAlign w:val="bottom"/>
            <w:hideMark/>
          </w:tcPr>
          <w:p w14:paraId="6E3A056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noProof/>
                <w:color w:val="000000"/>
                <w:sz w:val="24"/>
                <w:lang w:val="es-CR" w:eastAsia="es-CR"/>
              </w:rPr>
              <w:drawing>
                <wp:anchor distT="0" distB="0" distL="114300" distR="114300" simplePos="0" relativeHeight="251688960" behindDoc="0" locked="0" layoutInCell="1" allowOverlap="1" wp14:anchorId="279DD596" wp14:editId="6D17AC43">
                  <wp:simplePos x="0" y="0"/>
                  <wp:positionH relativeFrom="column">
                    <wp:posOffset>163195</wp:posOffset>
                  </wp:positionH>
                  <wp:positionV relativeFrom="paragraph">
                    <wp:posOffset>-1395095</wp:posOffset>
                  </wp:positionV>
                  <wp:extent cx="876300" cy="889000"/>
                  <wp:effectExtent l="0" t="0" r="0" b="6350"/>
                  <wp:wrapNone/>
                  <wp:docPr id="32" name="Imagen 35">
                    <a:extLst xmlns:a="http://schemas.openxmlformats.org/drawingml/2006/main">
                      <a:ext uri="{FF2B5EF4-FFF2-40B4-BE49-F238E27FC236}">
                        <a16:creationId xmlns:a16="http://schemas.microsoft.com/office/drawing/2014/main" id="{00000000-0008-0000-0400-000020000000}"/>
                      </a:ext>
                    </a:extLst>
                  </wp:docPr>
                  <wp:cNvGraphicFramePr/>
                  <a:graphic xmlns:a="http://schemas.openxmlformats.org/drawingml/2006/main">
                    <a:graphicData uri="http://schemas.openxmlformats.org/drawingml/2006/picture">
                      <pic:pic xmlns:pic="http://schemas.openxmlformats.org/drawingml/2006/picture">
                        <pic:nvPicPr>
                          <pic:cNvPr id="32" name="Picture 31">
                            <a:extLst>
                              <a:ext uri="{FF2B5EF4-FFF2-40B4-BE49-F238E27FC236}">
                                <a16:creationId xmlns:a16="http://schemas.microsoft.com/office/drawing/2014/main" id="{00000000-0008-0000-0400-000020000000}"/>
                              </a:ext>
                            </a:extLst>
                          </pic:cNvPr>
                          <pic:cNvPicPr>
                            <a:picLocks noChangeAspect="1"/>
                          </pic:cNvPicPr>
                        </pic:nvPicPr>
                        <pic:blipFill>
                          <a:blip r:embed="rId54"/>
                          <a:stretch>
                            <a:fillRect/>
                          </a:stretch>
                        </pic:blipFill>
                        <pic:spPr>
                          <a:xfrm>
                            <a:off x="0" y="0"/>
                            <a:ext cx="876300" cy="889000"/>
                          </a:xfrm>
                          <a:prstGeom prst="rect">
                            <a:avLst/>
                          </a:prstGeom>
                        </pic:spPr>
                      </pic:pic>
                    </a:graphicData>
                  </a:graphic>
                  <wp14:sizeRelH relativeFrom="page">
                    <wp14:pctWidth>0</wp14:pctWidth>
                  </wp14:sizeRelH>
                  <wp14:sizeRelV relativeFrom="page">
                    <wp14:pctHeight>0</wp14:pctHeight>
                  </wp14:sizeRelV>
                </wp:anchor>
              </w:drawing>
            </w:r>
          </w:p>
          <w:p w14:paraId="42EE25B9"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val="restart"/>
            <w:tcBorders>
              <w:top w:val="nil"/>
              <w:left w:val="single" w:sz="4" w:space="0" w:color="auto"/>
              <w:bottom w:val="single" w:sz="4" w:space="0" w:color="auto"/>
              <w:right w:val="single" w:sz="4" w:space="0" w:color="auto"/>
            </w:tcBorders>
            <w:shd w:val="clear" w:color="000000" w:fill="F2F2F2"/>
            <w:vAlign w:val="center"/>
            <w:hideMark/>
          </w:tcPr>
          <w:p w14:paraId="4529F3DD"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r w:rsidRPr="006358A3">
              <w:rPr>
                <w:rFonts w:ascii="Calibri" w:eastAsia="Times New Roman" w:hAnsi="Calibri" w:cs="Calibri"/>
                <w:color w:val="000000"/>
                <w:sz w:val="18"/>
                <w:szCs w:val="18"/>
                <w:lang w:val="es-CR" w:eastAsia="es-CR"/>
              </w:rPr>
              <w:t>Energía renovable, también llamada energía alternativa, es energía generada a partir de fuentes que se reponen a un ritmo más rápido de lo que se consumen. Estas fuentes incluyen energía solar, eólica, hidráulica y geotérmica.</w:t>
            </w:r>
            <w:r w:rsidRPr="006358A3">
              <w:rPr>
                <w:rFonts w:ascii="Calibri" w:eastAsia="Times New Roman" w:hAnsi="Calibri" w:cs="Calibri"/>
                <w:color w:val="000000"/>
                <w:sz w:val="18"/>
                <w:szCs w:val="18"/>
                <w:lang w:val="es-CR" w:eastAsia="es-CR"/>
              </w:rPr>
              <w:br/>
            </w:r>
            <w:r w:rsidRPr="006358A3">
              <w:rPr>
                <w:rFonts w:ascii="Calibri" w:eastAsia="Times New Roman" w:hAnsi="Calibri" w:cs="Calibri"/>
                <w:color w:val="000000"/>
                <w:sz w:val="18"/>
                <w:szCs w:val="18"/>
                <w:lang w:val="es-CR" w:eastAsia="es-CR"/>
              </w:rPr>
              <w:br/>
              <w:t xml:space="preserve">Retorno de energía limpia (Clean energy return -CER) se refiere a la cantidad de energía renovable generada por el proyecto o el producto del proyecto que excede la cantidad necesaria. El CER normalmente se </w:t>
            </w:r>
            <w:r w:rsidRPr="006358A3">
              <w:rPr>
                <w:rFonts w:ascii="Calibri" w:eastAsia="Times New Roman" w:hAnsi="Calibri" w:cs="Calibri"/>
                <w:color w:val="000000"/>
                <w:sz w:val="18"/>
                <w:szCs w:val="18"/>
                <w:lang w:val="es-CR" w:eastAsia="es-CR"/>
              </w:rPr>
              <w:lastRenderedPageBreak/>
              <w:t>devuelve a la red para que lo usen otros.</w:t>
            </w:r>
          </w:p>
        </w:tc>
        <w:tc>
          <w:tcPr>
            <w:tcW w:w="1667" w:type="dxa"/>
            <w:tcBorders>
              <w:top w:val="nil"/>
              <w:left w:val="nil"/>
              <w:bottom w:val="single" w:sz="4" w:space="0" w:color="auto"/>
              <w:right w:val="single" w:sz="4" w:space="0" w:color="auto"/>
            </w:tcBorders>
            <w:shd w:val="clear" w:color="000000" w:fill="F2F2F2"/>
            <w:noWrap/>
            <w:vAlign w:val="center"/>
            <w:hideMark/>
          </w:tcPr>
          <w:p w14:paraId="757D2DF6"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lastRenderedPageBreak/>
              <w:t>Vida Útil</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E593DE9"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20A9041D"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El diseño de las oficinas no contempla el uso de energía renovable a largo plazo.</w:t>
            </w:r>
          </w:p>
        </w:tc>
        <w:tc>
          <w:tcPr>
            <w:tcW w:w="2264" w:type="dxa"/>
            <w:gridSpan w:val="2"/>
            <w:tcBorders>
              <w:top w:val="nil"/>
              <w:left w:val="nil"/>
              <w:bottom w:val="single" w:sz="4" w:space="0" w:color="auto"/>
              <w:right w:val="single" w:sz="4" w:space="0" w:color="auto"/>
            </w:tcBorders>
            <w:hideMark/>
          </w:tcPr>
          <w:p w14:paraId="0F0F98AA"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Mayor dependencia de fuentes no renovables.</w:t>
            </w:r>
          </w:p>
        </w:tc>
        <w:tc>
          <w:tcPr>
            <w:tcW w:w="942" w:type="dxa"/>
            <w:tcBorders>
              <w:top w:val="nil"/>
              <w:left w:val="nil"/>
              <w:bottom w:val="single" w:sz="4" w:space="0" w:color="auto"/>
              <w:right w:val="single" w:sz="4" w:space="0" w:color="auto"/>
            </w:tcBorders>
            <w:noWrap/>
            <w:vAlign w:val="center"/>
            <w:hideMark/>
          </w:tcPr>
          <w:p w14:paraId="64607A36"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643D5C41"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Integrar sistemas de energía solar (paneles) desde la etapa de diseño, orientados a maximizar la eficiencia energética del edificio.</w:t>
            </w:r>
          </w:p>
        </w:tc>
        <w:tc>
          <w:tcPr>
            <w:tcW w:w="1140" w:type="dxa"/>
            <w:gridSpan w:val="3"/>
            <w:tcBorders>
              <w:top w:val="nil"/>
              <w:left w:val="nil"/>
              <w:bottom w:val="single" w:sz="4" w:space="0" w:color="auto"/>
              <w:right w:val="single" w:sz="4" w:space="0" w:color="auto"/>
            </w:tcBorders>
            <w:noWrap/>
            <w:vAlign w:val="center"/>
            <w:hideMark/>
          </w:tcPr>
          <w:p w14:paraId="2109265F"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7711CE8B"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012DA801"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Mejora la resiliencia energética del proyecto y reduce el impacto climático a largo plazo.</w:t>
            </w:r>
          </w:p>
        </w:tc>
      </w:tr>
      <w:tr w:rsidR="00F212FE" w:rsidRPr="006358A3" w14:paraId="40990E30" w14:textId="77777777" w:rsidTr="0055381F">
        <w:trPr>
          <w:gridAfter w:val="4"/>
          <w:wAfter w:w="2761" w:type="dxa"/>
          <w:trHeight w:val="1240"/>
        </w:trPr>
        <w:tc>
          <w:tcPr>
            <w:tcW w:w="1990" w:type="dxa"/>
            <w:vMerge/>
            <w:tcBorders>
              <w:top w:val="single" w:sz="4" w:space="0" w:color="auto"/>
              <w:left w:val="single" w:sz="4" w:space="0" w:color="auto"/>
              <w:bottom w:val="single" w:sz="4" w:space="0" w:color="auto"/>
              <w:right w:val="nil"/>
            </w:tcBorders>
            <w:shd w:val="clear" w:color="auto" w:fill="29B95C"/>
            <w:vAlign w:val="center"/>
            <w:hideMark/>
          </w:tcPr>
          <w:p w14:paraId="525EB639"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16819727"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049082F8"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Mantenimiento</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6FD28BB"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29105019"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No hay planificación para el mantenimiento preventivo de tecnologías renovables instaladas.</w:t>
            </w:r>
          </w:p>
        </w:tc>
        <w:tc>
          <w:tcPr>
            <w:tcW w:w="2264" w:type="dxa"/>
            <w:gridSpan w:val="2"/>
            <w:tcBorders>
              <w:top w:val="nil"/>
              <w:left w:val="nil"/>
              <w:bottom w:val="single" w:sz="4" w:space="0" w:color="auto"/>
              <w:right w:val="single" w:sz="4" w:space="0" w:color="auto"/>
            </w:tcBorders>
            <w:hideMark/>
          </w:tcPr>
          <w:p w14:paraId="71DD917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Degradación del sistema y menor retorno de inversión ambiental.</w:t>
            </w:r>
          </w:p>
        </w:tc>
        <w:tc>
          <w:tcPr>
            <w:tcW w:w="942" w:type="dxa"/>
            <w:tcBorders>
              <w:top w:val="nil"/>
              <w:left w:val="nil"/>
              <w:bottom w:val="single" w:sz="4" w:space="0" w:color="auto"/>
              <w:right w:val="single" w:sz="4" w:space="0" w:color="auto"/>
            </w:tcBorders>
            <w:noWrap/>
            <w:vAlign w:val="center"/>
            <w:hideMark/>
          </w:tcPr>
          <w:p w14:paraId="5C227FE2"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3290F278"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Incluir un programa de mantenimiento técnico anual para paneles solares y sistemas asociados.</w:t>
            </w:r>
          </w:p>
        </w:tc>
        <w:tc>
          <w:tcPr>
            <w:tcW w:w="1140" w:type="dxa"/>
            <w:gridSpan w:val="3"/>
            <w:tcBorders>
              <w:top w:val="nil"/>
              <w:left w:val="nil"/>
              <w:bottom w:val="single" w:sz="4" w:space="0" w:color="auto"/>
              <w:right w:val="single" w:sz="4" w:space="0" w:color="auto"/>
            </w:tcBorders>
            <w:noWrap/>
            <w:vAlign w:val="center"/>
            <w:hideMark/>
          </w:tcPr>
          <w:p w14:paraId="7DB2B89C"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4C6142C4"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4A4B2A0D"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Se prolonga la vida útil del sistema y se asegura el rendimiento energético.</w:t>
            </w:r>
          </w:p>
        </w:tc>
      </w:tr>
      <w:tr w:rsidR="00F212FE" w:rsidRPr="006358A3" w14:paraId="7EB70618" w14:textId="77777777" w:rsidTr="0055381F">
        <w:trPr>
          <w:gridAfter w:val="4"/>
          <w:wAfter w:w="2761" w:type="dxa"/>
          <w:trHeight w:val="1240"/>
        </w:trPr>
        <w:tc>
          <w:tcPr>
            <w:tcW w:w="1990" w:type="dxa"/>
            <w:vMerge/>
            <w:tcBorders>
              <w:top w:val="single" w:sz="4" w:space="0" w:color="auto"/>
              <w:left w:val="single" w:sz="4" w:space="0" w:color="auto"/>
              <w:bottom w:val="single" w:sz="4" w:space="0" w:color="auto"/>
              <w:right w:val="nil"/>
            </w:tcBorders>
            <w:shd w:val="clear" w:color="auto" w:fill="29B95C"/>
            <w:vAlign w:val="center"/>
            <w:hideMark/>
          </w:tcPr>
          <w:p w14:paraId="4AC21CA1"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13D13A7C"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5CBD7366"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Eficacia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B00ED6A"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1DA0E1CA"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No se evalúa la posibilidad de generar CER y su contribución a los objetivos de sostenibilidad.</w:t>
            </w:r>
          </w:p>
        </w:tc>
        <w:tc>
          <w:tcPr>
            <w:tcW w:w="2264" w:type="dxa"/>
            <w:gridSpan w:val="2"/>
            <w:tcBorders>
              <w:top w:val="nil"/>
              <w:left w:val="nil"/>
              <w:bottom w:val="single" w:sz="4" w:space="0" w:color="auto"/>
              <w:right w:val="single" w:sz="4" w:space="0" w:color="auto"/>
            </w:tcBorders>
            <w:hideMark/>
          </w:tcPr>
          <w:p w14:paraId="4002B39C"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Subutilización del potencial del proyecto.</w:t>
            </w:r>
          </w:p>
        </w:tc>
        <w:tc>
          <w:tcPr>
            <w:tcW w:w="942" w:type="dxa"/>
            <w:tcBorders>
              <w:top w:val="nil"/>
              <w:left w:val="nil"/>
              <w:bottom w:val="single" w:sz="4" w:space="0" w:color="auto"/>
              <w:right w:val="single" w:sz="4" w:space="0" w:color="auto"/>
            </w:tcBorders>
            <w:noWrap/>
            <w:vAlign w:val="center"/>
            <w:hideMark/>
          </w:tcPr>
          <w:p w14:paraId="42B14E79"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1995" w:type="dxa"/>
            <w:tcBorders>
              <w:top w:val="nil"/>
              <w:left w:val="nil"/>
              <w:bottom w:val="single" w:sz="4" w:space="0" w:color="auto"/>
              <w:right w:val="single" w:sz="4" w:space="0" w:color="auto"/>
            </w:tcBorders>
            <w:hideMark/>
          </w:tcPr>
          <w:p w14:paraId="271C59E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Realizar un análisis de generación excedente (CER) e integrarlo como indicador en los reportes de sostenibilidad.</w:t>
            </w:r>
          </w:p>
        </w:tc>
        <w:tc>
          <w:tcPr>
            <w:tcW w:w="1140" w:type="dxa"/>
            <w:gridSpan w:val="3"/>
            <w:tcBorders>
              <w:top w:val="nil"/>
              <w:left w:val="nil"/>
              <w:bottom w:val="single" w:sz="4" w:space="0" w:color="auto"/>
              <w:right w:val="single" w:sz="4" w:space="0" w:color="auto"/>
            </w:tcBorders>
            <w:noWrap/>
            <w:vAlign w:val="center"/>
            <w:hideMark/>
          </w:tcPr>
          <w:p w14:paraId="05B142D1"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5</w:t>
            </w:r>
          </w:p>
        </w:tc>
        <w:tc>
          <w:tcPr>
            <w:tcW w:w="883" w:type="dxa"/>
            <w:tcBorders>
              <w:top w:val="nil"/>
              <w:left w:val="nil"/>
              <w:bottom w:val="single" w:sz="4" w:space="0" w:color="auto"/>
              <w:right w:val="single" w:sz="4" w:space="0" w:color="auto"/>
            </w:tcBorders>
            <w:noWrap/>
            <w:vAlign w:val="center"/>
            <w:hideMark/>
          </w:tcPr>
          <w:p w14:paraId="7C5D0E3C"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18F80A7C"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El proyecto aporta positivamente al entorno energético del país.</w:t>
            </w:r>
          </w:p>
        </w:tc>
      </w:tr>
      <w:tr w:rsidR="00F212FE" w:rsidRPr="006358A3" w14:paraId="72E58C1A" w14:textId="77777777" w:rsidTr="0055381F">
        <w:trPr>
          <w:gridAfter w:val="4"/>
          <w:wAfter w:w="2761" w:type="dxa"/>
          <w:trHeight w:val="1240"/>
        </w:trPr>
        <w:tc>
          <w:tcPr>
            <w:tcW w:w="1990" w:type="dxa"/>
            <w:vMerge/>
            <w:tcBorders>
              <w:top w:val="single" w:sz="4" w:space="0" w:color="auto"/>
              <w:left w:val="single" w:sz="4" w:space="0" w:color="auto"/>
              <w:bottom w:val="single" w:sz="4" w:space="0" w:color="auto"/>
              <w:right w:val="nil"/>
            </w:tcBorders>
            <w:shd w:val="clear" w:color="auto" w:fill="29B95C"/>
            <w:vAlign w:val="center"/>
            <w:hideMark/>
          </w:tcPr>
          <w:p w14:paraId="4E71B8C2"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7BC9D5FF"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09238A95"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Eficiencia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3881BD2"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07A008C8"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El consumo energético depende completamente de la red pública, sin eficiencia interna.</w:t>
            </w:r>
          </w:p>
        </w:tc>
        <w:tc>
          <w:tcPr>
            <w:tcW w:w="2264" w:type="dxa"/>
            <w:gridSpan w:val="2"/>
            <w:tcBorders>
              <w:top w:val="nil"/>
              <w:left w:val="nil"/>
              <w:bottom w:val="single" w:sz="4" w:space="0" w:color="auto"/>
              <w:right w:val="single" w:sz="4" w:space="0" w:color="auto"/>
            </w:tcBorders>
            <w:hideMark/>
          </w:tcPr>
          <w:p w14:paraId="217D8AB1"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Mayores costos y huella de carbono.</w:t>
            </w:r>
          </w:p>
        </w:tc>
        <w:tc>
          <w:tcPr>
            <w:tcW w:w="942" w:type="dxa"/>
            <w:tcBorders>
              <w:top w:val="nil"/>
              <w:left w:val="nil"/>
              <w:bottom w:val="single" w:sz="4" w:space="0" w:color="auto"/>
              <w:right w:val="single" w:sz="4" w:space="0" w:color="auto"/>
            </w:tcBorders>
            <w:noWrap/>
            <w:vAlign w:val="center"/>
            <w:hideMark/>
          </w:tcPr>
          <w:p w14:paraId="683E7E51"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1995" w:type="dxa"/>
            <w:tcBorders>
              <w:top w:val="nil"/>
              <w:left w:val="nil"/>
              <w:bottom w:val="single" w:sz="4" w:space="0" w:color="auto"/>
              <w:right w:val="single" w:sz="4" w:space="0" w:color="auto"/>
            </w:tcBorders>
            <w:hideMark/>
          </w:tcPr>
          <w:p w14:paraId="4080D759"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Incorporar automatización y sensores para optimizar el uso de energía junto con fuentes renovables.</w:t>
            </w:r>
          </w:p>
        </w:tc>
        <w:tc>
          <w:tcPr>
            <w:tcW w:w="1140" w:type="dxa"/>
            <w:gridSpan w:val="3"/>
            <w:tcBorders>
              <w:top w:val="nil"/>
              <w:left w:val="nil"/>
              <w:bottom w:val="single" w:sz="4" w:space="0" w:color="auto"/>
              <w:right w:val="single" w:sz="4" w:space="0" w:color="auto"/>
            </w:tcBorders>
            <w:noWrap/>
            <w:vAlign w:val="center"/>
            <w:hideMark/>
          </w:tcPr>
          <w:p w14:paraId="29D236B8"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5</w:t>
            </w:r>
          </w:p>
        </w:tc>
        <w:tc>
          <w:tcPr>
            <w:tcW w:w="883" w:type="dxa"/>
            <w:tcBorders>
              <w:top w:val="nil"/>
              <w:left w:val="nil"/>
              <w:bottom w:val="single" w:sz="4" w:space="0" w:color="auto"/>
              <w:right w:val="single" w:sz="4" w:space="0" w:color="auto"/>
            </w:tcBorders>
            <w:noWrap/>
            <w:vAlign w:val="center"/>
            <w:hideMark/>
          </w:tcPr>
          <w:p w14:paraId="0089EBF7"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462E2245"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Reducción de consumo energético y mejora operativa.</w:t>
            </w:r>
          </w:p>
        </w:tc>
      </w:tr>
      <w:tr w:rsidR="00F212FE" w:rsidRPr="006358A3" w14:paraId="5D3059CB" w14:textId="77777777" w:rsidTr="0055381F">
        <w:trPr>
          <w:gridAfter w:val="4"/>
          <w:wAfter w:w="2761" w:type="dxa"/>
          <w:trHeight w:val="1550"/>
        </w:trPr>
        <w:tc>
          <w:tcPr>
            <w:tcW w:w="1990" w:type="dxa"/>
            <w:vMerge/>
            <w:tcBorders>
              <w:top w:val="single" w:sz="4" w:space="0" w:color="auto"/>
              <w:left w:val="single" w:sz="4" w:space="0" w:color="auto"/>
              <w:bottom w:val="single" w:sz="4" w:space="0" w:color="auto"/>
              <w:right w:val="nil"/>
            </w:tcBorders>
            <w:shd w:val="clear" w:color="auto" w:fill="29B95C"/>
            <w:vAlign w:val="center"/>
            <w:hideMark/>
          </w:tcPr>
          <w:p w14:paraId="6B3CC158"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14D24F92"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63435E9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Imparcialidad</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A90BCCB"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0DA78DD8"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No todos los sitios de proyecto tienen acceso equitativo a inversiones en tecnologías limpias.</w:t>
            </w:r>
          </w:p>
        </w:tc>
        <w:tc>
          <w:tcPr>
            <w:tcW w:w="2264" w:type="dxa"/>
            <w:gridSpan w:val="2"/>
            <w:tcBorders>
              <w:top w:val="nil"/>
              <w:left w:val="nil"/>
              <w:bottom w:val="single" w:sz="4" w:space="0" w:color="auto"/>
              <w:right w:val="single" w:sz="4" w:space="0" w:color="auto"/>
            </w:tcBorders>
            <w:hideMark/>
          </w:tcPr>
          <w:p w14:paraId="6FF93FA1"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val="es-CR" w:eastAsia="es-CR"/>
              </w:rPr>
              <w:t>Desigualdad en beneficios ambientales.</w:t>
            </w:r>
          </w:p>
        </w:tc>
        <w:tc>
          <w:tcPr>
            <w:tcW w:w="942" w:type="dxa"/>
            <w:tcBorders>
              <w:top w:val="nil"/>
              <w:left w:val="nil"/>
              <w:bottom w:val="single" w:sz="4" w:space="0" w:color="auto"/>
              <w:right w:val="single" w:sz="4" w:space="0" w:color="auto"/>
            </w:tcBorders>
            <w:noWrap/>
            <w:vAlign w:val="center"/>
            <w:hideMark/>
          </w:tcPr>
          <w:p w14:paraId="480AEB1D"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65EA997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Establecer un criterio corporativo de equidad para distribución de inversiones en energía limpia según localización.</w:t>
            </w:r>
          </w:p>
        </w:tc>
        <w:tc>
          <w:tcPr>
            <w:tcW w:w="1140" w:type="dxa"/>
            <w:gridSpan w:val="3"/>
            <w:tcBorders>
              <w:top w:val="nil"/>
              <w:left w:val="nil"/>
              <w:bottom w:val="single" w:sz="4" w:space="0" w:color="auto"/>
              <w:right w:val="single" w:sz="4" w:space="0" w:color="auto"/>
            </w:tcBorders>
            <w:noWrap/>
            <w:vAlign w:val="center"/>
            <w:hideMark/>
          </w:tcPr>
          <w:p w14:paraId="740E5394"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64A93D70"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4BA6E87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Mejora la equidad y coherencia en la aplicación de prácticas sostenibles.</w:t>
            </w:r>
          </w:p>
        </w:tc>
      </w:tr>
      <w:tr w:rsidR="00F212FE" w:rsidRPr="006358A3" w14:paraId="6A4293DE" w14:textId="77777777" w:rsidTr="0055381F">
        <w:trPr>
          <w:gridAfter w:val="4"/>
          <w:wAfter w:w="2761" w:type="dxa"/>
          <w:trHeight w:val="320"/>
        </w:trPr>
        <w:tc>
          <w:tcPr>
            <w:tcW w:w="1990" w:type="dxa"/>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22F1AEAB"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Categoría</w:t>
            </w:r>
          </w:p>
        </w:tc>
        <w:tc>
          <w:tcPr>
            <w:tcW w:w="1979" w:type="dxa"/>
            <w:tcBorders>
              <w:top w:val="nil"/>
              <w:left w:val="nil"/>
              <w:bottom w:val="single" w:sz="4" w:space="0" w:color="auto"/>
              <w:right w:val="nil"/>
            </w:tcBorders>
            <w:shd w:val="clear" w:color="000000" w:fill="A9D08E"/>
            <w:noWrap/>
            <w:vAlign w:val="center"/>
            <w:hideMark/>
          </w:tcPr>
          <w:p w14:paraId="2CC69B82"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Tierra, Aire y Agua</w:t>
            </w:r>
          </w:p>
        </w:tc>
        <w:tc>
          <w:tcPr>
            <w:tcW w:w="1667" w:type="dxa"/>
            <w:vMerge w:val="restart"/>
            <w:tcBorders>
              <w:top w:val="nil"/>
              <w:left w:val="single" w:sz="4" w:space="0" w:color="auto"/>
              <w:bottom w:val="single" w:sz="4" w:space="0" w:color="auto"/>
              <w:right w:val="single" w:sz="4" w:space="0" w:color="auto"/>
            </w:tcBorders>
            <w:shd w:val="clear" w:color="000000" w:fill="A9D08E"/>
            <w:noWrap/>
            <w:vAlign w:val="center"/>
            <w:hideMark/>
          </w:tcPr>
          <w:p w14:paraId="5A488558"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Lente</w:t>
            </w:r>
          </w:p>
        </w:tc>
        <w:tc>
          <w:tcPr>
            <w:tcW w:w="1452" w:type="dxa"/>
            <w:vMerge w:val="restart"/>
            <w:tcBorders>
              <w:top w:val="nil"/>
              <w:left w:val="single" w:sz="4" w:space="0" w:color="auto"/>
              <w:bottom w:val="single" w:sz="4" w:space="0" w:color="auto"/>
              <w:right w:val="single" w:sz="4" w:space="0" w:color="auto"/>
            </w:tcBorders>
            <w:shd w:val="clear" w:color="000000" w:fill="A9D08E"/>
            <w:noWrap/>
            <w:vAlign w:val="center"/>
            <w:hideMark/>
          </w:tcPr>
          <w:p w14:paraId="2B3066DF"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¿Calificado?</w:t>
            </w:r>
          </w:p>
        </w:tc>
        <w:tc>
          <w:tcPr>
            <w:tcW w:w="2555" w:type="dxa"/>
            <w:vMerge w:val="restart"/>
            <w:tcBorders>
              <w:top w:val="nil"/>
              <w:left w:val="single" w:sz="4" w:space="0" w:color="auto"/>
              <w:bottom w:val="single" w:sz="4" w:space="0" w:color="auto"/>
              <w:right w:val="single" w:sz="4" w:space="0" w:color="auto"/>
            </w:tcBorders>
            <w:shd w:val="clear" w:color="000000" w:fill="A9D08E"/>
            <w:noWrap/>
            <w:vAlign w:val="center"/>
            <w:hideMark/>
          </w:tcPr>
          <w:p w14:paraId="7AE7540C"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Descripción (Causa)</w:t>
            </w:r>
          </w:p>
        </w:tc>
        <w:tc>
          <w:tcPr>
            <w:tcW w:w="2264" w:type="dxa"/>
            <w:gridSpan w:val="2"/>
            <w:vMerge w:val="restart"/>
            <w:tcBorders>
              <w:top w:val="nil"/>
              <w:left w:val="single" w:sz="4" w:space="0" w:color="auto"/>
              <w:bottom w:val="single" w:sz="4" w:space="0" w:color="auto"/>
              <w:right w:val="single" w:sz="4" w:space="0" w:color="auto"/>
            </w:tcBorders>
            <w:shd w:val="clear" w:color="000000" w:fill="A9D08E"/>
            <w:vAlign w:val="center"/>
            <w:hideMark/>
          </w:tcPr>
          <w:p w14:paraId="179044CD"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Impacto Potencial en la Sostenibilidad</w:t>
            </w:r>
          </w:p>
        </w:tc>
        <w:tc>
          <w:tcPr>
            <w:tcW w:w="942" w:type="dxa"/>
            <w:vMerge w:val="restart"/>
            <w:tcBorders>
              <w:top w:val="nil"/>
              <w:left w:val="single" w:sz="4" w:space="0" w:color="auto"/>
              <w:bottom w:val="single" w:sz="4" w:space="0" w:color="auto"/>
              <w:right w:val="single" w:sz="4" w:space="0" w:color="auto"/>
            </w:tcBorders>
            <w:shd w:val="clear" w:color="000000" w:fill="A9D08E"/>
            <w:vAlign w:val="center"/>
            <w:hideMark/>
          </w:tcPr>
          <w:p w14:paraId="14AC2A71"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Puntaje Inicial del Impacto (Antes) </w:t>
            </w:r>
          </w:p>
        </w:tc>
        <w:tc>
          <w:tcPr>
            <w:tcW w:w="1995" w:type="dxa"/>
            <w:vMerge w:val="restart"/>
            <w:tcBorders>
              <w:top w:val="nil"/>
              <w:left w:val="single" w:sz="4" w:space="0" w:color="auto"/>
              <w:bottom w:val="single" w:sz="4" w:space="0" w:color="auto"/>
              <w:right w:val="single" w:sz="4" w:space="0" w:color="auto"/>
            </w:tcBorders>
            <w:shd w:val="clear" w:color="000000" w:fill="A9D08E"/>
            <w:noWrap/>
            <w:vAlign w:val="center"/>
            <w:hideMark/>
          </w:tcPr>
          <w:p w14:paraId="2BE4ECD8"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Respuesta Propuesta</w:t>
            </w:r>
          </w:p>
        </w:tc>
        <w:tc>
          <w:tcPr>
            <w:tcW w:w="1140" w:type="dxa"/>
            <w:gridSpan w:val="3"/>
            <w:vMerge w:val="restart"/>
            <w:tcBorders>
              <w:top w:val="nil"/>
              <w:left w:val="single" w:sz="4" w:space="0" w:color="auto"/>
              <w:bottom w:val="single" w:sz="4" w:space="0" w:color="auto"/>
              <w:right w:val="single" w:sz="4" w:space="0" w:color="auto"/>
            </w:tcBorders>
            <w:shd w:val="clear" w:color="000000" w:fill="A9D08E"/>
            <w:vAlign w:val="center"/>
            <w:hideMark/>
          </w:tcPr>
          <w:p w14:paraId="085EF25D"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Nuevo Puntaje del Impacto (Después)</w:t>
            </w:r>
          </w:p>
        </w:tc>
        <w:tc>
          <w:tcPr>
            <w:tcW w:w="883" w:type="dxa"/>
            <w:vMerge w:val="restart"/>
            <w:tcBorders>
              <w:top w:val="nil"/>
              <w:left w:val="single" w:sz="4" w:space="0" w:color="auto"/>
              <w:bottom w:val="single" w:sz="4" w:space="0" w:color="auto"/>
              <w:right w:val="single" w:sz="4" w:space="0" w:color="auto"/>
            </w:tcBorders>
            <w:shd w:val="clear" w:color="000000" w:fill="A9D08E"/>
            <w:noWrap/>
            <w:vAlign w:val="center"/>
            <w:hideMark/>
          </w:tcPr>
          <w:p w14:paraId="3D848FBC"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Cambio</w:t>
            </w:r>
          </w:p>
        </w:tc>
        <w:tc>
          <w:tcPr>
            <w:tcW w:w="3351" w:type="dxa"/>
            <w:gridSpan w:val="2"/>
            <w:vMerge w:val="restart"/>
            <w:tcBorders>
              <w:top w:val="nil"/>
              <w:left w:val="single" w:sz="4" w:space="0" w:color="auto"/>
              <w:bottom w:val="single" w:sz="4" w:space="0" w:color="auto"/>
              <w:right w:val="single" w:sz="4" w:space="0" w:color="auto"/>
            </w:tcBorders>
            <w:shd w:val="clear" w:color="000000" w:fill="A9D08E"/>
            <w:noWrap/>
            <w:vAlign w:val="center"/>
            <w:hideMark/>
          </w:tcPr>
          <w:p w14:paraId="218AF0BF"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Resultado</w:t>
            </w:r>
          </w:p>
        </w:tc>
      </w:tr>
      <w:tr w:rsidR="00F212FE" w:rsidRPr="006358A3" w14:paraId="6936856F" w14:textId="77777777" w:rsidTr="0055381F">
        <w:trPr>
          <w:gridAfter w:val="4"/>
          <w:wAfter w:w="2761" w:type="dxa"/>
          <w:trHeight w:val="310"/>
        </w:trPr>
        <w:tc>
          <w:tcPr>
            <w:tcW w:w="1990" w:type="dxa"/>
            <w:tcBorders>
              <w:top w:val="nil"/>
              <w:left w:val="single" w:sz="4" w:space="0" w:color="auto"/>
              <w:bottom w:val="single" w:sz="4" w:space="0" w:color="auto"/>
              <w:right w:val="single" w:sz="4" w:space="0" w:color="auto"/>
            </w:tcBorders>
            <w:shd w:val="clear" w:color="000000" w:fill="E2EFDA"/>
            <w:noWrap/>
            <w:vAlign w:val="bottom"/>
            <w:hideMark/>
          </w:tcPr>
          <w:p w14:paraId="172FAC9A"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Elemento</w:t>
            </w:r>
          </w:p>
        </w:tc>
        <w:tc>
          <w:tcPr>
            <w:tcW w:w="1979" w:type="dxa"/>
            <w:tcBorders>
              <w:top w:val="nil"/>
              <w:left w:val="nil"/>
              <w:bottom w:val="single" w:sz="4" w:space="0" w:color="auto"/>
              <w:right w:val="single" w:sz="4" w:space="0" w:color="auto"/>
            </w:tcBorders>
            <w:shd w:val="clear" w:color="000000" w:fill="E2EFDA"/>
            <w:noWrap/>
            <w:vAlign w:val="center"/>
            <w:hideMark/>
          </w:tcPr>
          <w:p w14:paraId="1AFD5A9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Descripción</w:t>
            </w:r>
          </w:p>
        </w:tc>
        <w:tc>
          <w:tcPr>
            <w:tcW w:w="1667" w:type="dxa"/>
            <w:vMerge/>
            <w:tcBorders>
              <w:top w:val="nil"/>
              <w:left w:val="single" w:sz="4" w:space="0" w:color="auto"/>
              <w:bottom w:val="single" w:sz="4" w:space="0" w:color="auto"/>
              <w:right w:val="single" w:sz="4" w:space="0" w:color="auto"/>
            </w:tcBorders>
            <w:vAlign w:val="center"/>
            <w:hideMark/>
          </w:tcPr>
          <w:p w14:paraId="04888FF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452" w:type="dxa"/>
            <w:vMerge/>
            <w:tcBorders>
              <w:top w:val="nil"/>
              <w:left w:val="single" w:sz="4" w:space="0" w:color="auto"/>
              <w:bottom w:val="single" w:sz="4" w:space="0" w:color="auto"/>
              <w:right w:val="single" w:sz="4" w:space="0" w:color="auto"/>
            </w:tcBorders>
            <w:vAlign w:val="center"/>
            <w:hideMark/>
          </w:tcPr>
          <w:p w14:paraId="060708E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2555" w:type="dxa"/>
            <w:vMerge/>
            <w:tcBorders>
              <w:top w:val="nil"/>
              <w:left w:val="single" w:sz="4" w:space="0" w:color="auto"/>
              <w:bottom w:val="single" w:sz="4" w:space="0" w:color="auto"/>
              <w:right w:val="single" w:sz="4" w:space="0" w:color="auto"/>
            </w:tcBorders>
            <w:vAlign w:val="center"/>
            <w:hideMark/>
          </w:tcPr>
          <w:p w14:paraId="56ECBB5D"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2264" w:type="dxa"/>
            <w:gridSpan w:val="2"/>
            <w:vMerge/>
            <w:tcBorders>
              <w:top w:val="nil"/>
              <w:left w:val="single" w:sz="4" w:space="0" w:color="auto"/>
              <w:bottom w:val="single" w:sz="4" w:space="0" w:color="auto"/>
              <w:right w:val="single" w:sz="4" w:space="0" w:color="auto"/>
            </w:tcBorders>
            <w:vAlign w:val="center"/>
            <w:hideMark/>
          </w:tcPr>
          <w:p w14:paraId="52DCC2E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942" w:type="dxa"/>
            <w:vMerge/>
            <w:tcBorders>
              <w:top w:val="nil"/>
              <w:left w:val="single" w:sz="4" w:space="0" w:color="auto"/>
              <w:bottom w:val="single" w:sz="4" w:space="0" w:color="auto"/>
              <w:right w:val="single" w:sz="4" w:space="0" w:color="auto"/>
            </w:tcBorders>
            <w:vAlign w:val="center"/>
            <w:hideMark/>
          </w:tcPr>
          <w:p w14:paraId="7A2D721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95" w:type="dxa"/>
            <w:vMerge/>
            <w:tcBorders>
              <w:top w:val="nil"/>
              <w:left w:val="single" w:sz="4" w:space="0" w:color="auto"/>
              <w:bottom w:val="single" w:sz="4" w:space="0" w:color="auto"/>
              <w:right w:val="single" w:sz="4" w:space="0" w:color="auto"/>
            </w:tcBorders>
            <w:vAlign w:val="center"/>
            <w:hideMark/>
          </w:tcPr>
          <w:p w14:paraId="3C7E4D85"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140" w:type="dxa"/>
            <w:gridSpan w:val="3"/>
            <w:vMerge/>
            <w:tcBorders>
              <w:top w:val="nil"/>
              <w:left w:val="single" w:sz="4" w:space="0" w:color="auto"/>
              <w:bottom w:val="single" w:sz="4" w:space="0" w:color="auto"/>
              <w:right w:val="single" w:sz="4" w:space="0" w:color="auto"/>
            </w:tcBorders>
            <w:vAlign w:val="center"/>
            <w:hideMark/>
          </w:tcPr>
          <w:p w14:paraId="5470C2A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883" w:type="dxa"/>
            <w:vMerge/>
            <w:tcBorders>
              <w:top w:val="nil"/>
              <w:left w:val="single" w:sz="4" w:space="0" w:color="auto"/>
              <w:bottom w:val="single" w:sz="4" w:space="0" w:color="auto"/>
              <w:right w:val="single" w:sz="4" w:space="0" w:color="auto"/>
            </w:tcBorders>
            <w:vAlign w:val="center"/>
            <w:hideMark/>
          </w:tcPr>
          <w:p w14:paraId="04E86A9F"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3351" w:type="dxa"/>
            <w:gridSpan w:val="2"/>
            <w:vMerge/>
            <w:tcBorders>
              <w:top w:val="nil"/>
              <w:left w:val="single" w:sz="4" w:space="0" w:color="auto"/>
              <w:bottom w:val="single" w:sz="4" w:space="0" w:color="auto"/>
              <w:right w:val="single" w:sz="4" w:space="0" w:color="auto"/>
            </w:tcBorders>
            <w:vAlign w:val="center"/>
            <w:hideMark/>
          </w:tcPr>
          <w:p w14:paraId="634F031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r>
      <w:tr w:rsidR="00F212FE" w:rsidRPr="006358A3" w14:paraId="3AAD5C19" w14:textId="77777777" w:rsidTr="0055381F">
        <w:trPr>
          <w:gridAfter w:val="4"/>
          <w:wAfter w:w="2761" w:type="dxa"/>
          <w:trHeight w:val="1860"/>
        </w:trPr>
        <w:tc>
          <w:tcPr>
            <w:tcW w:w="1990" w:type="dxa"/>
            <w:vMerge w:val="restart"/>
            <w:tcBorders>
              <w:top w:val="single" w:sz="4" w:space="0" w:color="auto"/>
              <w:left w:val="single" w:sz="4" w:space="0" w:color="auto"/>
              <w:bottom w:val="single" w:sz="4" w:space="0" w:color="auto"/>
              <w:right w:val="nil"/>
            </w:tcBorders>
            <w:shd w:val="clear" w:color="auto" w:fill="29B95C"/>
            <w:noWrap/>
            <w:vAlign w:val="bottom"/>
            <w:hideMark/>
          </w:tcPr>
          <w:p w14:paraId="6BA9EBBB"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noProof/>
                <w:color w:val="000000"/>
                <w:sz w:val="24"/>
                <w:lang w:val="es-CR" w:eastAsia="es-CR"/>
              </w:rPr>
              <w:drawing>
                <wp:anchor distT="0" distB="0" distL="114300" distR="114300" simplePos="0" relativeHeight="251689984" behindDoc="0" locked="0" layoutInCell="1" allowOverlap="1" wp14:anchorId="40387F33" wp14:editId="5274A0EA">
                  <wp:simplePos x="0" y="0"/>
                  <wp:positionH relativeFrom="column">
                    <wp:posOffset>201295</wp:posOffset>
                  </wp:positionH>
                  <wp:positionV relativeFrom="paragraph">
                    <wp:posOffset>-1000760</wp:posOffset>
                  </wp:positionV>
                  <wp:extent cx="819150" cy="901700"/>
                  <wp:effectExtent l="0" t="0" r="0" b="0"/>
                  <wp:wrapNone/>
                  <wp:docPr id="36" name="Imagen 34">
                    <a:extLst xmlns:a="http://schemas.openxmlformats.org/drawingml/2006/main">
                      <a:ext uri="{FF2B5EF4-FFF2-40B4-BE49-F238E27FC236}">
                        <a16:creationId xmlns:a16="http://schemas.microsoft.com/office/drawing/2014/main" id="{00000000-0008-0000-0400-000024000000}"/>
                      </a:ext>
                    </a:extLst>
                  </wp:docPr>
                  <wp:cNvGraphicFramePr/>
                  <a:graphic xmlns:a="http://schemas.openxmlformats.org/drawingml/2006/main">
                    <a:graphicData uri="http://schemas.openxmlformats.org/drawingml/2006/picture">
                      <pic:pic xmlns:pic="http://schemas.openxmlformats.org/drawingml/2006/picture">
                        <pic:nvPicPr>
                          <pic:cNvPr id="36" name="Picture 35">
                            <a:extLst>
                              <a:ext uri="{FF2B5EF4-FFF2-40B4-BE49-F238E27FC236}">
                                <a16:creationId xmlns:a16="http://schemas.microsoft.com/office/drawing/2014/main" id="{00000000-0008-0000-0400-000024000000}"/>
                              </a:ext>
                            </a:extLst>
                          </pic:cNvPr>
                          <pic:cNvPicPr>
                            <a:picLocks noChangeAspect="1"/>
                          </pic:cNvPicPr>
                        </pic:nvPicPr>
                        <pic:blipFill>
                          <a:blip r:embed="rId55"/>
                          <a:stretch>
                            <a:fillRect/>
                          </a:stretch>
                        </pic:blipFill>
                        <pic:spPr>
                          <a:xfrm>
                            <a:off x="0" y="0"/>
                            <a:ext cx="819150" cy="901700"/>
                          </a:xfrm>
                          <a:prstGeom prst="rect">
                            <a:avLst/>
                          </a:prstGeom>
                        </pic:spPr>
                      </pic:pic>
                    </a:graphicData>
                  </a:graphic>
                  <wp14:sizeRelH relativeFrom="page">
                    <wp14:pctWidth>0</wp14:pctWidth>
                  </wp14:sizeRelH>
                  <wp14:sizeRelV relativeFrom="page">
                    <wp14:pctHeight>0</wp14:pctHeight>
                  </wp14:sizeRelV>
                </wp:anchor>
              </w:drawing>
            </w:r>
          </w:p>
          <w:p w14:paraId="70C56129"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val="restart"/>
            <w:tcBorders>
              <w:top w:val="nil"/>
              <w:left w:val="single" w:sz="4" w:space="0" w:color="auto"/>
              <w:bottom w:val="single" w:sz="4" w:space="0" w:color="auto"/>
              <w:right w:val="single" w:sz="4" w:space="0" w:color="auto"/>
            </w:tcBorders>
            <w:shd w:val="clear" w:color="000000" w:fill="F2F2F2"/>
            <w:vAlign w:val="center"/>
            <w:hideMark/>
          </w:tcPr>
          <w:p w14:paraId="5F2D6864"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r w:rsidRPr="006358A3">
              <w:rPr>
                <w:rFonts w:ascii="Calibri" w:eastAsia="Times New Roman" w:hAnsi="Calibri" w:cs="Calibri"/>
                <w:color w:val="000000"/>
                <w:sz w:val="18"/>
                <w:szCs w:val="18"/>
                <w:lang w:val="es-CR" w:eastAsia="es-CR"/>
              </w:rPr>
              <w:t>Diversidad biológica, también conocida como biodiversidad, se refiere a la variedad de formas de vida en la Tierra. Incluye todos los ecosistemas y todas las especies de plantas, animales, bacterias, hongos y microorganismos que conforman un ambiente o hábitat particular. También incluye todas las variaciones genéticas de esas especies.</w:t>
            </w:r>
          </w:p>
        </w:tc>
        <w:tc>
          <w:tcPr>
            <w:tcW w:w="1667" w:type="dxa"/>
            <w:tcBorders>
              <w:top w:val="nil"/>
              <w:left w:val="nil"/>
              <w:bottom w:val="single" w:sz="4" w:space="0" w:color="auto"/>
              <w:right w:val="single" w:sz="4" w:space="0" w:color="auto"/>
            </w:tcBorders>
            <w:shd w:val="clear" w:color="000000" w:fill="F2F2F2"/>
            <w:noWrap/>
            <w:vAlign w:val="center"/>
            <w:hideMark/>
          </w:tcPr>
          <w:p w14:paraId="6C0A9FF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Vida Útil</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EA7A630"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309F692A"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Los diseños de oficinas y construcciones no consideran el impacto sobre la biodiversidad del entorno inmediato (fauna/flora urbana o rural).</w:t>
            </w:r>
          </w:p>
        </w:tc>
        <w:tc>
          <w:tcPr>
            <w:tcW w:w="2264" w:type="dxa"/>
            <w:gridSpan w:val="2"/>
            <w:tcBorders>
              <w:top w:val="nil"/>
              <w:left w:val="nil"/>
              <w:bottom w:val="single" w:sz="4" w:space="0" w:color="auto"/>
              <w:right w:val="single" w:sz="4" w:space="0" w:color="auto"/>
            </w:tcBorders>
            <w:hideMark/>
          </w:tcPr>
          <w:p w14:paraId="6E922F1F"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Degradación de ecosistemas a largo plazo.</w:t>
            </w:r>
          </w:p>
        </w:tc>
        <w:tc>
          <w:tcPr>
            <w:tcW w:w="942" w:type="dxa"/>
            <w:tcBorders>
              <w:top w:val="nil"/>
              <w:left w:val="nil"/>
              <w:bottom w:val="single" w:sz="4" w:space="0" w:color="auto"/>
              <w:right w:val="single" w:sz="4" w:space="0" w:color="auto"/>
            </w:tcBorders>
            <w:noWrap/>
            <w:vAlign w:val="center"/>
            <w:hideMark/>
          </w:tcPr>
          <w:p w14:paraId="7926A14F"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5A07470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Aplicar principios de diseño biofílico, respetando entornos naturales e incorporando vegetación nativa en los espacios intervenidos.</w:t>
            </w:r>
          </w:p>
        </w:tc>
        <w:tc>
          <w:tcPr>
            <w:tcW w:w="1140" w:type="dxa"/>
            <w:gridSpan w:val="3"/>
            <w:tcBorders>
              <w:top w:val="nil"/>
              <w:left w:val="nil"/>
              <w:bottom w:val="single" w:sz="4" w:space="0" w:color="auto"/>
              <w:right w:val="single" w:sz="4" w:space="0" w:color="auto"/>
            </w:tcBorders>
            <w:noWrap/>
            <w:vAlign w:val="center"/>
            <w:hideMark/>
          </w:tcPr>
          <w:p w14:paraId="643C2CE8"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7393B2EB"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0443DE21"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Mejora la armonía con el entorno y la sostenibilidad del sitio a largo plazo.</w:t>
            </w:r>
          </w:p>
        </w:tc>
      </w:tr>
      <w:tr w:rsidR="00F212FE" w:rsidRPr="006358A3" w14:paraId="1759EF56" w14:textId="77777777" w:rsidTr="0055381F">
        <w:trPr>
          <w:gridAfter w:val="4"/>
          <w:wAfter w:w="2761" w:type="dxa"/>
          <w:trHeight w:val="1550"/>
        </w:trPr>
        <w:tc>
          <w:tcPr>
            <w:tcW w:w="1990" w:type="dxa"/>
            <w:vMerge/>
            <w:tcBorders>
              <w:top w:val="single" w:sz="4" w:space="0" w:color="auto"/>
              <w:left w:val="single" w:sz="4" w:space="0" w:color="auto"/>
              <w:bottom w:val="single" w:sz="4" w:space="0" w:color="auto"/>
              <w:right w:val="nil"/>
            </w:tcBorders>
            <w:shd w:val="clear" w:color="auto" w:fill="29B95C"/>
            <w:vAlign w:val="center"/>
            <w:hideMark/>
          </w:tcPr>
          <w:p w14:paraId="27B30932"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1A747C0A"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01C739F1"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Mantenimiento</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3068FC4"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3DC63B68"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No se consideran criterios de biodiversidad en la planificación del mantenimiento de áreas verdes o paisajismo.</w:t>
            </w:r>
          </w:p>
        </w:tc>
        <w:tc>
          <w:tcPr>
            <w:tcW w:w="2264" w:type="dxa"/>
            <w:gridSpan w:val="2"/>
            <w:tcBorders>
              <w:top w:val="nil"/>
              <w:left w:val="nil"/>
              <w:bottom w:val="single" w:sz="4" w:space="0" w:color="auto"/>
              <w:right w:val="single" w:sz="4" w:space="0" w:color="auto"/>
            </w:tcBorders>
            <w:hideMark/>
          </w:tcPr>
          <w:p w14:paraId="78E1D028"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Afectación a especies nativas por uso de químicos o podas inadecuadas.</w:t>
            </w:r>
          </w:p>
        </w:tc>
        <w:tc>
          <w:tcPr>
            <w:tcW w:w="942" w:type="dxa"/>
            <w:tcBorders>
              <w:top w:val="nil"/>
              <w:left w:val="nil"/>
              <w:bottom w:val="single" w:sz="4" w:space="0" w:color="auto"/>
              <w:right w:val="single" w:sz="4" w:space="0" w:color="auto"/>
            </w:tcBorders>
            <w:noWrap/>
            <w:vAlign w:val="center"/>
            <w:hideMark/>
          </w:tcPr>
          <w:p w14:paraId="09FB8466"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1112E5E5"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Establecer lineamientos para el mantenimiento ecológico (uso de fertilizantes orgánicos, control de especies </w:t>
            </w:r>
            <w:r w:rsidRPr="006358A3">
              <w:rPr>
                <w:rFonts w:ascii="Calibri" w:eastAsia="Times New Roman" w:hAnsi="Calibri" w:cs="Calibri"/>
                <w:color w:val="000000"/>
                <w:sz w:val="24"/>
                <w:lang w:val="es-CR" w:eastAsia="es-CR"/>
              </w:rPr>
              <w:lastRenderedPageBreak/>
              <w:t>invasoras, riego eficiente).</w:t>
            </w:r>
          </w:p>
        </w:tc>
        <w:tc>
          <w:tcPr>
            <w:tcW w:w="1140" w:type="dxa"/>
            <w:gridSpan w:val="3"/>
            <w:tcBorders>
              <w:top w:val="nil"/>
              <w:left w:val="nil"/>
              <w:bottom w:val="single" w:sz="4" w:space="0" w:color="auto"/>
              <w:right w:val="single" w:sz="4" w:space="0" w:color="auto"/>
            </w:tcBorders>
            <w:noWrap/>
            <w:vAlign w:val="center"/>
            <w:hideMark/>
          </w:tcPr>
          <w:p w14:paraId="1D0A3572"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lastRenderedPageBreak/>
              <w:t>4</w:t>
            </w:r>
          </w:p>
        </w:tc>
        <w:tc>
          <w:tcPr>
            <w:tcW w:w="883" w:type="dxa"/>
            <w:tcBorders>
              <w:top w:val="nil"/>
              <w:left w:val="nil"/>
              <w:bottom w:val="single" w:sz="4" w:space="0" w:color="auto"/>
              <w:right w:val="single" w:sz="4" w:space="0" w:color="auto"/>
            </w:tcBorders>
            <w:noWrap/>
            <w:vAlign w:val="center"/>
            <w:hideMark/>
          </w:tcPr>
          <w:p w14:paraId="2BB1132F"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4339B17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Promueve el equilibrio ecológico y reduce los impactos negativos en el entorno natural.</w:t>
            </w:r>
          </w:p>
        </w:tc>
      </w:tr>
      <w:tr w:rsidR="00F212FE" w:rsidRPr="006358A3" w14:paraId="79E2D0EC" w14:textId="77777777" w:rsidTr="0055381F">
        <w:trPr>
          <w:gridAfter w:val="4"/>
          <w:wAfter w:w="2761" w:type="dxa"/>
          <w:trHeight w:val="1550"/>
        </w:trPr>
        <w:tc>
          <w:tcPr>
            <w:tcW w:w="1990" w:type="dxa"/>
            <w:vMerge/>
            <w:tcBorders>
              <w:top w:val="single" w:sz="4" w:space="0" w:color="auto"/>
              <w:left w:val="single" w:sz="4" w:space="0" w:color="auto"/>
              <w:bottom w:val="single" w:sz="4" w:space="0" w:color="auto"/>
              <w:right w:val="nil"/>
            </w:tcBorders>
            <w:shd w:val="clear" w:color="auto" w:fill="29B95C"/>
            <w:vAlign w:val="center"/>
            <w:hideMark/>
          </w:tcPr>
          <w:p w14:paraId="703F6632"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4B406F98"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0205F58F"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Eficacia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9AA3289"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5161857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Se omite la evaluación de biodiversidad en la selección de terrenos o uso del suelo.</w:t>
            </w:r>
          </w:p>
        </w:tc>
        <w:tc>
          <w:tcPr>
            <w:tcW w:w="2264" w:type="dxa"/>
            <w:gridSpan w:val="2"/>
            <w:tcBorders>
              <w:top w:val="nil"/>
              <w:left w:val="nil"/>
              <w:bottom w:val="single" w:sz="4" w:space="0" w:color="auto"/>
              <w:right w:val="single" w:sz="4" w:space="0" w:color="auto"/>
            </w:tcBorders>
            <w:hideMark/>
          </w:tcPr>
          <w:p w14:paraId="254A12F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Mal diseño con consecuencias sobre el ecosistema.</w:t>
            </w:r>
          </w:p>
        </w:tc>
        <w:tc>
          <w:tcPr>
            <w:tcW w:w="942" w:type="dxa"/>
            <w:tcBorders>
              <w:top w:val="nil"/>
              <w:left w:val="nil"/>
              <w:bottom w:val="single" w:sz="4" w:space="0" w:color="auto"/>
              <w:right w:val="single" w:sz="4" w:space="0" w:color="auto"/>
            </w:tcBorders>
            <w:noWrap/>
            <w:vAlign w:val="center"/>
            <w:hideMark/>
          </w:tcPr>
          <w:p w14:paraId="25C5E39F"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33BA217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Incluir un análisis de sensibilidad ecológica antes del inicio de cada proyecto, especialmente en zonas periurbanas o rurales.</w:t>
            </w:r>
          </w:p>
        </w:tc>
        <w:tc>
          <w:tcPr>
            <w:tcW w:w="1140" w:type="dxa"/>
            <w:gridSpan w:val="3"/>
            <w:tcBorders>
              <w:top w:val="nil"/>
              <w:left w:val="nil"/>
              <w:bottom w:val="single" w:sz="4" w:space="0" w:color="auto"/>
              <w:right w:val="single" w:sz="4" w:space="0" w:color="auto"/>
            </w:tcBorders>
            <w:noWrap/>
            <w:vAlign w:val="center"/>
            <w:hideMark/>
          </w:tcPr>
          <w:p w14:paraId="06A23F0D"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883" w:type="dxa"/>
            <w:tcBorders>
              <w:top w:val="nil"/>
              <w:left w:val="nil"/>
              <w:bottom w:val="single" w:sz="4" w:space="0" w:color="auto"/>
              <w:right w:val="single" w:sz="4" w:space="0" w:color="auto"/>
            </w:tcBorders>
            <w:noWrap/>
            <w:vAlign w:val="center"/>
            <w:hideMark/>
          </w:tcPr>
          <w:p w14:paraId="19599C62"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1</w:t>
            </w:r>
          </w:p>
        </w:tc>
        <w:tc>
          <w:tcPr>
            <w:tcW w:w="3351" w:type="dxa"/>
            <w:gridSpan w:val="2"/>
            <w:tcBorders>
              <w:top w:val="nil"/>
              <w:left w:val="nil"/>
              <w:bottom w:val="single" w:sz="4" w:space="0" w:color="auto"/>
              <w:right w:val="single" w:sz="4" w:space="0" w:color="auto"/>
            </w:tcBorders>
            <w:hideMark/>
          </w:tcPr>
          <w:p w14:paraId="1DD11A18"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Alineación del diseño con principios de conservación.</w:t>
            </w:r>
          </w:p>
        </w:tc>
      </w:tr>
      <w:tr w:rsidR="00F212FE" w:rsidRPr="006358A3" w14:paraId="0BF642B5" w14:textId="77777777" w:rsidTr="0055381F">
        <w:trPr>
          <w:gridAfter w:val="4"/>
          <w:wAfter w:w="2761" w:type="dxa"/>
          <w:trHeight w:val="1550"/>
        </w:trPr>
        <w:tc>
          <w:tcPr>
            <w:tcW w:w="1990" w:type="dxa"/>
            <w:vMerge/>
            <w:tcBorders>
              <w:top w:val="single" w:sz="4" w:space="0" w:color="auto"/>
              <w:left w:val="single" w:sz="4" w:space="0" w:color="auto"/>
              <w:bottom w:val="single" w:sz="4" w:space="0" w:color="auto"/>
              <w:right w:val="nil"/>
            </w:tcBorders>
            <w:shd w:val="clear" w:color="auto" w:fill="29B95C"/>
            <w:vAlign w:val="center"/>
            <w:hideMark/>
          </w:tcPr>
          <w:p w14:paraId="0D75F582"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015834CD"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2FEE5545"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Eficiencia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54A05C4"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63CC236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El desconocimiento de las dinámicas ecológicas genera retrabajos o conflictos con regulaciones ambientales.</w:t>
            </w:r>
          </w:p>
        </w:tc>
        <w:tc>
          <w:tcPr>
            <w:tcW w:w="2264" w:type="dxa"/>
            <w:gridSpan w:val="2"/>
            <w:tcBorders>
              <w:top w:val="nil"/>
              <w:left w:val="nil"/>
              <w:bottom w:val="single" w:sz="4" w:space="0" w:color="auto"/>
              <w:right w:val="single" w:sz="4" w:space="0" w:color="auto"/>
            </w:tcBorders>
            <w:hideMark/>
          </w:tcPr>
          <w:p w14:paraId="29771DDB"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Costos adicionales y atrasos.</w:t>
            </w:r>
          </w:p>
        </w:tc>
        <w:tc>
          <w:tcPr>
            <w:tcW w:w="942" w:type="dxa"/>
            <w:tcBorders>
              <w:top w:val="nil"/>
              <w:left w:val="nil"/>
              <w:bottom w:val="single" w:sz="4" w:space="0" w:color="auto"/>
              <w:right w:val="single" w:sz="4" w:space="0" w:color="auto"/>
            </w:tcBorders>
            <w:noWrap/>
            <w:vAlign w:val="center"/>
            <w:hideMark/>
          </w:tcPr>
          <w:p w14:paraId="59C12290"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1</w:t>
            </w:r>
          </w:p>
        </w:tc>
        <w:tc>
          <w:tcPr>
            <w:tcW w:w="1995" w:type="dxa"/>
            <w:tcBorders>
              <w:top w:val="nil"/>
              <w:left w:val="nil"/>
              <w:bottom w:val="single" w:sz="4" w:space="0" w:color="auto"/>
              <w:right w:val="single" w:sz="4" w:space="0" w:color="auto"/>
            </w:tcBorders>
            <w:hideMark/>
          </w:tcPr>
          <w:p w14:paraId="6157DD81"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Consultar regulaciones ambientales locales desde la fase de pre-diseño y ajustar los estudios de impacto ambiental.</w:t>
            </w:r>
          </w:p>
        </w:tc>
        <w:tc>
          <w:tcPr>
            <w:tcW w:w="1140" w:type="dxa"/>
            <w:gridSpan w:val="3"/>
            <w:tcBorders>
              <w:top w:val="nil"/>
              <w:left w:val="nil"/>
              <w:bottom w:val="single" w:sz="4" w:space="0" w:color="auto"/>
              <w:right w:val="single" w:sz="4" w:space="0" w:color="auto"/>
            </w:tcBorders>
            <w:noWrap/>
            <w:vAlign w:val="center"/>
            <w:hideMark/>
          </w:tcPr>
          <w:p w14:paraId="02D98CFC"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6F026155"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3351" w:type="dxa"/>
            <w:gridSpan w:val="2"/>
            <w:tcBorders>
              <w:top w:val="nil"/>
              <w:left w:val="nil"/>
              <w:bottom w:val="single" w:sz="4" w:space="0" w:color="auto"/>
              <w:right w:val="single" w:sz="4" w:space="0" w:color="auto"/>
            </w:tcBorders>
            <w:hideMark/>
          </w:tcPr>
          <w:p w14:paraId="495CE62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Menor riesgo legal y optimización de recursos por cumplimiento anticipado.</w:t>
            </w:r>
          </w:p>
        </w:tc>
      </w:tr>
      <w:tr w:rsidR="00F212FE" w:rsidRPr="006358A3" w14:paraId="61AFAE1C" w14:textId="77777777" w:rsidTr="0055381F">
        <w:trPr>
          <w:gridAfter w:val="4"/>
          <w:wAfter w:w="2761" w:type="dxa"/>
          <w:trHeight w:val="1240"/>
        </w:trPr>
        <w:tc>
          <w:tcPr>
            <w:tcW w:w="1990" w:type="dxa"/>
            <w:vMerge/>
            <w:tcBorders>
              <w:top w:val="single" w:sz="4" w:space="0" w:color="auto"/>
              <w:left w:val="single" w:sz="4" w:space="0" w:color="auto"/>
              <w:bottom w:val="single" w:sz="4" w:space="0" w:color="auto"/>
              <w:right w:val="nil"/>
            </w:tcBorders>
            <w:shd w:val="clear" w:color="auto" w:fill="29B95C"/>
            <w:vAlign w:val="center"/>
            <w:hideMark/>
          </w:tcPr>
          <w:p w14:paraId="0169D9BF"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54D32C82"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445F52F1"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Imparcialidad</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7FDB315"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7ACBE3B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La intervención sin consulta a comunidades locales puede pasar por alto conocimientos ecológicos tradicionales.</w:t>
            </w:r>
          </w:p>
        </w:tc>
        <w:tc>
          <w:tcPr>
            <w:tcW w:w="2264" w:type="dxa"/>
            <w:gridSpan w:val="2"/>
            <w:tcBorders>
              <w:top w:val="nil"/>
              <w:left w:val="nil"/>
              <w:bottom w:val="single" w:sz="4" w:space="0" w:color="auto"/>
              <w:right w:val="single" w:sz="4" w:space="0" w:color="auto"/>
            </w:tcBorders>
            <w:hideMark/>
          </w:tcPr>
          <w:p w14:paraId="7AEB3745"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825784">
              <w:rPr>
                <w:rFonts w:ascii="Calibri" w:eastAsia="Times New Roman" w:hAnsi="Calibri" w:cs="Calibri"/>
                <w:color w:val="000000"/>
                <w:sz w:val="24"/>
                <w:lang w:eastAsia="es-CR"/>
              </w:rPr>
              <w:t>Percepción de imposición o afectación.</w:t>
            </w:r>
          </w:p>
        </w:tc>
        <w:tc>
          <w:tcPr>
            <w:tcW w:w="942" w:type="dxa"/>
            <w:tcBorders>
              <w:top w:val="nil"/>
              <w:left w:val="nil"/>
              <w:bottom w:val="single" w:sz="4" w:space="0" w:color="auto"/>
              <w:right w:val="single" w:sz="4" w:space="0" w:color="auto"/>
            </w:tcBorders>
            <w:noWrap/>
            <w:vAlign w:val="center"/>
            <w:hideMark/>
          </w:tcPr>
          <w:p w14:paraId="2CB44BFA"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1BD37DAE"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Incorporar la participación comunitaria para identificar elementos de biodiversidad relevantes culturalmente.</w:t>
            </w:r>
          </w:p>
        </w:tc>
        <w:tc>
          <w:tcPr>
            <w:tcW w:w="1140" w:type="dxa"/>
            <w:gridSpan w:val="3"/>
            <w:tcBorders>
              <w:top w:val="nil"/>
              <w:left w:val="nil"/>
              <w:bottom w:val="single" w:sz="4" w:space="0" w:color="auto"/>
              <w:right w:val="single" w:sz="4" w:space="0" w:color="auto"/>
            </w:tcBorders>
            <w:noWrap/>
            <w:vAlign w:val="center"/>
            <w:hideMark/>
          </w:tcPr>
          <w:p w14:paraId="1B89371B"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883" w:type="dxa"/>
            <w:tcBorders>
              <w:top w:val="nil"/>
              <w:left w:val="nil"/>
              <w:bottom w:val="single" w:sz="4" w:space="0" w:color="auto"/>
              <w:right w:val="single" w:sz="4" w:space="0" w:color="auto"/>
            </w:tcBorders>
            <w:noWrap/>
            <w:vAlign w:val="center"/>
            <w:hideMark/>
          </w:tcPr>
          <w:p w14:paraId="7A13D7CE"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1</w:t>
            </w:r>
          </w:p>
        </w:tc>
        <w:tc>
          <w:tcPr>
            <w:tcW w:w="3351" w:type="dxa"/>
            <w:gridSpan w:val="2"/>
            <w:tcBorders>
              <w:top w:val="nil"/>
              <w:left w:val="nil"/>
              <w:bottom w:val="single" w:sz="4" w:space="0" w:color="auto"/>
              <w:right w:val="single" w:sz="4" w:space="0" w:color="auto"/>
            </w:tcBorders>
            <w:hideMark/>
          </w:tcPr>
          <w:p w14:paraId="664AE13C"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Mejora la inclusión, legitimidad social y preservación cultural/ecológica.</w:t>
            </w:r>
          </w:p>
        </w:tc>
      </w:tr>
      <w:tr w:rsidR="00F212FE" w:rsidRPr="006358A3" w14:paraId="61BC1EA6" w14:textId="77777777" w:rsidTr="0055381F">
        <w:trPr>
          <w:gridAfter w:val="4"/>
          <w:wAfter w:w="2761" w:type="dxa"/>
          <w:trHeight w:val="1860"/>
        </w:trPr>
        <w:tc>
          <w:tcPr>
            <w:tcW w:w="1990" w:type="dxa"/>
            <w:vMerge w:val="restart"/>
            <w:tcBorders>
              <w:top w:val="single" w:sz="4" w:space="0" w:color="auto"/>
              <w:left w:val="single" w:sz="4" w:space="0" w:color="auto"/>
              <w:bottom w:val="single" w:sz="4" w:space="0" w:color="auto"/>
              <w:right w:val="single" w:sz="4" w:space="0" w:color="auto"/>
            </w:tcBorders>
            <w:shd w:val="clear" w:color="auto" w:fill="29B95C"/>
            <w:vAlign w:val="center"/>
            <w:hideMark/>
          </w:tcPr>
          <w:p w14:paraId="2BB756EB" w14:textId="77777777" w:rsidR="00F212FE" w:rsidRPr="006358A3" w:rsidRDefault="00F212FE" w:rsidP="0055381F">
            <w:pPr>
              <w:spacing w:line="240" w:lineRule="auto"/>
              <w:ind w:firstLine="0"/>
              <w:rPr>
                <w:rFonts w:ascii="Calibri" w:eastAsia="Times New Roman" w:hAnsi="Calibri" w:cs="Calibri"/>
                <w:color w:val="4A9F38"/>
                <w:sz w:val="24"/>
                <w:lang w:val="es-CR" w:eastAsia="es-CR"/>
              </w:rPr>
            </w:pPr>
            <w:r w:rsidRPr="006358A3">
              <w:rPr>
                <w:rFonts w:ascii="Calibri" w:eastAsia="Times New Roman" w:hAnsi="Calibri" w:cs="Calibri"/>
                <w:noProof/>
                <w:color w:val="000000"/>
                <w:sz w:val="24"/>
                <w:lang w:val="es-CR" w:eastAsia="es-CR"/>
              </w:rPr>
              <w:drawing>
                <wp:anchor distT="0" distB="0" distL="114300" distR="114300" simplePos="0" relativeHeight="251691008" behindDoc="0" locked="0" layoutInCell="1" allowOverlap="1" wp14:anchorId="5F4E2598" wp14:editId="54052A55">
                  <wp:simplePos x="0" y="0"/>
                  <wp:positionH relativeFrom="column">
                    <wp:posOffset>244475</wp:posOffset>
                  </wp:positionH>
                  <wp:positionV relativeFrom="paragraph">
                    <wp:posOffset>104140</wp:posOffset>
                  </wp:positionV>
                  <wp:extent cx="831850" cy="889000"/>
                  <wp:effectExtent l="0" t="0" r="0" b="6350"/>
                  <wp:wrapNone/>
                  <wp:docPr id="37" name="Imagen 33">
                    <a:extLst xmlns:a="http://schemas.openxmlformats.org/drawingml/2006/main">
                      <a:ext uri="{FF2B5EF4-FFF2-40B4-BE49-F238E27FC236}">
                        <a16:creationId xmlns:a16="http://schemas.microsoft.com/office/drawing/2014/main" id="{00000000-0008-0000-0400-000025000000}"/>
                      </a:ext>
                    </a:extLst>
                  </wp:docPr>
                  <wp:cNvGraphicFramePr/>
                  <a:graphic xmlns:a="http://schemas.openxmlformats.org/drawingml/2006/main">
                    <a:graphicData uri="http://schemas.openxmlformats.org/drawingml/2006/picture">
                      <pic:pic xmlns:pic="http://schemas.openxmlformats.org/drawingml/2006/picture">
                        <pic:nvPicPr>
                          <pic:cNvPr id="37" name="Picture 36">
                            <a:extLst>
                              <a:ext uri="{FF2B5EF4-FFF2-40B4-BE49-F238E27FC236}">
                                <a16:creationId xmlns:a16="http://schemas.microsoft.com/office/drawing/2014/main" id="{00000000-0008-0000-0400-000025000000}"/>
                              </a:ext>
                            </a:extLst>
                          </pic:cNvPr>
                          <pic:cNvPicPr>
                            <a:picLocks noChangeAspect="1"/>
                          </pic:cNvPicPr>
                        </pic:nvPicPr>
                        <pic:blipFill>
                          <a:blip r:embed="rId56"/>
                          <a:stretch>
                            <a:fillRect/>
                          </a:stretch>
                        </pic:blipFill>
                        <pic:spPr>
                          <a:xfrm>
                            <a:off x="0" y="0"/>
                            <a:ext cx="831850" cy="889000"/>
                          </a:xfrm>
                          <a:prstGeom prst="rect">
                            <a:avLst/>
                          </a:prstGeom>
                        </pic:spPr>
                      </pic:pic>
                    </a:graphicData>
                  </a:graphic>
                  <wp14:sizeRelH relativeFrom="page">
                    <wp14:pctWidth>0</wp14:pctWidth>
                  </wp14:sizeRelH>
                  <wp14:sizeRelV relativeFrom="page">
                    <wp14:pctHeight>0</wp14:pctHeight>
                  </wp14:sizeRelV>
                </wp:anchor>
              </w:drawing>
            </w:r>
          </w:p>
        </w:tc>
        <w:tc>
          <w:tcPr>
            <w:tcW w:w="1979" w:type="dxa"/>
            <w:vMerge w:val="restart"/>
            <w:tcBorders>
              <w:top w:val="nil"/>
              <w:left w:val="single" w:sz="4" w:space="0" w:color="auto"/>
              <w:bottom w:val="single" w:sz="4" w:space="0" w:color="auto"/>
              <w:right w:val="single" w:sz="4" w:space="0" w:color="auto"/>
            </w:tcBorders>
            <w:shd w:val="clear" w:color="000000" w:fill="F2F2F2"/>
            <w:vAlign w:val="center"/>
            <w:hideMark/>
          </w:tcPr>
          <w:p w14:paraId="338E3AAE"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r w:rsidRPr="006358A3">
              <w:rPr>
                <w:rFonts w:ascii="Calibri" w:eastAsia="Times New Roman" w:hAnsi="Calibri" w:cs="Calibri"/>
                <w:color w:val="000000"/>
                <w:sz w:val="18"/>
                <w:szCs w:val="18"/>
                <w:lang w:val="es-CR" w:eastAsia="es-CR"/>
              </w:rPr>
              <w:t>Calidad del aire y el agua implica medidas de contaminación en el aire y las fuentes de agua.</w:t>
            </w:r>
          </w:p>
        </w:tc>
        <w:tc>
          <w:tcPr>
            <w:tcW w:w="1667" w:type="dxa"/>
            <w:tcBorders>
              <w:top w:val="nil"/>
              <w:left w:val="nil"/>
              <w:bottom w:val="single" w:sz="4" w:space="0" w:color="auto"/>
              <w:right w:val="single" w:sz="4" w:space="0" w:color="auto"/>
            </w:tcBorders>
            <w:shd w:val="clear" w:color="000000" w:fill="F2F2F2"/>
            <w:noWrap/>
            <w:vAlign w:val="center"/>
            <w:hideMark/>
          </w:tcPr>
          <w:p w14:paraId="726DFFB9"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Vida Útil</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0F8463C"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4FAB202C"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El uso de materiales con compuestos volátiles (VOC) y falta de ventilación adecuada puede deteriorar la calidad del aire en espacios interiores.</w:t>
            </w:r>
          </w:p>
        </w:tc>
        <w:tc>
          <w:tcPr>
            <w:tcW w:w="2264" w:type="dxa"/>
            <w:gridSpan w:val="2"/>
            <w:tcBorders>
              <w:top w:val="nil"/>
              <w:left w:val="nil"/>
              <w:bottom w:val="single" w:sz="4" w:space="0" w:color="auto"/>
              <w:right w:val="single" w:sz="4" w:space="0" w:color="auto"/>
            </w:tcBorders>
            <w:hideMark/>
          </w:tcPr>
          <w:p w14:paraId="72FE108C"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Impacto en la salud ocupacional y reducción de la vida útil del mobiliario.</w:t>
            </w:r>
          </w:p>
        </w:tc>
        <w:tc>
          <w:tcPr>
            <w:tcW w:w="942" w:type="dxa"/>
            <w:tcBorders>
              <w:top w:val="nil"/>
              <w:left w:val="nil"/>
              <w:bottom w:val="single" w:sz="4" w:space="0" w:color="auto"/>
              <w:right w:val="single" w:sz="4" w:space="0" w:color="auto"/>
            </w:tcBorders>
            <w:noWrap/>
            <w:vAlign w:val="center"/>
            <w:hideMark/>
          </w:tcPr>
          <w:p w14:paraId="17CDCAFD"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4CF116C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Priorizar materiales certificados con bajas emisiones y mejorar los sistemas de ventilación natural y mecánica desde el diseño.</w:t>
            </w:r>
          </w:p>
        </w:tc>
        <w:tc>
          <w:tcPr>
            <w:tcW w:w="1140" w:type="dxa"/>
            <w:gridSpan w:val="3"/>
            <w:tcBorders>
              <w:top w:val="nil"/>
              <w:left w:val="nil"/>
              <w:bottom w:val="single" w:sz="4" w:space="0" w:color="auto"/>
              <w:right w:val="single" w:sz="4" w:space="0" w:color="auto"/>
            </w:tcBorders>
            <w:noWrap/>
            <w:vAlign w:val="center"/>
            <w:hideMark/>
          </w:tcPr>
          <w:p w14:paraId="58032249"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0B47367F"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46024FCC"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Ambientes interiores más saludables y duraderos.</w:t>
            </w:r>
          </w:p>
        </w:tc>
      </w:tr>
      <w:tr w:rsidR="00F212FE" w:rsidRPr="006358A3" w14:paraId="4F3DD477" w14:textId="77777777" w:rsidTr="0055381F">
        <w:trPr>
          <w:gridAfter w:val="4"/>
          <w:wAfter w:w="2761" w:type="dxa"/>
          <w:trHeight w:val="1860"/>
        </w:trPr>
        <w:tc>
          <w:tcPr>
            <w:tcW w:w="1990" w:type="dxa"/>
            <w:vMerge/>
            <w:tcBorders>
              <w:top w:val="nil"/>
              <w:left w:val="single" w:sz="4" w:space="0" w:color="auto"/>
              <w:bottom w:val="single" w:sz="4" w:space="0" w:color="auto"/>
              <w:right w:val="single" w:sz="4" w:space="0" w:color="auto"/>
            </w:tcBorders>
            <w:shd w:val="clear" w:color="auto" w:fill="29B95C"/>
            <w:vAlign w:val="center"/>
            <w:hideMark/>
          </w:tcPr>
          <w:p w14:paraId="08F0A278" w14:textId="77777777" w:rsidR="00F212FE" w:rsidRPr="006358A3" w:rsidRDefault="00F212FE" w:rsidP="0055381F">
            <w:pPr>
              <w:spacing w:line="240" w:lineRule="auto"/>
              <w:ind w:firstLine="0"/>
              <w:rPr>
                <w:rFonts w:ascii="Calibri" w:eastAsia="Times New Roman" w:hAnsi="Calibri" w:cs="Calibri"/>
                <w:color w:val="4A9F38"/>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1295991B"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101F6D8A"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Mantenimiento</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0B9FA9C"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19D00459"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La acumulación de polvo, humedad o residuos en sistemas de aire acondicionado no es controlada de forma periódica.</w:t>
            </w:r>
          </w:p>
        </w:tc>
        <w:tc>
          <w:tcPr>
            <w:tcW w:w="2264" w:type="dxa"/>
            <w:gridSpan w:val="2"/>
            <w:tcBorders>
              <w:top w:val="nil"/>
              <w:left w:val="nil"/>
              <w:bottom w:val="single" w:sz="4" w:space="0" w:color="auto"/>
              <w:right w:val="single" w:sz="4" w:space="0" w:color="auto"/>
            </w:tcBorders>
            <w:hideMark/>
          </w:tcPr>
          <w:p w14:paraId="5C437D5B"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Riesgo de contaminación del aire y del agua en sistemas internos.</w:t>
            </w:r>
          </w:p>
        </w:tc>
        <w:tc>
          <w:tcPr>
            <w:tcW w:w="942" w:type="dxa"/>
            <w:tcBorders>
              <w:top w:val="nil"/>
              <w:left w:val="nil"/>
              <w:bottom w:val="single" w:sz="4" w:space="0" w:color="auto"/>
              <w:right w:val="single" w:sz="4" w:space="0" w:color="auto"/>
            </w:tcBorders>
            <w:noWrap/>
            <w:vAlign w:val="center"/>
            <w:hideMark/>
          </w:tcPr>
          <w:p w14:paraId="242D00A6"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6D7EAC0E"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Incluir cronogramas de limpieza, mantenimiento y revisión de filtros y drenajes de sistemas HVAC.</w:t>
            </w:r>
          </w:p>
        </w:tc>
        <w:tc>
          <w:tcPr>
            <w:tcW w:w="1140" w:type="dxa"/>
            <w:gridSpan w:val="3"/>
            <w:tcBorders>
              <w:top w:val="nil"/>
              <w:left w:val="nil"/>
              <w:bottom w:val="single" w:sz="4" w:space="0" w:color="auto"/>
              <w:right w:val="single" w:sz="4" w:space="0" w:color="auto"/>
            </w:tcBorders>
            <w:noWrap/>
            <w:vAlign w:val="center"/>
            <w:hideMark/>
          </w:tcPr>
          <w:p w14:paraId="2F9B876E"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883" w:type="dxa"/>
            <w:tcBorders>
              <w:top w:val="nil"/>
              <w:left w:val="nil"/>
              <w:bottom w:val="single" w:sz="4" w:space="0" w:color="auto"/>
              <w:right w:val="single" w:sz="4" w:space="0" w:color="auto"/>
            </w:tcBorders>
            <w:noWrap/>
            <w:vAlign w:val="center"/>
            <w:hideMark/>
          </w:tcPr>
          <w:p w14:paraId="7CA741A0"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1</w:t>
            </w:r>
          </w:p>
        </w:tc>
        <w:tc>
          <w:tcPr>
            <w:tcW w:w="3351" w:type="dxa"/>
            <w:gridSpan w:val="2"/>
            <w:tcBorders>
              <w:top w:val="nil"/>
              <w:left w:val="nil"/>
              <w:bottom w:val="single" w:sz="4" w:space="0" w:color="auto"/>
              <w:right w:val="single" w:sz="4" w:space="0" w:color="auto"/>
            </w:tcBorders>
            <w:hideMark/>
          </w:tcPr>
          <w:p w14:paraId="378D9FF2"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Mantenimiento más efectivo, reducción de contaminantes.</w:t>
            </w:r>
          </w:p>
        </w:tc>
      </w:tr>
      <w:tr w:rsidR="00F212FE" w:rsidRPr="006358A3" w14:paraId="131059A3" w14:textId="77777777" w:rsidTr="0055381F">
        <w:trPr>
          <w:gridAfter w:val="4"/>
          <w:wAfter w:w="2761" w:type="dxa"/>
          <w:trHeight w:val="1240"/>
        </w:trPr>
        <w:tc>
          <w:tcPr>
            <w:tcW w:w="1990" w:type="dxa"/>
            <w:vMerge/>
            <w:tcBorders>
              <w:top w:val="nil"/>
              <w:left w:val="single" w:sz="4" w:space="0" w:color="auto"/>
              <w:bottom w:val="single" w:sz="4" w:space="0" w:color="auto"/>
              <w:right w:val="single" w:sz="4" w:space="0" w:color="auto"/>
            </w:tcBorders>
            <w:shd w:val="clear" w:color="auto" w:fill="29B95C"/>
            <w:vAlign w:val="center"/>
            <w:hideMark/>
          </w:tcPr>
          <w:p w14:paraId="120CB2FF" w14:textId="77777777" w:rsidR="00F212FE" w:rsidRPr="006358A3" w:rsidRDefault="00F212FE" w:rsidP="0055381F">
            <w:pPr>
              <w:spacing w:line="240" w:lineRule="auto"/>
              <w:ind w:firstLine="0"/>
              <w:rPr>
                <w:rFonts w:ascii="Calibri" w:eastAsia="Times New Roman" w:hAnsi="Calibri" w:cs="Calibri"/>
                <w:color w:val="4A9F38"/>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0C3BAB58"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6829061D"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Eficacia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8DC7AC1"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0D5DE70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No se evalúa el impacto de actividades de construcción sobre cuerpos de agua cercanos.</w:t>
            </w:r>
          </w:p>
        </w:tc>
        <w:tc>
          <w:tcPr>
            <w:tcW w:w="2264" w:type="dxa"/>
            <w:gridSpan w:val="2"/>
            <w:tcBorders>
              <w:top w:val="nil"/>
              <w:left w:val="nil"/>
              <w:bottom w:val="single" w:sz="4" w:space="0" w:color="auto"/>
              <w:right w:val="single" w:sz="4" w:space="0" w:color="auto"/>
            </w:tcBorders>
            <w:hideMark/>
          </w:tcPr>
          <w:p w14:paraId="6674B1C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Riesgo de contaminación por escorrentía o mala disposición de residuos.</w:t>
            </w:r>
          </w:p>
        </w:tc>
        <w:tc>
          <w:tcPr>
            <w:tcW w:w="942" w:type="dxa"/>
            <w:tcBorders>
              <w:top w:val="nil"/>
              <w:left w:val="nil"/>
              <w:bottom w:val="single" w:sz="4" w:space="0" w:color="auto"/>
              <w:right w:val="single" w:sz="4" w:space="0" w:color="auto"/>
            </w:tcBorders>
            <w:noWrap/>
            <w:vAlign w:val="center"/>
            <w:hideMark/>
          </w:tcPr>
          <w:p w14:paraId="25D464DA"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602DBEF5"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Implementar barreras de sedimentos, zonas de protección y protocolos de manejo de residuos líquidos.</w:t>
            </w:r>
          </w:p>
        </w:tc>
        <w:tc>
          <w:tcPr>
            <w:tcW w:w="1140" w:type="dxa"/>
            <w:gridSpan w:val="3"/>
            <w:tcBorders>
              <w:top w:val="nil"/>
              <w:left w:val="nil"/>
              <w:bottom w:val="single" w:sz="4" w:space="0" w:color="auto"/>
              <w:right w:val="single" w:sz="4" w:space="0" w:color="auto"/>
            </w:tcBorders>
            <w:noWrap/>
            <w:vAlign w:val="center"/>
            <w:hideMark/>
          </w:tcPr>
          <w:p w14:paraId="5603ACF2"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660EA7FD"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5B4F7A36"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Prevención de contaminación en fuentes de agua cercanas.</w:t>
            </w:r>
          </w:p>
        </w:tc>
      </w:tr>
      <w:tr w:rsidR="00F212FE" w:rsidRPr="006358A3" w14:paraId="15FE3FFF" w14:textId="77777777" w:rsidTr="0055381F">
        <w:trPr>
          <w:gridAfter w:val="4"/>
          <w:wAfter w:w="2761" w:type="dxa"/>
          <w:trHeight w:val="1550"/>
        </w:trPr>
        <w:tc>
          <w:tcPr>
            <w:tcW w:w="1990" w:type="dxa"/>
            <w:vMerge/>
            <w:tcBorders>
              <w:top w:val="nil"/>
              <w:left w:val="single" w:sz="4" w:space="0" w:color="auto"/>
              <w:bottom w:val="single" w:sz="4" w:space="0" w:color="auto"/>
              <w:right w:val="single" w:sz="4" w:space="0" w:color="auto"/>
            </w:tcBorders>
            <w:shd w:val="clear" w:color="auto" w:fill="29B95C"/>
            <w:vAlign w:val="center"/>
            <w:hideMark/>
          </w:tcPr>
          <w:p w14:paraId="754B8AE4" w14:textId="77777777" w:rsidR="00F212FE" w:rsidRPr="006358A3" w:rsidRDefault="00F212FE" w:rsidP="0055381F">
            <w:pPr>
              <w:spacing w:line="240" w:lineRule="auto"/>
              <w:ind w:firstLine="0"/>
              <w:rPr>
                <w:rFonts w:ascii="Calibri" w:eastAsia="Times New Roman" w:hAnsi="Calibri" w:cs="Calibri"/>
                <w:color w:val="4A9F38"/>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6E1C545F"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4FDDB0FA"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Eficiencia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6DB5964"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2800FA6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El consumo de agua no es monitoreado ni optimizado, lo cual genera descargas innecesarias a sistemas de tratamiento.</w:t>
            </w:r>
          </w:p>
        </w:tc>
        <w:tc>
          <w:tcPr>
            <w:tcW w:w="2264" w:type="dxa"/>
            <w:gridSpan w:val="2"/>
            <w:tcBorders>
              <w:top w:val="nil"/>
              <w:left w:val="nil"/>
              <w:bottom w:val="single" w:sz="4" w:space="0" w:color="auto"/>
              <w:right w:val="single" w:sz="4" w:space="0" w:color="auto"/>
            </w:tcBorders>
            <w:hideMark/>
          </w:tcPr>
          <w:p w14:paraId="4892967C"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Desperdicio de recursos hídricos y aumento de costos operativos.</w:t>
            </w:r>
          </w:p>
        </w:tc>
        <w:tc>
          <w:tcPr>
            <w:tcW w:w="942" w:type="dxa"/>
            <w:tcBorders>
              <w:top w:val="nil"/>
              <w:left w:val="nil"/>
              <w:bottom w:val="single" w:sz="4" w:space="0" w:color="auto"/>
              <w:right w:val="single" w:sz="4" w:space="0" w:color="auto"/>
            </w:tcBorders>
            <w:noWrap/>
            <w:vAlign w:val="center"/>
            <w:hideMark/>
          </w:tcPr>
          <w:p w14:paraId="3AA3E9D1"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3D4DB771"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Incorporar dispositivos de ahorro, reutilización de aguas grises y sensores en grifería.</w:t>
            </w:r>
          </w:p>
        </w:tc>
        <w:tc>
          <w:tcPr>
            <w:tcW w:w="1140" w:type="dxa"/>
            <w:gridSpan w:val="3"/>
            <w:tcBorders>
              <w:top w:val="nil"/>
              <w:left w:val="nil"/>
              <w:bottom w:val="single" w:sz="4" w:space="0" w:color="auto"/>
              <w:right w:val="single" w:sz="4" w:space="0" w:color="auto"/>
            </w:tcBorders>
            <w:noWrap/>
            <w:vAlign w:val="center"/>
            <w:hideMark/>
          </w:tcPr>
          <w:p w14:paraId="69832C96"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68525BB8"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3A958AE5"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Mayor eficiencia hídrica y reducción de impacto ambiental.</w:t>
            </w:r>
          </w:p>
        </w:tc>
      </w:tr>
      <w:tr w:rsidR="00F212FE" w:rsidRPr="006358A3" w14:paraId="10549A0D" w14:textId="77777777" w:rsidTr="0055381F">
        <w:trPr>
          <w:gridAfter w:val="4"/>
          <w:wAfter w:w="2761" w:type="dxa"/>
          <w:trHeight w:val="1550"/>
        </w:trPr>
        <w:tc>
          <w:tcPr>
            <w:tcW w:w="1990" w:type="dxa"/>
            <w:vMerge/>
            <w:tcBorders>
              <w:top w:val="nil"/>
              <w:left w:val="single" w:sz="4" w:space="0" w:color="auto"/>
              <w:bottom w:val="single" w:sz="4" w:space="0" w:color="auto"/>
              <w:right w:val="single" w:sz="4" w:space="0" w:color="auto"/>
            </w:tcBorders>
            <w:shd w:val="clear" w:color="auto" w:fill="29B95C"/>
            <w:vAlign w:val="center"/>
            <w:hideMark/>
          </w:tcPr>
          <w:p w14:paraId="55E9D414" w14:textId="77777777" w:rsidR="00F212FE" w:rsidRPr="006358A3" w:rsidRDefault="00F212FE" w:rsidP="0055381F">
            <w:pPr>
              <w:spacing w:line="240" w:lineRule="auto"/>
              <w:ind w:firstLine="0"/>
              <w:rPr>
                <w:rFonts w:ascii="Calibri" w:eastAsia="Times New Roman" w:hAnsi="Calibri" w:cs="Calibri"/>
                <w:color w:val="4A9F38"/>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0679F72F"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100C797A"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Imparcialidad</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99D0806"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2849ABB1"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Algunos trabajadores pueden estar más expuestos a contaminantes que otros (ej. operarios vs. administrativos).</w:t>
            </w:r>
          </w:p>
        </w:tc>
        <w:tc>
          <w:tcPr>
            <w:tcW w:w="2264" w:type="dxa"/>
            <w:gridSpan w:val="2"/>
            <w:tcBorders>
              <w:top w:val="nil"/>
              <w:left w:val="nil"/>
              <w:bottom w:val="single" w:sz="4" w:space="0" w:color="auto"/>
              <w:right w:val="single" w:sz="4" w:space="0" w:color="auto"/>
            </w:tcBorders>
            <w:hideMark/>
          </w:tcPr>
          <w:p w14:paraId="2D4C732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Inequidad en condiciones de salud y seguridad.</w:t>
            </w:r>
          </w:p>
        </w:tc>
        <w:tc>
          <w:tcPr>
            <w:tcW w:w="942" w:type="dxa"/>
            <w:tcBorders>
              <w:top w:val="nil"/>
              <w:left w:val="nil"/>
              <w:bottom w:val="single" w:sz="4" w:space="0" w:color="auto"/>
              <w:right w:val="single" w:sz="4" w:space="0" w:color="auto"/>
            </w:tcBorders>
            <w:noWrap/>
            <w:vAlign w:val="center"/>
            <w:hideMark/>
          </w:tcPr>
          <w:p w14:paraId="68EA6E71"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1995" w:type="dxa"/>
            <w:tcBorders>
              <w:top w:val="nil"/>
              <w:left w:val="nil"/>
              <w:bottom w:val="single" w:sz="4" w:space="0" w:color="auto"/>
              <w:right w:val="single" w:sz="4" w:space="0" w:color="auto"/>
            </w:tcBorders>
            <w:hideMark/>
          </w:tcPr>
          <w:p w14:paraId="049BC5A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Garantizar calidad homogénea del aire y acceso igualitario a agua potable limpia en todos los espacios de trabajo.</w:t>
            </w:r>
          </w:p>
        </w:tc>
        <w:tc>
          <w:tcPr>
            <w:tcW w:w="1140" w:type="dxa"/>
            <w:gridSpan w:val="3"/>
            <w:tcBorders>
              <w:top w:val="nil"/>
              <w:left w:val="nil"/>
              <w:bottom w:val="single" w:sz="4" w:space="0" w:color="auto"/>
              <w:right w:val="single" w:sz="4" w:space="0" w:color="auto"/>
            </w:tcBorders>
            <w:noWrap/>
            <w:vAlign w:val="center"/>
            <w:hideMark/>
          </w:tcPr>
          <w:p w14:paraId="66F9B6DC"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14E8FC0D"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1</w:t>
            </w:r>
          </w:p>
        </w:tc>
        <w:tc>
          <w:tcPr>
            <w:tcW w:w="3351" w:type="dxa"/>
            <w:gridSpan w:val="2"/>
            <w:tcBorders>
              <w:top w:val="nil"/>
              <w:left w:val="nil"/>
              <w:bottom w:val="single" w:sz="4" w:space="0" w:color="auto"/>
              <w:right w:val="single" w:sz="4" w:space="0" w:color="auto"/>
            </w:tcBorders>
            <w:hideMark/>
          </w:tcPr>
          <w:p w14:paraId="491A484D"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Mejora en la equidad ambiental y bienestar del personal.</w:t>
            </w:r>
          </w:p>
        </w:tc>
      </w:tr>
      <w:tr w:rsidR="00F212FE" w:rsidRPr="006358A3" w14:paraId="152309F0" w14:textId="77777777" w:rsidTr="0055381F">
        <w:trPr>
          <w:gridAfter w:val="4"/>
          <w:wAfter w:w="2761" w:type="dxa"/>
          <w:trHeight w:val="1550"/>
        </w:trPr>
        <w:tc>
          <w:tcPr>
            <w:tcW w:w="1990" w:type="dxa"/>
            <w:vMerge w:val="restart"/>
            <w:tcBorders>
              <w:top w:val="single" w:sz="4" w:space="0" w:color="auto"/>
              <w:left w:val="single" w:sz="4" w:space="0" w:color="auto"/>
              <w:bottom w:val="single" w:sz="4" w:space="0" w:color="auto"/>
              <w:right w:val="nil"/>
            </w:tcBorders>
            <w:shd w:val="clear" w:color="auto" w:fill="29B95C"/>
            <w:noWrap/>
            <w:vAlign w:val="bottom"/>
            <w:hideMark/>
          </w:tcPr>
          <w:p w14:paraId="18A6A3AA"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noProof/>
                <w:color w:val="000000"/>
                <w:sz w:val="24"/>
                <w:lang w:val="es-CR" w:eastAsia="es-CR"/>
              </w:rPr>
              <w:drawing>
                <wp:anchor distT="0" distB="0" distL="114300" distR="114300" simplePos="0" relativeHeight="251692032" behindDoc="0" locked="0" layoutInCell="1" allowOverlap="1" wp14:anchorId="6535F138" wp14:editId="6173D239">
                  <wp:simplePos x="0" y="0"/>
                  <wp:positionH relativeFrom="column">
                    <wp:posOffset>185420</wp:posOffset>
                  </wp:positionH>
                  <wp:positionV relativeFrom="paragraph">
                    <wp:posOffset>-1497330</wp:posOffset>
                  </wp:positionV>
                  <wp:extent cx="831850" cy="882650"/>
                  <wp:effectExtent l="0" t="0" r="0" b="0"/>
                  <wp:wrapNone/>
                  <wp:docPr id="39" name="Imagen 32">
                    <a:extLst xmlns:a="http://schemas.openxmlformats.org/drawingml/2006/main">
                      <a:ext uri="{FF2B5EF4-FFF2-40B4-BE49-F238E27FC236}">
                        <a16:creationId xmlns:a16="http://schemas.microsoft.com/office/drawing/2014/main" id="{00000000-0008-0000-0400-000027000000}"/>
                      </a:ext>
                    </a:extLst>
                  </wp:docPr>
                  <wp:cNvGraphicFramePr/>
                  <a:graphic xmlns:a="http://schemas.openxmlformats.org/drawingml/2006/main">
                    <a:graphicData uri="http://schemas.openxmlformats.org/drawingml/2006/picture">
                      <pic:pic xmlns:pic="http://schemas.openxmlformats.org/drawingml/2006/picture">
                        <pic:nvPicPr>
                          <pic:cNvPr id="39" name="Picture 38">
                            <a:extLst>
                              <a:ext uri="{FF2B5EF4-FFF2-40B4-BE49-F238E27FC236}">
                                <a16:creationId xmlns:a16="http://schemas.microsoft.com/office/drawing/2014/main" id="{00000000-0008-0000-0400-000027000000}"/>
                              </a:ext>
                            </a:extLst>
                          </pic:cNvPr>
                          <pic:cNvPicPr>
                            <a:picLocks noChangeAspect="1"/>
                          </pic:cNvPicPr>
                        </pic:nvPicPr>
                        <pic:blipFill>
                          <a:blip r:embed="rId57"/>
                          <a:stretch>
                            <a:fillRect/>
                          </a:stretch>
                        </pic:blipFill>
                        <pic:spPr>
                          <a:xfrm>
                            <a:off x="0" y="0"/>
                            <a:ext cx="831850" cy="882650"/>
                          </a:xfrm>
                          <a:prstGeom prst="rect">
                            <a:avLst/>
                          </a:prstGeom>
                        </pic:spPr>
                      </pic:pic>
                    </a:graphicData>
                  </a:graphic>
                  <wp14:sizeRelH relativeFrom="page">
                    <wp14:pctWidth>0</wp14:pctWidth>
                  </wp14:sizeRelH>
                  <wp14:sizeRelV relativeFrom="page">
                    <wp14:pctHeight>0</wp14:pctHeight>
                  </wp14:sizeRelV>
                </wp:anchor>
              </w:drawing>
            </w:r>
          </w:p>
          <w:p w14:paraId="4BE17A69"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val="restart"/>
            <w:tcBorders>
              <w:top w:val="nil"/>
              <w:left w:val="single" w:sz="4" w:space="0" w:color="auto"/>
              <w:bottom w:val="single" w:sz="4" w:space="0" w:color="auto"/>
              <w:right w:val="single" w:sz="4" w:space="0" w:color="auto"/>
            </w:tcBorders>
            <w:shd w:val="clear" w:color="000000" w:fill="F2F2F2"/>
            <w:vAlign w:val="center"/>
            <w:hideMark/>
          </w:tcPr>
          <w:p w14:paraId="2421FD31"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r w:rsidRPr="006358A3">
              <w:rPr>
                <w:rFonts w:ascii="Calibri" w:eastAsia="Times New Roman" w:hAnsi="Calibri" w:cs="Calibri"/>
                <w:color w:val="000000"/>
                <w:sz w:val="18"/>
                <w:szCs w:val="18"/>
                <w:lang w:val="es-CR" w:eastAsia="es-CR"/>
              </w:rPr>
              <w:t>Consumo de agua es el uso de agua durante las actividades del proyecto. Aunque los proyectos de construcción, manufactura y agricultura son probablemente los principales usuarios de agua, en alguna medida todos los proyectos utilizan agua.</w:t>
            </w:r>
          </w:p>
        </w:tc>
        <w:tc>
          <w:tcPr>
            <w:tcW w:w="1667" w:type="dxa"/>
            <w:tcBorders>
              <w:top w:val="nil"/>
              <w:left w:val="nil"/>
              <w:bottom w:val="single" w:sz="4" w:space="0" w:color="auto"/>
              <w:right w:val="single" w:sz="4" w:space="0" w:color="auto"/>
            </w:tcBorders>
            <w:shd w:val="clear" w:color="000000" w:fill="F2F2F2"/>
            <w:noWrap/>
            <w:vAlign w:val="center"/>
            <w:hideMark/>
          </w:tcPr>
          <w:p w14:paraId="46FAFB9F"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Vida Útil</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593CCCB"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32244CE8"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El uso excesivo de agua en procesos de obra puede acelerar el deterioro de instalaciones por humedad o filtraciones.</w:t>
            </w:r>
          </w:p>
        </w:tc>
        <w:tc>
          <w:tcPr>
            <w:tcW w:w="2264" w:type="dxa"/>
            <w:gridSpan w:val="2"/>
            <w:tcBorders>
              <w:top w:val="nil"/>
              <w:left w:val="nil"/>
              <w:bottom w:val="single" w:sz="4" w:space="0" w:color="auto"/>
              <w:right w:val="single" w:sz="4" w:space="0" w:color="auto"/>
            </w:tcBorders>
            <w:hideMark/>
          </w:tcPr>
          <w:p w14:paraId="35A72CDC"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Reducción de durabilidad de acabados y estructuras.</w:t>
            </w:r>
          </w:p>
        </w:tc>
        <w:tc>
          <w:tcPr>
            <w:tcW w:w="942" w:type="dxa"/>
            <w:tcBorders>
              <w:top w:val="nil"/>
              <w:left w:val="nil"/>
              <w:bottom w:val="single" w:sz="4" w:space="0" w:color="auto"/>
              <w:right w:val="single" w:sz="4" w:space="0" w:color="auto"/>
            </w:tcBorders>
            <w:noWrap/>
            <w:vAlign w:val="center"/>
            <w:hideMark/>
          </w:tcPr>
          <w:p w14:paraId="6970BFD2"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257BDB91"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Optimizar procesos húmedos y emplear sistemas constructivos secos donde sea posible.</w:t>
            </w:r>
          </w:p>
        </w:tc>
        <w:tc>
          <w:tcPr>
            <w:tcW w:w="1140" w:type="dxa"/>
            <w:gridSpan w:val="3"/>
            <w:tcBorders>
              <w:top w:val="nil"/>
              <w:left w:val="nil"/>
              <w:bottom w:val="single" w:sz="4" w:space="0" w:color="auto"/>
              <w:right w:val="single" w:sz="4" w:space="0" w:color="auto"/>
            </w:tcBorders>
            <w:noWrap/>
            <w:vAlign w:val="center"/>
            <w:hideMark/>
          </w:tcPr>
          <w:p w14:paraId="1BA32252"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5C6852B1"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2939454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Mayor durabilidad de espacios y componentes.</w:t>
            </w:r>
          </w:p>
        </w:tc>
      </w:tr>
      <w:tr w:rsidR="00F212FE" w:rsidRPr="006358A3" w14:paraId="2ADFFC43" w14:textId="77777777" w:rsidTr="0055381F">
        <w:trPr>
          <w:gridAfter w:val="4"/>
          <w:wAfter w:w="2761" w:type="dxa"/>
          <w:trHeight w:val="1240"/>
        </w:trPr>
        <w:tc>
          <w:tcPr>
            <w:tcW w:w="1990" w:type="dxa"/>
            <w:vMerge/>
            <w:tcBorders>
              <w:top w:val="single" w:sz="4" w:space="0" w:color="auto"/>
              <w:left w:val="single" w:sz="4" w:space="0" w:color="auto"/>
              <w:bottom w:val="single" w:sz="4" w:space="0" w:color="auto"/>
              <w:right w:val="nil"/>
            </w:tcBorders>
            <w:shd w:val="clear" w:color="auto" w:fill="29B95C"/>
            <w:vAlign w:val="center"/>
            <w:hideMark/>
          </w:tcPr>
          <w:p w14:paraId="7C40F38E"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62CC97B4"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5DE4BDD0"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Mantenimiento</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B52C435"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213DF175"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No hay control del consumo de agua en fases posteriores del proyecto (uso de sanitarios, grifería, limpieza).</w:t>
            </w:r>
          </w:p>
        </w:tc>
        <w:tc>
          <w:tcPr>
            <w:tcW w:w="2264" w:type="dxa"/>
            <w:gridSpan w:val="2"/>
            <w:tcBorders>
              <w:top w:val="nil"/>
              <w:left w:val="nil"/>
              <w:bottom w:val="single" w:sz="4" w:space="0" w:color="auto"/>
              <w:right w:val="single" w:sz="4" w:space="0" w:color="auto"/>
            </w:tcBorders>
            <w:hideMark/>
          </w:tcPr>
          <w:p w14:paraId="6064E4ED"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Incremento de costos operativos y desgaste prematuro.</w:t>
            </w:r>
          </w:p>
        </w:tc>
        <w:tc>
          <w:tcPr>
            <w:tcW w:w="942" w:type="dxa"/>
            <w:tcBorders>
              <w:top w:val="nil"/>
              <w:left w:val="nil"/>
              <w:bottom w:val="single" w:sz="4" w:space="0" w:color="auto"/>
              <w:right w:val="single" w:sz="4" w:space="0" w:color="auto"/>
            </w:tcBorders>
            <w:noWrap/>
            <w:vAlign w:val="center"/>
            <w:hideMark/>
          </w:tcPr>
          <w:p w14:paraId="19AF469F"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7434F22A"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Incluir dispositivos ahorradores de agua y un plan de mantenimiento preventivo de fontanería.</w:t>
            </w:r>
          </w:p>
        </w:tc>
        <w:tc>
          <w:tcPr>
            <w:tcW w:w="1140" w:type="dxa"/>
            <w:gridSpan w:val="3"/>
            <w:tcBorders>
              <w:top w:val="nil"/>
              <w:left w:val="nil"/>
              <w:bottom w:val="single" w:sz="4" w:space="0" w:color="auto"/>
              <w:right w:val="single" w:sz="4" w:space="0" w:color="auto"/>
            </w:tcBorders>
            <w:noWrap/>
            <w:vAlign w:val="center"/>
            <w:hideMark/>
          </w:tcPr>
          <w:p w14:paraId="2E3B1C23"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2CB32D54"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70DEB559"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Menor consumo y mejores condiciones de mantenimiento.</w:t>
            </w:r>
          </w:p>
        </w:tc>
      </w:tr>
      <w:tr w:rsidR="00F212FE" w:rsidRPr="006358A3" w14:paraId="1E306FAD" w14:textId="77777777" w:rsidTr="0055381F">
        <w:trPr>
          <w:gridAfter w:val="4"/>
          <w:wAfter w:w="2761" w:type="dxa"/>
          <w:trHeight w:val="1240"/>
        </w:trPr>
        <w:tc>
          <w:tcPr>
            <w:tcW w:w="1990" w:type="dxa"/>
            <w:vMerge/>
            <w:tcBorders>
              <w:top w:val="single" w:sz="4" w:space="0" w:color="auto"/>
              <w:left w:val="single" w:sz="4" w:space="0" w:color="auto"/>
              <w:bottom w:val="single" w:sz="4" w:space="0" w:color="auto"/>
              <w:right w:val="nil"/>
            </w:tcBorders>
            <w:shd w:val="clear" w:color="auto" w:fill="29B95C"/>
            <w:vAlign w:val="center"/>
            <w:hideMark/>
          </w:tcPr>
          <w:p w14:paraId="6DDD639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61427C1C"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4EA01982"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Eficacia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EFF7A2C"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59FEE40B"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La planificación del uso de agua no se considera en fases tempranas del proyecto.</w:t>
            </w:r>
          </w:p>
        </w:tc>
        <w:tc>
          <w:tcPr>
            <w:tcW w:w="2264" w:type="dxa"/>
            <w:gridSpan w:val="2"/>
            <w:tcBorders>
              <w:top w:val="nil"/>
              <w:left w:val="nil"/>
              <w:bottom w:val="single" w:sz="4" w:space="0" w:color="auto"/>
              <w:right w:val="single" w:sz="4" w:space="0" w:color="auto"/>
            </w:tcBorders>
            <w:hideMark/>
          </w:tcPr>
          <w:p w14:paraId="227F4FCB"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Dificultades para cumplir metas ambientales o certificaciones.</w:t>
            </w:r>
          </w:p>
        </w:tc>
        <w:tc>
          <w:tcPr>
            <w:tcW w:w="942" w:type="dxa"/>
            <w:tcBorders>
              <w:top w:val="nil"/>
              <w:left w:val="nil"/>
              <w:bottom w:val="single" w:sz="4" w:space="0" w:color="auto"/>
              <w:right w:val="single" w:sz="4" w:space="0" w:color="auto"/>
            </w:tcBorders>
            <w:noWrap/>
            <w:vAlign w:val="center"/>
            <w:hideMark/>
          </w:tcPr>
          <w:p w14:paraId="0924D167"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648207CD"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Incluir estimaciones de consumo y medidas de reducción desde la planificación.</w:t>
            </w:r>
          </w:p>
        </w:tc>
        <w:tc>
          <w:tcPr>
            <w:tcW w:w="1140" w:type="dxa"/>
            <w:gridSpan w:val="3"/>
            <w:tcBorders>
              <w:top w:val="nil"/>
              <w:left w:val="nil"/>
              <w:bottom w:val="single" w:sz="4" w:space="0" w:color="auto"/>
              <w:right w:val="single" w:sz="4" w:space="0" w:color="auto"/>
            </w:tcBorders>
            <w:noWrap/>
            <w:vAlign w:val="center"/>
            <w:hideMark/>
          </w:tcPr>
          <w:p w14:paraId="6B7223D4"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883" w:type="dxa"/>
            <w:tcBorders>
              <w:top w:val="nil"/>
              <w:left w:val="nil"/>
              <w:bottom w:val="single" w:sz="4" w:space="0" w:color="auto"/>
              <w:right w:val="single" w:sz="4" w:space="0" w:color="auto"/>
            </w:tcBorders>
            <w:noWrap/>
            <w:vAlign w:val="center"/>
            <w:hideMark/>
          </w:tcPr>
          <w:p w14:paraId="14D56C7C"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1</w:t>
            </w:r>
          </w:p>
        </w:tc>
        <w:tc>
          <w:tcPr>
            <w:tcW w:w="3351" w:type="dxa"/>
            <w:gridSpan w:val="2"/>
            <w:tcBorders>
              <w:top w:val="nil"/>
              <w:left w:val="nil"/>
              <w:bottom w:val="single" w:sz="4" w:space="0" w:color="auto"/>
              <w:right w:val="single" w:sz="4" w:space="0" w:color="auto"/>
            </w:tcBorders>
            <w:hideMark/>
          </w:tcPr>
          <w:p w14:paraId="5AAF9D3F"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Mejor desempeño ambiental y cumplimiento de metas.</w:t>
            </w:r>
          </w:p>
        </w:tc>
      </w:tr>
      <w:tr w:rsidR="00F212FE" w:rsidRPr="006358A3" w14:paraId="22E9CB9F" w14:textId="77777777" w:rsidTr="0055381F">
        <w:trPr>
          <w:gridAfter w:val="4"/>
          <w:wAfter w:w="2761" w:type="dxa"/>
          <w:trHeight w:val="1240"/>
        </w:trPr>
        <w:tc>
          <w:tcPr>
            <w:tcW w:w="1990" w:type="dxa"/>
            <w:vMerge/>
            <w:tcBorders>
              <w:top w:val="single" w:sz="4" w:space="0" w:color="auto"/>
              <w:left w:val="single" w:sz="4" w:space="0" w:color="auto"/>
              <w:bottom w:val="single" w:sz="4" w:space="0" w:color="auto"/>
              <w:right w:val="nil"/>
            </w:tcBorders>
            <w:shd w:val="clear" w:color="auto" w:fill="29B95C"/>
            <w:vAlign w:val="center"/>
            <w:hideMark/>
          </w:tcPr>
          <w:p w14:paraId="43390801"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7DF4E520"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370709DE"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Eficiencia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4124C43"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6D046C2C"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Se desperdicia agua en actividades como limpieza de herramientas o pruebas hidráulicas.</w:t>
            </w:r>
          </w:p>
        </w:tc>
        <w:tc>
          <w:tcPr>
            <w:tcW w:w="2264" w:type="dxa"/>
            <w:gridSpan w:val="2"/>
            <w:tcBorders>
              <w:top w:val="nil"/>
              <w:left w:val="nil"/>
              <w:bottom w:val="single" w:sz="4" w:space="0" w:color="auto"/>
              <w:right w:val="single" w:sz="4" w:space="0" w:color="auto"/>
            </w:tcBorders>
            <w:hideMark/>
          </w:tcPr>
          <w:p w14:paraId="5DB6B8E9"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Aumento de costos y uso innecesario de recursos.</w:t>
            </w:r>
          </w:p>
        </w:tc>
        <w:tc>
          <w:tcPr>
            <w:tcW w:w="942" w:type="dxa"/>
            <w:tcBorders>
              <w:top w:val="nil"/>
              <w:left w:val="nil"/>
              <w:bottom w:val="single" w:sz="4" w:space="0" w:color="auto"/>
              <w:right w:val="single" w:sz="4" w:space="0" w:color="auto"/>
            </w:tcBorders>
            <w:noWrap/>
            <w:vAlign w:val="center"/>
            <w:hideMark/>
          </w:tcPr>
          <w:p w14:paraId="45E0B642"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58BCE63B"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Establecer protocolos de reutilización de agua para limpieza y riego.</w:t>
            </w:r>
          </w:p>
        </w:tc>
        <w:tc>
          <w:tcPr>
            <w:tcW w:w="1140" w:type="dxa"/>
            <w:gridSpan w:val="3"/>
            <w:tcBorders>
              <w:top w:val="nil"/>
              <w:left w:val="nil"/>
              <w:bottom w:val="single" w:sz="4" w:space="0" w:color="auto"/>
              <w:right w:val="single" w:sz="4" w:space="0" w:color="auto"/>
            </w:tcBorders>
            <w:noWrap/>
            <w:vAlign w:val="center"/>
            <w:hideMark/>
          </w:tcPr>
          <w:p w14:paraId="61D9409F"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6690EFC6"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614B5ADD"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Reducción de desperdicios y ahorro en recursos.</w:t>
            </w:r>
          </w:p>
        </w:tc>
      </w:tr>
      <w:tr w:rsidR="00F212FE" w:rsidRPr="006358A3" w14:paraId="60C303FE" w14:textId="77777777" w:rsidTr="0055381F">
        <w:trPr>
          <w:gridAfter w:val="4"/>
          <w:wAfter w:w="2761" w:type="dxa"/>
          <w:trHeight w:val="930"/>
        </w:trPr>
        <w:tc>
          <w:tcPr>
            <w:tcW w:w="1990" w:type="dxa"/>
            <w:vMerge/>
            <w:tcBorders>
              <w:top w:val="single" w:sz="4" w:space="0" w:color="auto"/>
              <w:left w:val="single" w:sz="4" w:space="0" w:color="auto"/>
              <w:bottom w:val="single" w:sz="4" w:space="0" w:color="auto"/>
              <w:right w:val="nil"/>
            </w:tcBorders>
            <w:shd w:val="clear" w:color="auto" w:fill="29B95C"/>
            <w:vAlign w:val="center"/>
            <w:hideMark/>
          </w:tcPr>
          <w:p w14:paraId="7E35457C"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5CB7A520"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0C4698DD"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Imparcialidad</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B6320C4"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74ECC7CE"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No todo el personal tiene acceso equitativo a servicios sanitarios con agua limpia.</w:t>
            </w:r>
          </w:p>
        </w:tc>
        <w:tc>
          <w:tcPr>
            <w:tcW w:w="2264" w:type="dxa"/>
            <w:gridSpan w:val="2"/>
            <w:tcBorders>
              <w:top w:val="nil"/>
              <w:left w:val="nil"/>
              <w:bottom w:val="single" w:sz="4" w:space="0" w:color="auto"/>
              <w:right w:val="single" w:sz="4" w:space="0" w:color="auto"/>
            </w:tcBorders>
            <w:hideMark/>
          </w:tcPr>
          <w:p w14:paraId="3ABA2A6A"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Condiciones de trabajo desiguales y posibles conflictos.</w:t>
            </w:r>
          </w:p>
        </w:tc>
        <w:tc>
          <w:tcPr>
            <w:tcW w:w="942" w:type="dxa"/>
            <w:tcBorders>
              <w:top w:val="nil"/>
              <w:left w:val="nil"/>
              <w:bottom w:val="single" w:sz="4" w:space="0" w:color="auto"/>
              <w:right w:val="single" w:sz="4" w:space="0" w:color="auto"/>
            </w:tcBorders>
            <w:noWrap/>
            <w:vAlign w:val="center"/>
            <w:hideMark/>
          </w:tcPr>
          <w:p w14:paraId="12F9F2A9"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1995" w:type="dxa"/>
            <w:tcBorders>
              <w:top w:val="nil"/>
              <w:left w:val="nil"/>
              <w:bottom w:val="single" w:sz="4" w:space="0" w:color="auto"/>
              <w:right w:val="single" w:sz="4" w:space="0" w:color="auto"/>
            </w:tcBorders>
            <w:hideMark/>
          </w:tcPr>
          <w:p w14:paraId="19DF022E"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Garantizar acceso universal a servicios de agua potable e higiene en el sitio.</w:t>
            </w:r>
          </w:p>
        </w:tc>
        <w:tc>
          <w:tcPr>
            <w:tcW w:w="1140" w:type="dxa"/>
            <w:gridSpan w:val="3"/>
            <w:tcBorders>
              <w:top w:val="nil"/>
              <w:left w:val="nil"/>
              <w:bottom w:val="single" w:sz="4" w:space="0" w:color="auto"/>
              <w:right w:val="single" w:sz="4" w:space="0" w:color="auto"/>
            </w:tcBorders>
            <w:noWrap/>
            <w:vAlign w:val="center"/>
            <w:hideMark/>
          </w:tcPr>
          <w:p w14:paraId="1B636ED0"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509EDBB5"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1</w:t>
            </w:r>
          </w:p>
        </w:tc>
        <w:tc>
          <w:tcPr>
            <w:tcW w:w="3351" w:type="dxa"/>
            <w:gridSpan w:val="2"/>
            <w:tcBorders>
              <w:top w:val="nil"/>
              <w:left w:val="nil"/>
              <w:bottom w:val="single" w:sz="4" w:space="0" w:color="auto"/>
              <w:right w:val="single" w:sz="4" w:space="0" w:color="auto"/>
            </w:tcBorders>
            <w:hideMark/>
          </w:tcPr>
          <w:p w14:paraId="795F86CB"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Mejora en el clima laboral y equidad operativa.</w:t>
            </w:r>
          </w:p>
        </w:tc>
      </w:tr>
      <w:tr w:rsidR="00F212FE" w:rsidRPr="006358A3" w14:paraId="21E14B95" w14:textId="77777777" w:rsidTr="0055381F">
        <w:trPr>
          <w:gridAfter w:val="4"/>
          <w:wAfter w:w="2761" w:type="dxa"/>
          <w:trHeight w:val="1240"/>
        </w:trPr>
        <w:tc>
          <w:tcPr>
            <w:tcW w:w="1990" w:type="dxa"/>
            <w:vMerge w:val="restart"/>
            <w:tcBorders>
              <w:top w:val="single" w:sz="4" w:space="0" w:color="auto"/>
              <w:left w:val="single" w:sz="4" w:space="0" w:color="auto"/>
              <w:bottom w:val="single" w:sz="4" w:space="0" w:color="auto"/>
              <w:right w:val="nil"/>
            </w:tcBorders>
            <w:shd w:val="clear" w:color="auto" w:fill="29B95C"/>
            <w:noWrap/>
            <w:vAlign w:val="bottom"/>
            <w:hideMark/>
          </w:tcPr>
          <w:p w14:paraId="347D16FE"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noProof/>
                <w:color w:val="000000"/>
                <w:sz w:val="24"/>
                <w:lang w:val="es-CR" w:eastAsia="es-CR"/>
              </w:rPr>
              <w:drawing>
                <wp:anchor distT="0" distB="0" distL="114300" distR="114300" simplePos="0" relativeHeight="251693056" behindDoc="0" locked="0" layoutInCell="1" allowOverlap="1" wp14:anchorId="3354CF97" wp14:editId="57ACA97F">
                  <wp:simplePos x="0" y="0"/>
                  <wp:positionH relativeFrom="column">
                    <wp:posOffset>212725</wp:posOffset>
                  </wp:positionH>
                  <wp:positionV relativeFrom="paragraph">
                    <wp:posOffset>-2049145</wp:posOffset>
                  </wp:positionV>
                  <wp:extent cx="812800" cy="914400"/>
                  <wp:effectExtent l="0" t="0" r="6350" b="0"/>
                  <wp:wrapNone/>
                  <wp:docPr id="40" name="Imagen 31">
                    <a:extLst xmlns:a="http://schemas.openxmlformats.org/drawingml/2006/main">
                      <a:ext uri="{FF2B5EF4-FFF2-40B4-BE49-F238E27FC236}">
                        <a16:creationId xmlns:a16="http://schemas.microsoft.com/office/drawing/2014/main" id="{00000000-0008-0000-0400-000028000000}"/>
                      </a:ext>
                    </a:extLst>
                  </wp:docPr>
                  <wp:cNvGraphicFramePr/>
                  <a:graphic xmlns:a="http://schemas.openxmlformats.org/drawingml/2006/main">
                    <a:graphicData uri="http://schemas.openxmlformats.org/drawingml/2006/picture">
                      <pic:pic xmlns:pic="http://schemas.openxmlformats.org/drawingml/2006/picture">
                        <pic:nvPicPr>
                          <pic:cNvPr id="40" name="Picture 39">
                            <a:extLst>
                              <a:ext uri="{FF2B5EF4-FFF2-40B4-BE49-F238E27FC236}">
                                <a16:creationId xmlns:a16="http://schemas.microsoft.com/office/drawing/2014/main" id="{00000000-0008-0000-0400-000028000000}"/>
                              </a:ext>
                            </a:extLst>
                          </pic:cNvPr>
                          <pic:cNvPicPr>
                            <a:picLocks noChangeAspect="1"/>
                          </pic:cNvPicPr>
                        </pic:nvPicPr>
                        <pic:blipFill>
                          <a:blip r:embed="rId58"/>
                          <a:stretch>
                            <a:fillRect/>
                          </a:stretch>
                        </pic:blipFill>
                        <pic:spPr>
                          <a:xfrm>
                            <a:off x="0" y="0"/>
                            <a:ext cx="812800" cy="914400"/>
                          </a:xfrm>
                          <a:prstGeom prst="rect">
                            <a:avLst/>
                          </a:prstGeom>
                        </pic:spPr>
                      </pic:pic>
                    </a:graphicData>
                  </a:graphic>
                  <wp14:sizeRelH relativeFrom="page">
                    <wp14:pctWidth>0</wp14:pctWidth>
                  </wp14:sizeRelH>
                  <wp14:sizeRelV relativeFrom="page">
                    <wp14:pctHeight>0</wp14:pctHeight>
                  </wp14:sizeRelV>
                </wp:anchor>
              </w:drawing>
            </w:r>
          </w:p>
          <w:p w14:paraId="3DE7E172"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val="restart"/>
            <w:tcBorders>
              <w:top w:val="nil"/>
              <w:left w:val="single" w:sz="4" w:space="0" w:color="auto"/>
              <w:bottom w:val="single" w:sz="4" w:space="0" w:color="auto"/>
              <w:right w:val="single" w:sz="4" w:space="0" w:color="auto"/>
            </w:tcBorders>
            <w:shd w:val="clear" w:color="000000" w:fill="F2F2F2"/>
            <w:vAlign w:val="center"/>
            <w:hideMark/>
          </w:tcPr>
          <w:p w14:paraId="03C09DB9"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r w:rsidRPr="006358A3">
              <w:rPr>
                <w:rFonts w:ascii="Calibri" w:eastAsia="Times New Roman" w:hAnsi="Calibri" w:cs="Calibri"/>
                <w:color w:val="000000"/>
                <w:sz w:val="18"/>
                <w:szCs w:val="18"/>
                <w:lang w:val="es-CR" w:eastAsia="es-CR"/>
              </w:rPr>
              <w:t>Desplazamiento de agua es la práctica de desviar las fuentes de agua que han sido interrumpidas por el proyecto lejos de las áreas que son propensas a inundaciones y contaminación. Los métodos incluyen la construcción de represas, el desvío del flujo de agua, la construcción de humedales artificiales, el paisajismo con jardines infiltrantes (rain gardens) y la instalación de barreras contra inundaciones. El desplazamiento de agua es principalmente un problema con los proyectos de construcción, manufactura y agricultura</w:t>
            </w:r>
          </w:p>
        </w:tc>
        <w:tc>
          <w:tcPr>
            <w:tcW w:w="1667" w:type="dxa"/>
            <w:tcBorders>
              <w:top w:val="nil"/>
              <w:left w:val="nil"/>
              <w:bottom w:val="single" w:sz="4" w:space="0" w:color="auto"/>
              <w:right w:val="single" w:sz="4" w:space="0" w:color="auto"/>
            </w:tcBorders>
            <w:shd w:val="clear" w:color="000000" w:fill="F2F2F2"/>
            <w:noWrap/>
            <w:vAlign w:val="center"/>
            <w:hideMark/>
          </w:tcPr>
          <w:p w14:paraId="0F6F6461"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Vida Útil</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F6A8A1F"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75419988"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La falta de control en la gestión del agua puede provocar daños estructurales por inundaciones o humedad.</w:t>
            </w:r>
          </w:p>
        </w:tc>
        <w:tc>
          <w:tcPr>
            <w:tcW w:w="2264" w:type="dxa"/>
            <w:gridSpan w:val="2"/>
            <w:tcBorders>
              <w:top w:val="nil"/>
              <w:left w:val="nil"/>
              <w:bottom w:val="single" w:sz="4" w:space="0" w:color="auto"/>
              <w:right w:val="single" w:sz="4" w:space="0" w:color="auto"/>
            </w:tcBorders>
            <w:hideMark/>
          </w:tcPr>
          <w:p w14:paraId="70ABE12D"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Deterioro de infraestructura y menor vida útil del proyecto.</w:t>
            </w:r>
          </w:p>
        </w:tc>
        <w:tc>
          <w:tcPr>
            <w:tcW w:w="942" w:type="dxa"/>
            <w:tcBorders>
              <w:top w:val="nil"/>
              <w:left w:val="nil"/>
              <w:bottom w:val="single" w:sz="4" w:space="0" w:color="auto"/>
              <w:right w:val="single" w:sz="4" w:space="0" w:color="auto"/>
            </w:tcBorders>
            <w:noWrap/>
            <w:vAlign w:val="center"/>
            <w:hideMark/>
          </w:tcPr>
          <w:p w14:paraId="0CEA7569"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19A6EC9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Aplicar drenajes pluviales sostenibles desde el diseño.</w:t>
            </w:r>
          </w:p>
        </w:tc>
        <w:tc>
          <w:tcPr>
            <w:tcW w:w="1140" w:type="dxa"/>
            <w:gridSpan w:val="3"/>
            <w:tcBorders>
              <w:top w:val="nil"/>
              <w:left w:val="nil"/>
              <w:bottom w:val="single" w:sz="4" w:space="0" w:color="auto"/>
              <w:right w:val="single" w:sz="4" w:space="0" w:color="auto"/>
            </w:tcBorders>
            <w:noWrap/>
            <w:vAlign w:val="center"/>
            <w:hideMark/>
          </w:tcPr>
          <w:p w14:paraId="33CE9C6B"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1853869F"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57603BC1"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Mayor protección del proyecto ante eventos climáticos.</w:t>
            </w:r>
          </w:p>
        </w:tc>
      </w:tr>
      <w:tr w:rsidR="00F212FE" w:rsidRPr="006358A3" w14:paraId="6BBF26CD" w14:textId="77777777" w:rsidTr="0055381F">
        <w:trPr>
          <w:gridAfter w:val="4"/>
          <w:wAfter w:w="2761" w:type="dxa"/>
          <w:trHeight w:val="1240"/>
        </w:trPr>
        <w:tc>
          <w:tcPr>
            <w:tcW w:w="1990" w:type="dxa"/>
            <w:vMerge/>
            <w:tcBorders>
              <w:top w:val="single" w:sz="4" w:space="0" w:color="auto"/>
              <w:left w:val="single" w:sz="4" w:space="0" w:color="auto"/>
              <w:bottom w:val="single" w:sz="4" w:space="0" w:color="auto"/>
              <w:right w:val="nil"/>
            </w:tcBorders>
            <w:shd w:val="clear" w:color="auto" w:fill="29B95C"/>
            <w:vAlign w:val="center"/>
            <w:hideMark/>
          </w:tcPr>
          <w:p w14:paraId="5B1D5F41"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10DC2F6F"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6A148199"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Mantenimiento</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FBCC757"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783818A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No existen medidas que faciliten la gestión del agua pluvial tras la entrega del proyecto.</w:t>
            </w:r>
          </w:p>
        </w:tc>
        <w:tc>
          <w:tcPr>
            <w:tcW w:w="2264" w:type="dxa"/>
            <w:gridSpan w:val="2"/>
            <w:tcBorders>
              <w:top w:val="nil"/>
              <w:left w:val="nil"/>
              <w:bottom w:val="single" w:sz="4" w:space="0" w:color="auto"/>
              <w:right w:val="single" w:sz="4" w:space="0" w:color="auto"/>
            </w:tcBorders>
            <w:hideMark/>
          </w:tcPr>
          <w:p w14:paraId="1B1622B9"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Aumento de costos y dificultades en la operación del sitio.</w:t>
            </w:r>
          </w:p>
        </w:tc>
        <w:tc>
          <w:tcPr>
            <w:tcW w:w="942" w:type="dxa"/>
            <w:tcBorders>
              <w:top w:val="nil"/>
              <w:left w:val="nil"/>
              <w:bottom w:val="single" w:sz="4" w:space="0" w:color="auto"/>
              <w:right w:val="single" w:sz="4" w:space="0" w:color="auto"/>
            </w:tcBorders>
            <w:noWrap/>
            <w:vAlign w:val="center"/>
            <w:hideMark/>
          </w:tcPr>
          <w:p w14:paraId="3B3ED046"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73C8E8B1"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Diseñar sistemas de recolección y control de agua que permitan mantenimiento periódico y sencillo.</w:t>
            </w:r>
          </w:p>
        </w:tc>
        <w:tc>
          <w:tcPr>
            <w:tcW w:w="1140" w:type="dxa"/>
            <w:gridSpan w:val="3"/>
            <w:tcBorders>
              <w:top w:val="nil"/>
              <w:left w:val="nil"/>
              <w:bottom w:val="single" w:sz="4" w:space="0" w:color="auto"/>
              <w:right w:val="single" w:sz="4" w:space="0" w:color="auto"/>
            </w:tcBorders>
            <w:noWrap/>
            <w:vAlign w:val="center"/>
            <w:hideMark/>
          </w:tcPr>
          <w:p w14:paraId="7D93B147"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883" w:type="dxa"/>
            <w:tcBorders>
              <w:top w:val="nil"/>
              <w:left w:val="nil"/>
              <w:bottom w:val="single" w:sz="4" w:space="0" w:color="auto"/>
              <w:right w:val="single" w:sz="4" w:space="0" w:color="auto"/>
            </w:tcBorders>
            <w:noWrap/>
            <w:vAlign w:val="center"/>
            <w:hideMark/>
          </w:tcPr>
          <w:p w14:paraId="2604EF0D"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1</w:t>
            </w:r>
          </w:p>
        </w:tc>
        <w:tc>
          <w:tcPr>
            <w:tcW w:w="3351" w:type="dxa"/>
            <w:gridSpan w:val="2"/>
            <w:tcBorders>
              <w:top w:val="nil"/>
              <w:left w:val="nil"/>
              <w:bottom w:val="single" w:sz="4" w:space="0" w:color="auto"/>
              <w:right w:val="single" w:sz="4" w:space="0" w:color="auto"/>
            </w:tcBorders>
            <w:hideMark/>
          </w:tcPr>
          <w:p w14:paraId="26537BBF"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Mejora operativa y reducción de riesgos por mantenimiento reactivo.</w:t>
            </w:r>
          </w:p>
        </w:tc>
      </w:tr>
      <w:tr w:rsidR="00F212FE" w:rsidRPr="006358A3" w14:paraId="289AAA7E" w14:textId="77777777" w:rsidTr="0055381F">
        <w:trPr>
          <w:gridAfter w:val="4"/>
          <w:wAfter w:w="2761" w:type="dxa"/>
          <w:trHeight w:val="930"/>
        </w:trPr>
        <w:tc>
          <w:tcPr>
            <w:tcW w:w="1990" w:type="dxa"/>
            <w:vMerge/>
            <w:tcBorders>
              <w:top w:val="single" w:sz="4" w:space="0" w:color="auto"/>
              <w:left w:val="single" w:sz="4" w:space="0" w:color="auto"/>
              <w:bottom w:val="single" w:sz="4" w:space="0" w:color="auto"/>
              <w:right w:val="nil"/>
            </w:tcBorders>
            <w:shd w:val="clear" w:color="auto" w:fill="29B95C"/>
            <w:vAlign w:val="center"/>
            <w:hideMark/>
          </w:tcPr>
          <w:p w14:paraId="1F406D3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05AA1892"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697D40C0"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Eficacia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529E9EF"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340023AE"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No se evalúa el comportamiento hidrológico del terreno antes de construir.</w:t>
            </w:r>
          </w:p>
        </w:tc>
        <w:tc>
          <w:tcPr>
            <w:tcW w:w="2264" w:type="dxa"/>
            <w:gridSpan w:val="2"/>
            <w:tcBorders>
              <w:top w:val="nil"/>
              <w:left w:val="nil"/>
              <w:bottom w:val="single" w:sz="4" w:space="0" w:color="auto"/>
              <w:right w:val="single" w:sz="4" w:space="0" w:color="auto"/>
            </w:tcBorders>
            <w:hideMark/>
          </w:tcPr>
          <w:p w14:paraId="0465AA59"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Riesgo de errores de diseño y sobrecostos por correcciones.</w:t>
            </w:r>
          </w:p>
        </w:tc>
        <w:tc>
          <w:tcPr>
            <w:tcW w:w="942" w:type="dxa"/>
            <w:tcBorders>
              <w:top w:val="nil"/>
              <w:left w:val="nil"/>
              <w:bottom w:val="single" w:sz="4" w:space="0" w:color="auto"/>
              <w:right w:val="single" w:sz="4" w:space="0" w:color="auto"/>
            </w:tcBorders>
            <w:noWrap/>
            <w:vAlign w:val="center"/>
            <w:hideMark/>
          </w:tcPr>
          <w:p w14:paraId="4B44CD88"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298DB2E6"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Incluir estudios hidrológicos en la fase de planificación.</w:t>
            </w:r>
          </w:p>
        </w:tc>
        <w:tc>
          <w:tcPr>
            <w:tcW w:w="1140" w:type="dxa"/>
            <w:gridSpan w:val="3"/>
            <w:tcBorders>
              <w:top w:val="nil"/>
              <w:left w:val="nil"/>
              <w:bottom w:val="single" w:sz="4" w:space="0" w:color="auto"/>
              <w:right w:val="single" w:sz="4" w:space="0" w:color="auto"/>
            </w:tcBorders>
            <w:noWrap/>
            <w:vAlign w:val="center"/>
            <w:hideMark/>
          </w:tcPr>
          <w:p w14:paraId="3C14E8E3"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0937234F"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2352552F"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Mejor adecuación del diseño al entorno natural.</w:t>
            </w:r>
          </w:p>
        </w:tc>
      </w:tr>
      <w:tr w:rsidR="00F212FE" w:rsidRPr="006358A3" w14:paraId="35AE9BD1" w14:textId="77777777" w:rsidTr="0055381F">
        <w:trPr>
          <w:gridAfter w:val="4"/>
          <w:wAfter w:w="2761" w:type="dxa"/>
          <w:trHeight w:val="1240"/>
        </w:trPr>
        <w:tc>
          <w:tcPr>
            <w:tcW w:w="1990" w:type="dxa"/>
            <w:vMerge/>
            <w:tcBorders>
              <w:top w:val="single" w:sz="4" w:space="0" w:color="auto"/>
              <w:left w:val="single" w:sz="4" w:space="0" w:color="auto"/>
              <w:bottom w:val="single" w:sz="4" w:space="0" w:color="auto"/>
              <w:right w:val="nil"/>
            </w:tcBorders>
            <w:shd w:val="clear" w:color="auto" w:fill="29B95C"/>
            <w:vAlign w:val="center"/>
            <w:hideMark/>
          </w:tcPr>
          <w:p w14:paraId="508B630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0E624F9F"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6C953EF5"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Eficiencia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49D1FAF"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0AD55EF5"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Las intervenciones mal planificadas en flujos de agua generan retrasos, daños y retrabajos.</w:t>
            </w:r>
          </w:p>
        </w:tc>
        <w:tc>
          <w:tcPr>
            <w:tcW w:w="2264" w:type="dxa"/>
            <w:gridSpan w:val="2"/>
            <w:tcBorders>
              <w:top w:val="nil"/>
              <w:left w:val="nil"/>
              <w:bottom w:val="single" w:sz="4" w:space="0" w:color="auto"/>
              <w:right w:val="single" w:sz="4" w:space="0" w:color="auto"/>
            </w:tcBorders>
            <w:hideMark/>
          </w:tcPr>
          <w:p w14:paraId="36A8A370"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Desperdicio de recursos, materiales y tiempo.</w:t>
            </w:r>
          </w:p>
        </w:tc>
        <w:tc>
          <w:tcPr>
            <w:tcW w:w="942" w:type="dxa"/>
            <w:tcBorders>
              <w:top w:val="nil"/>
              <w:left w:val="nil"/>
              <w:bottom w:val="single" w:sz="4" w:space="0" w:color="auto"/>
              <w:right w:val="single" w:sz="4" w:space="0" w:color="auto"/>
            </w:tcBorders>
            <w:noWrap/>
            <w:vAlign w:val="center"/>
            <w:hideMark/>
          </w:tcPr>
          <w:p w14:paraId="7E92CFA2"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613472C9"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Establecer protocolos de revisión de drenaje y sistemas de mitigación hídrica.</w:t>
            </w:r>
          </w:p>
        </w:tc>
        <w:tc>
          <w:tcPr>
            <w:tcW w:w="1140" w:type="dxa"/>
            <w:gridSpan w:val="3"/>
            <w:tcBorders>
              <w:top w:val="nil"/>
              <w:left w:val="nil"/>
              <w:bottom w:val="single" w:sz="4" w:space="0" w:color="auto"/>
              <w:right w:val="single" w:sz="4" w:space="0" w:color="auto"/>
            </w:tcBorders>
            <w:noWrap/>
            <w:vAlign w:val="center"/>
            <w:hideMark/>
          </w:tcPr>
          <w:p w14:paraId="34246974"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73EE5836"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19BAFDFD"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Mayor control operativo, reducción de incidentes y reprocesos.</w:t>
            </w:r>
          </w:p>
        </w:tc>
      </w:tr>
      <w:tr w:rsidR="00F212FE" w:rsidRPr="006358A3" w14:paraId="523AEA96" w14:textId="77777777" w:rsidTr="0055381F">
        <w:trPr>
          <w:gridAfter w:val="4"/>
          <w:wAfter w:w="2761" w:type="dxa"/>
          <w:trHeight w:val="1240"/>
        </w:trPr>
        <w:tc>
          <w:tcPr>
            <w:tcW w:w="1990" w:type="dxa"/>
            <w:vMerge/>
            <w:tcBorders>
              <w:top w:val="single" w:sz="4" w:space="0" w:color="auto"/>
              <w:left w:val="single" w:sz="4" w:space="0" w:color="auto"/>
              <w:bottom w:val="single" w:sz="4" w:space="0" w:color="auto"/>
              <w:right w:val="nil"/>
            </w:tcBorders>
            <w:shd w:val="clear" w:color="auto" w:fill="29B95C"/>
            <w:vAlign w:val="center"/>
            <w:hideMark/>
          </w:tcPr>
          <w:p w14:paraId="069C70A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3A9A7456"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526DCD86"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Imparcialidad</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972760E"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1727D1E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No se consideran impactos diferenciados en comunidades aguas abajo o vecinos del proyecto.</w:t>
            </w:r>
          </w:p>
        </w:tc>
        <w:tc>
          <w:tcPr>
            <w:tcW w:w="2264" w:type="dxa"/>
            <w:gridSpan w:val="2"/>
            <w:tcBorders>
              <w:top w:val="nil"/>
              <w:left w:val="nil"/>
              <w:bottom w:val="single" w:sz="4" w:space="0" w:color="auto"/>
              <w:right w:val="single" w:sz="4" w:space="0" w:color="auto"/>
            </w:tcBorders>
            <w:hideMark/>
          </w:tcPr>
          <w:p w14:paraId="6DAC4416"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Afectación desigual a terceros, aumentando la percepción de injusticia.</w:t>
            </w:r>
          </w:p>
        </w:tc>
        <w:tc>
          <w:tcPr>
            <w:tcW w:w="942" w:type="dxa"/>
            <w:tcBorders>
              <w:top w:val="nil"/>
              <w:left w:val="nil"/>
              <w:bottom w:val="single" w:sz="4" w:space="0" w:color="auto"/>
              <w:right w:val="single" w:sz="4" w:space="0" w:color="auto"/>
            </w:tcBorders>
            <w:noWrap/>
            <w:vAlign w:val="center"/>
            <w:hideMark/>
          </w:tcPr>
          <w:p w14:paraId="04BCF08A"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5F648B0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Realizar consulta comunitaria y evaluación de impactos hídricos con enfoque territorial.</w:t>
            </w:r>
          </w:p>
        </w:tc>
        <w:tc>
          <w:tcPr>
            <w:tcW w:w="1140" w:type="dxa"/>
            <w:gridSpan w:val="3"/>
            <w:tcBorders>
              <w:top w:val="nil"/>
              <w:left w:val="nil"/>
              <w:bottom w:val="single" w:sz="4" w:space="0" w:color="auto"/>
              <w:right w:val="single" w:sz="4" w:space="0" w:color="auto"/>
            </w:tcBorders>
            <w:noWrap/>
            <w:vAlign w:val="center"/>
            <w:hideMark/>
          </w:tcPr>
          <w:p w14:paraId="2F35EABA"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883" w:type="dxa"/>
            <w:tcBorders>
              <w:top w:val="nil"/>
              <w:left w:val="nil"/>
              <w:bottom w:val="single" w:sz="4" w:space="0" w:color="auto"/>
              <w:right w:val="single" w:sz="4" w:space="0" w:color="auto"/>
            </w:tcBorders>
            <w:noWrap/>
            <w:vAlign w:val="center"/>
            <w:hideMark/>
          </w:tcPr>
          <w:p w14:paraId="427AA5FB"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1</w:t>
            </w:r>
          </w:p>
        </w:tc>
        <w:tc>
          <w:tcPr>
            <w:tcW w:w="3351" w:type="dxa"/>
            <w:gridSpan w:val="2"/>
            <w:tcBorders>
              <w:top w:val="nil"/>
              <w:left w:val="nil"/>
              <w:bottom w:val="single" w:sz="4" w:space="0" w:color="auto"/>
              <w:right w:val="single" w:sz="4" w:space="0" w:color="auto"/>
            </w:tcBorders>
            <w:hideMark/>
          </w:tcPr>
          <w:p w14:paraId="763E61CD"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Mejora en la equidad y aceptación social del proyecto.</w:t>
            </w:r>
          </w:p>
        </w:tc>
      </w:tr>
      <w:tr w:rsidR="00F212FE" w:rsidRPr="006358A3" w14:paraId="4DBAB3CE" w14:textId="77777777" w:rsidTr="0055381F">
        <w:trPr>
          <w:gridAfter w:val="4"/>
          <w:wAfter w:w="2761" w:type="dxa"/>
          <w:trHeight w:val="1240"/>
        </w:trPr>
        <w:tc>
          <w:tcPr>
            <w:tcW w:w="1990" w:type="dxa"/>
            <w:vMerge w:val="restart"/>
            <w:tcBorders>
              <w:top w:val="single" w:sz="4" w:space="0" w:color="auto"/>
              <w:left w:val="nil"/>
              <w:bottom w:val="nil"/>
              <w:right w:val="nil"/>
            </w:tcBorders>
            <w:shd w:val="clear" w:color="auto" w:fill="29B95C"/>
            <w:noWrap/>
            <w:vAlign w:val="bottom"/>
            <w:hideMark/>
          </w:tcPr>
          <w:p w14:paraId="394652BC"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noProof/>
                <w:color w:val="000000"/>
                <w:sz w:val="24"/>
                <w:lang w:val="es-CR" w:eastAsia="es-CR"/>
              </w:rPr>
              <w:drawing>
                <wp:anchor distT="0" distB="0" distL="114300" distR="114300" simplePos="0" relativeHeight="251694080" behindDoc="0" locked="0" layoutInCell="1" allowOverlap="1" wp14:anchorId="15EF5E95" wp14:editId="1B0C2DC2">
                  <wp:simplePos x="0" y="0"/>
                  <wp:positionH relativeFrom="column">
                    <wp:posOffset>247650</wp:posOffset>
                  </wp:positionH>
                  <wp:positionV relativeFrom="paragraph">
                    <wp:posOffset>-3629660</wp:posOffset>
                  </wp:positionV>
                  <wp:extent cx="800100" cy="895350"/>
                  <wp:effectExtent l="0" t="0" r="0" b="0"/>
                  <wp:wrapNone/>
                  <wp:docPr id="43" name="Imagen 30">
                    <a:extLst xmlns:a="http://schemas.openxmlformats.org/drawingml/2006/main">
                      <a:ext uri="{FF2B5EF4-FFF2-40B4-BE49-F238E27FC236}">
                        <a16:creationId xmlns:a16="http://schemas.microsoft.com/office/drawing/2014/main" id="{00000000-0008-0000-0400-00002B000000}"/>
                      </a:ext>
                    </a:extLst>
                  </wp:docPr>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00000000-0008-0000-0400-00002B000000}"/>
                              </a:ext>
                            </a:extLst>
                          </pic:cNvPr>
                          <pic:cNvPicPr>
                            <a:picLocks noChangeAspect="1"/>
                          </pic:cNvPicPr>
                        </pic:nvPicPr>
                        <pic:blipFill>
                          <a:blip r:embed="rId59"/>
                          <a:stretch>
                            <a:fillRect/>
                          </a:stretch>
                        </pic:blipFill>
                        <pic:spPr>
                          <a:xfrm>
                            <a:off x="0" y="0"/>
                            <a:ext cx="800100" cy="895350"/>
                          </a:xfrm>
                          <a:prstGeom prst="rect">
                            <a:avLst/>
                          </a:prstGeom>
                        </pic:spPr>
                      </pic:pic>
                    </a:graphicData>
                  </a:graphic>
                  <wp14:sizeRelH relativeFrom="page">
                    <wp14:pctWidth>0</wp14:pctWidth>
                  </wp14:sizeRelH>
                  <wp14:sizeRelV relativeFrom="page">
                    <wp14:pctHeight>0</wp14:pctHeight>
                  </wp14:sizeRelV>
                </wp:anchor>
              </w:drawing>
            </w:r>
          </w:p>
          <w:p w14:paraId="59E0D2C2"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val="restart"/>
            <w:tcBorders>
              <w:top w:val="nil"/>
              <w:left w:val="single" w:sz="4" w:space="0" w:color="auto"/>
              <w:bottom w:val="single" w:sz="4" w:space="0" w:color="auto"/>
              <w:right w:val="single" w:sz="4" w:space="0" w:color="auto"/>
            </w:tcBorders>
            <w:vAlign w:val="center"/>
            <w:hideMark/>
          </w:tcPr>
          <w:p w14:paraId="21023BDD"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r w:rsidRPr="006358A3">
              <w:rPr>
                <w:rFonts w:ascii="Calibri" w:eastAsia="Times New Roman" w:hAnsi="Calibri" w:cs="Calibri"/>
                <w:color w:val="000000"/>
                <w:sz w:val="18"/>
                <w:szCs w:val="18"/>
                <w:lang w:val="es-CR" w:eastAsia="es-CR"/>
              </w:rPr>
              <w:br/>
            </w:r>
            <w:r w:rsidRPr="006358A3">
              <w:rPr>
                <w:rFonts w:ascii="Calibri" w:eastAsia="Times New Roman" w:hAnsi="Calibri" w:cs="Calibri"/>
                <w:b/>
                <w:bCs/>
                <w:color w:val="000000"/>
                <w:sz w:val="18"/>
                <w:szCs w:val="18"/>
                <w:lang w:val="es-CR" w:eastAsia="es-CR"/>
              </w:rPr>
              <w:t>Erosión del suelo</w:t>
            </w:r>
            <w:r w:rsidRPr="006358A3">
              <w:rPr>
                <w:rFonts w:ascii="Calibri" w:eastAsia="Times New Roman" w:hAnsi="Calibri" w:cs="Calibri"/>
                <w:color w:val="000000"/>
                <w:sz w:val="18"/>
                <w:szCs w:val="18"/>
                <w:lang w:val="es-CR" w:eastAsia="es-CR"/>
              </w:rPr>
              <w:t xml:space="preserve"> es la pérdida de la capa superior del suelo debido a actividades humanas como la construcción en general, la construcción de carreteras o las prácticas agrícolas. Puede verse exacerbado por cambios en la cobertura natural del suelo y puede tener efectos negativos significativos en los ecosistemas locales. Al igual que con el desplazamiento del agua, la erosión del suelo es principalmente un problema con los proyectos de construcción, manufactura y agricultura.</w:t>
            </w:r>
            <w:r w:rsidRPr="006358A3">
              <w:rPr>
                <w:rFonts w:ascii="Calibri" w:eastAsia="Times New Roman" w:hAnsi="Calibri" w:cs="Calibri"/>
                <w:color w:val="000000"/>
                <w:sz w:val="18"/>
                <w:szCs w:val="18"/>
                <w:lang w:val="es-CR" w:eastAsia="es-CR"/>
              </w:rPr>
              <w:br/>
            </w:r>
            <w:r w:rsidRPr="006358A3">
              <w:rPr>
                <w:rFonts w:ascii="Calibri" w:eastAsia="Times New Roman" w:hAnsi="Calibri" w:cs="Calibri"/>
                <w:b/>
                <w:bCs/>
                <w:color w:val="000000"/>
                <w:sz w:val="18"/>
                <w:szCs w:val="18"/>
                <w:lang w:val="es-CR" w:eastAsia="es-CR"/>
              </w:rPr>
              <w:t>Diseño regenerativo</w:t>
            </w:r>
            <w:r w:rsidRPr="006358A3">
              <w:rPr>
                <w:rFonts w:ascii="Calibri" w:eastAsia="Times New Roman" w:hAnsi="Calibri" w:cs="Calibri"/>
                <w:color w:val="000000"/>
                <w:sz w:val="18"/>
                <w:szCs w:val="18"/>
                <w:lang w:val="es-CR" w:eastAsia="es-CR"/>
              </w:rPr>
              <w:t xml:space="preserve"> es una práctica que se basa en la comprensión de cómo funcionan los ecosistemas para que el proyecto regenere los recursos en lugar de agotarlos.</w:t>
            </w:r>
          </w:p>
        </w:tc>
        <w:tc>
          <w:tcPr>
            <w:tcW w:w="1667" w:type="dxa"/>
            <w:tcBorders>
              <w:top w:val="nil"/>
              <w:left w:val="nil"/>
              <w:bottom w:val="single" w:sz="4" w:space="0" w:color="auto"/>
              <w:right w:val="single" w:sz="4" w:space="0" w:color="auto"/>
            </w:tcBorders>
            <w:shd w:val="clear" w:color="000000" w:fill="F2F2F2"/>
            <w:noWrap/>
            <w:vAlign w:val="center"/>
            <w:hideMark/>
          </w:tcPr>
          <w:p w14:paraId="6DBF4986"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Vida Útil</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E749B61"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3A79C24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La erosión no controlada del suelo puede afectar la estabilidad estructural de la obra y su durabilidad.</w:t>
            </w:r>
          </w:p>
        </w:tc>
        <w:tc>
          <w:tcPr>
            <w:tcW w:w="2264" w:type="dxa"/>
            <w:gridSpan w:val="2"/>
            <w:tcBorders>
              <w:top w:val="nil"/>
              <w:left w:val="nil"/>
              <w:bottom w:val="single" w:sz="4" w:space="0" w:color="auto"/>
              <w:right w:val="single" w:sz="4" w:space="0" w:color="auto"/>
            </w:tcBorders>
            <w:hideMark/>
          </w:tcPr>
          <w:p w14:paraId="6C1E5F00"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Reducción en la vida útil del proyecto por daños en cimientos y terrenos.</w:t>
            </w:r>
          </w:p>
        </w:tc>
        <w:tc>
          <w:tcPr>
            <w:tcW w:w="942" w:type="dxa"/>
            <w:tcBorders>
              <w:top w:val="nil"/>
              <w:left w:val="nil"/>
              <w:bottom w:val="single" w:sz="4" w:space="0" w:color="auto"/>
              <w:right w:val="single" w:sz="4" w:space="0" w:color="auto"/>
            </w:tcBorders>
            <w:noWrap/>
            <w:vAlign w:val="center"/>
            <w:hideMark/>
          </w:tcPr>
          <w:p w14:paraId="642F7AF5"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0C8D01DE"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Implementar sistemas de contención vegetal y barreras naturales desde el diseño.</w:t>
            </w:r>
          </w:p>
        </w:tc>
        <w:tc>
          <w:tcPr>
            <w:tcW w:w="1140" w:type="dxa"/>
            <w:gridSpan w:val="3"/>
            <w:tcBorders>
              <w:top w:val="nil"/>
              <w:left w:val="nil"/>
              <w:bottom w:val="single" w:sz="4" w:space="0" w:color="auto"/>
              <w:right w:val="single" w:sz="4" w:space="0" w:color="auto"/>
            </w:tcBorders>
            <w:noWrap/>
            <w:vAlign w:val="center"/>
            <w:hideMark/>
          </w:tcPr>
          <w:p w14:paraId="188D549A"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00F35F35"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13981DC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Mayor estabilidad del terreno y durabilidad de la infraestructura.</w:t>
            </w:r>
          </w:p>
        </w:tc>
      </w:tr>
      <w:tr w:rsidR="00F212FE" w:rsidRPr="006358A3" w14:paraId="023F4D88" w14:textId="77777777" w:rsidTr="0055381F">
        <w:trPr>
          <w:gridAfter w:val="4"/>
          <w:wAfter w:w="2761" w:type="dxa"/>
          <w:trHeight w:val="1240"/>
        </w:trPr>
        <w:tc>
          <w:tcPr>
            <w:tcW w:w="1990" w:type="dxa"/>
            <w:vMerge/>
            <w:tcBorders>
              <w:top w:val="nil"/>
              <w:left w:val="nil"/>
              <w:bottom w:val="nil"/>
              <w:right w:val="nil"/>
            </w:tcBorders>
            <w:shd w:val="clear" w:color="auto" w:fill="29B95C"/>
            <w:vAlign w:val="center"/>
            <w:hideMark/>
          </w:tcPr>
          <w:p w14:paraId="0E90D5BF"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6564AB65"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62102592"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Mantenimiento</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07E30C0"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24210002"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La falta de control sobre el impacto al suelo genera necesidad de intervenciones correctivas continuas.</w:t>
            </w:r>
          </w:p>
        </w:tc>
        <w:tc>
          <w:tcPr>
            <w:tcW w:w="2264" w:type="dxa"/>
            <w:gridSpan w:val="2"/>
            <w:tcBorders>
              <w:top w:val="nil"/>
              <w:left w:val="nil"/>
              <w:bottom w:val="single" w:sz="4" w:space="0" w:color="auto"/>
              <w:right w:val="single" w:sz="4" w:space="0" w:color="auto"/>
            </w:tcBorders>
            <w:hideMark/>
          </w:tcPr>
          <w:p w14:paraId="210A006E"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Aumento de costos y esfuerzos de mantenimiento no planificados.</w:t>
            </w:r>
          </w:p>
        </w:tc>
        <w:tc>
          <w:tcPr>
            <w:tcW w:w="942" w:type="dxa"/>
            <w:tcBorders>
              <w:top w:val="nil"/>
              <w:left w:val="nil"/>
              <w:bottom w:val="single" w:sz="4" w:space="0" w:color="auto"/>
              <w:right w:val="single" w:sz="4" w:space="0" w:color="auto"/>
            </w:tcBorders>
            <w:noWrap/>
            <w:vAlign w:val="center"/>
            <w:hideMark/>
          </w:tcPr>
          <w:p w14:paraId="17BF3C2D"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1E745760"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Incluir prácticas de diseño regenerativo como jardines de retención, biofiltros y revegetación activa.</w:t>
            </w:r>
          </w:p>
        </w:tc>
        <w:tc>
          <w:tcPr>
            <w:tcW w:w="1140" w:type="dxa"/>
            <w:gridSpan w:val="3"/>
            <w:tcBorders>
              <w:top w:val="nil"/>
              <w:left w:val="nil"/>
              <w:bottom w:val="single" w:sz="4" w:space="0" w:color="auto"/>
              <w:right w:val="single" w:sz="4" w:space="0" w:color="auto"/>
            </w:tcBorders>
            <w:noWrap/>
            <w:vAlign w:val="center"/>
            <w:hideMark/>
          </w:tcPr>
          <w:p w14:paraId="7048CD39"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883" w:type="dxa"/>
            <w:tcBorders>
              <w:top w:val="nil"/>
              <w:left w:val="nil"/>
              <w:bottom w:val="single" w:sz="4" w:space="0" w:color="auto"/>
              <w:right w:val="single" w:sz="4" w:space="0" w:color="auto"/>
            </w:tcBorders>
            <w:noWrap/>
            <w:vAlign w:val="center"/>
            <w:hideMark/>
          </w:tcPr>
          <w:p w14:paraId="33F5EB42"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1</w:t>
            </w:r>
          </w:p>
        </w:tc>
        <w:tc>
          <w:tcPr>
            <w:tcW w:w="3351" w:type="dxa"/>
            <w:gridSpan w:val="2"/>
            <w:tcBorders>
              <w:top w:val="nil"/>
              <w:left w:val="nil"/>
              <w:bottom w:val="single" w:sz="4" w:space="0" w:color="auto"/>
              <w:right w:val="single" w:sz="4" w:space="0" w:color="auto"/>
            </w:tcBorders>
            <w:hideMark/>
          </w:tcPr>
          <w:p w14:paraId="7C4F1E0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Menor frecuencia de mantenimiento correctivo y mayor resiliencia del entorno.</w:t>
            </w:r>
          </w:p>
        </w:tc>
      </w:tr>
      <w:tr w:rsidR="00F212FE" w:rsidRPr="006358A3" w14:paraId="70122961" w14:textId="77777777" w:rsidTr="0055381F">
        <w:trPr>
          <w:gridAfter w:val="4"/>
          <w:wAfter w:w="2761" w:type="dxa"/>
          <w:trHeight w:val="1240"/>
        </w:trPr>
        <w:tc>
          <w:tcPr>
            <w:tcW w:w="1990" w:type="dxa"/>
            <w:vMerge/>
            <w:tcBorders>
              <w:top w:val="nil"/>
              <w:left w:val="nil"/>
              <w:bottom w:val="nil"/>
              <w:right w:val="nil"/>
            </w:tcBorders>
            <w:shd w:val="clear" w:color="auto" w:fill="29B95C"/>
            <w:vAlign w:val="center"/>
            <w:hideMark/>
          </w:tcPr>
          <w:p w14:paraId="518E185F"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5349D6AB"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52BD4D0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Eficacia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34065B3"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188A564D"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No considerar el ciclo natural del suelo genera pérdida de servicios ecosistémicos clave.</w:t>
            </w:r>
          </w:p>
        </w:tc>
        <w:tc>
          <w:tcPr>
            <w:tcW w:w="2264" w:type="dxa"/>
            <w:gridSpan w:val="2"/>
            <w:tcBorders>
              <w:top w:val="nil"/>
              <w:left w:val="nil"/>
              <w:bottom w:val="single" w:sz="4" w:space="0" w:color="auto"/>
              <w:right w:val="single" w:sz="4" w:space="0" w:color="auto"/>
            </w:tcBorders>
            <w:hideMark/>
          </w:tcPr>
          <w:p w14:paraId="0E1D8C6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El proyecto puede volverse disfuncional en su entorno ambiental.</w:t>
            </w:r>
          </w:p>
        </w:tc>
        <w:tc>
          <w:tcPr>
            <w:tcW w:w="942" w:type="dxa"/>
            <w:tcBorders>
              <w:top w:val="nil"/>
              <w:left w:val="nil"/>
              <w:bottom w:val="single" w:sz="4" w:space="0" w:color="auto"/>
              <w:right w:val="single" w:sz="4" w:space="0" w:color="auto"/>
            </w:tcBorders>
            <w:noWrap/>
            <w:vAlign w:val="center"/>
            <w:hideMark/>
          </w:tcPr>
          <w:p w14:paraId="1E9F5F39"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6314DC7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Aplicar principios de diseño regenerativo que integren la dinámica del ecosistema local.</w:t>
            </w:r>
          </w:p>
        </w:tc>
        <w:tc>
          <w:tcPr>
            <w:tcW w:w="1140" w:type="dxa"/>
            <w:gridSpan w:val="3"/>
            <w:tcBorders>
              <w:top w:val="nil"/>
              <w:left w:val="nil"/>
              <w:bottom w:val="single" w:sz="4" w:space="0" w:color="auto"/>
              <w:right w:val="single" w:sz="4" w:space="0" w:color="auto"/>
            </w:tcBorders>
            <w:noWrap/>
            <w:vAlign w:val="center"/>
            <w:hideMark/>
          </w:tcPr>
          <w:p w14:paraId="325A4AAC"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4CEF7DFA"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1AC0C35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Mejora en el desempeño ecológico del proyecto.</w:t>
            </w:r>
          </w:p>
        </w:tc>
      </w:tr>
      <w:tr w:rsidR="00F212FE" w:rsidRPr="006358A3" w14:paraId="57FDD6F3" w14:textId="77777777" w:rsidTr="0055381F">
        <w:trPr>
          <w:gridAfter w:val="4"/>
          <w:wAfter w:w="2761" w:type="dxa"/>
          <w:trHeight w:val="1240"/>
        </w:trPr>
        <w:tc>
          <w:tcPr>
            <w:tcW w:w="1990" w:type="dxa"/>
            <w:vMerge/>
            <w:tcBorders>
              <w:top w:val="nil"/>
              <w:left w:val="nil"/>
              <w:bottom w:val="nil"/>
              <w:right w:val="nil"/>
            </w:tcBorders>
            <w:shd w:val="clear" w:color="auto" w:fill="29B95C"/>
            <w:vAlign w:val="center"/>
            <w:hideMark/>
          </w:tcPr>
          <w:p w14:paraId="03CA737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08BC4E36"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3B11270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Eficiencia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C127D2D"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0C58EE15"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La degradación del suelo conlleva mayor uso de materiales y recursos para estabilizar áreas afectadas</w:t>
            </w:r>
          </w:p>
        </w:tc>
        <w:tc>
          <w:tcPr>
            <w:tcW w:w="2264" w:type="dxa"/>
            <w:gridSpan w:val="2"/>
            <w:tcBorders>
              <w:top w:val="nil"/>
              <w:left w:val="nil"/>
              <w:bottom w:val="single" w:sz="4" w:space="0" w:color="auto"/>
              <w:right w:val="single" w:sz="4" w:space="0" w:color="auto"/>
            </w:tcBorders>
            <w:hideMark/>
          </w:tcPr>
          <w:p w14:paraId="4AB26116"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Aumento de costos, uso ineficiente de recursos.</w:t>
            </w:r>
          </w:p>
        </w:tc>
        <w:tc>
          <w:tcPr>
            <w:tcW w:w="942" w:type="dxa"/>
            <w:tcBorders>
              <w:top w:val="nil"/>
              <w:left w:val="nil"/>
              <w:bottom w:val="single" w:sz="4" w:space="0" w:color="auto"/>
              <w:right w:val="single" w:sz="4" w:space="0" w:color="auto"/>
            </w:tcBorders>
            <w:noWrap/>
            <w:vAlign w:val="center"/>
            <w:hideMark/>
          </w:tcPr>
          <w:p w14:paraId="38437171"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0E63DDD6"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Planificar zonas verdes funcionales y sistemas naturales de estabilización desde la etapa de diseño.</w:t>
            </w:r>
          </w:p>
        </w:tc>
        <w:tc>
          <w:tcPr>
            <w:tcW w:w="1140" w:type="dxa"/>
            <w:gridSpan w:val="3"/>
            <w:tcBorders>
              <w:top w:val="nil"/>
              <w:left w:val="nil"/>
              <w:bottom w:val="single" w:sz="4" w:space="0" w:color="auto"/>
              <w:right w:val="single" w:sz="4" w:space="0" w:color="auto"/>
            </w:tcBorders>
            <w:noWrap/>
            <w:vAlign w:val="center"/>
            <w:hideMark/>
          </w:tcPr>
          <w:p w14:paraId="28420FCB"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883" w:type="dxa"/>
            <w:tcBorders>
              <w:top w:val="nil"/>
              <w:left w:val="nil"/>
              <w:bottom w:val="single" w:sz="4" w:space="0" w:color="auto"/>
              <w:right w:val="single" w:sz="4" w:space="0" w:color="auto"/>
            </w:tcBorders>
            <w:noWrap/>
            <w:vAlign w:val="center"/>
            <w:hideMark/>
          </w:tcPr>
          <w:p w14:paraId="0964A94E"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1</w:t>
            </w:r>
          </w:p>
        </w:tc>
        <w:tc>
          <w:tcPr>
            <w:tcW w:w="3351" w:type="dxa"/>
            <w:gridSpan w:val="2"/>
            <w:tcBorders>
              <w:top w:val="nil"/>
              <w:left w:val="nil"/>
              <w:bottom w:val="single" w:sz="4" w:space="0" w:color="auto"/>
              <w:right w:val="single" w:sz="4" w:space="0" w:color="auto"/>
            </w:tcBorders>
            <w:hideMark/>
          </w:tcPr>
          <w:p w14:paraId="75BFBE8B"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Menor desperdicio y mejor uso de recursos constructivos.</w:t>
            </w:r>
          </w:p>
        </w:tc>
      </w:tr>
      <w:tr w:rsidR="00F212FE" w:rsidRPr="006358A3" w14:paraId="2065DE56" w14:textId="77777777" w:rsidTr="0055381F">
        <w:trPr>
          <w:gridAfter w:val="4"/>
          <w:wAfter w:w="2761" w:type="dxa"/>
          <w:trHeight w:val="380"/>
        </w:trPr>
        <w:tc>
          <w:tcPr>
            <w:tcW w:w="1990" w:type="dxa"/>
            <w:vMerge/>
            <w:tcBorders>
              <w:top w:val="nil"/>
              <w:left w:val="nil"/>
              <w:bottom w:val="nil"/>
              <w:right w:val="nil"/>
            </w:tcBorders>
            <w:shd w:val="clear" w:color="auto" w:fill="29B95C"/>
            <w:vAlign w:val="center"/>
            <w:hideMark/>
          </w:tcPr>
          <w:p w14:paraId="402C1D3E"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776A9BC0"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4FE618D9"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Imparcialidad</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9541FAA"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3B4F86A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Las comunidades aledañas pueden ser afectadas de forma desigual por el deterioro ambiental del suelo.</w:t>
            </w:r>
          </w:p>
        </w:tc>
        <w:tc>
          <w:tcPr>
            <w:tcW w:w="2264" w:type="dxa"/>
            <w:gridSpan w:val="2"/>
            <w:tcBorders>
              <w:top w:val="nil"/>
              <w:left w:val="nil"/>
              <w:bottom w:val="single" w:sz="4" w:space="0" w:color="auto"/>
              <w:right w:val="single" w:sz="4" w:space="0" w:color="auto"/>
            </w:tcBorders>
            <w:hideMark/>
          </w:tcPr>
          <w:p w14:paraId="74ECF8CC"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Aumento de desigualdades y conflictos socioambientales.</w:t>
            </w:r>
          </w:p>
        </w:tc>
        <w:tc>
          <w:tcPr>
            <w:tcW w:w="942" w:type="dxa"/>
            <w:tcBorders>
              <w:top w:val="nil"/>
              <w:left w:val="nil"/>
              <w:bottom w:val="single" w:sz="4" w:space="0" w:color="auto"/>
              <w:right w:val="single" w:sz="4" w:space="0" w:color="auto"/>
            </w:tcBorders>
            <w:noWrap/>
            <w:vAlign w:val="center"/>
            <w:hideMark/>
          </w:tcPr>
          <w:p w14:paraId="4211A54B"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39FEF966"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Integrar participación comunitaria para definir estrategias de protección del suelo en zonas sensibles.</w:t>
            </w:r>
          </w:p>
        </w:tc>
        <w:tc>
          <w:tcPr>
            <w:tcW w:w="1140" w:type="dxa"/>
            <w:gridSpan w:val="3"/>
            <w:tcBorders>
              <w:top w:val="nil"/>
              <w:left w:val="nil"/>
              <w:bottom w:val="single" w:sz="4" w:space="0" w:color="auto"/>
              <w:right w:val="single" w:sz="4" w:space="0" w:color="auto"/>
            </w:tcBorders>
            <w:noWrap/>
            <w:vAlign w:val="center"/>
            <w:hideMark/>
          </w:tcPr>
          <w:p w14:paraId="05B29F04"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308B1194"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622E2C49"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Proyecto más justo, con beneficios compartidos y mitigación equitativa de impactos.</w:t>
            </w:r>
          </w:p>
        </w:tc>
      </w:tr>
      <w:tr w:rsidR="00F212FE" w:rsidRPr="006358A3" w14:paraId="1E60BC97" w14:textId="77777777" w:rsidTr="0055381F">
        <w:trPr>
          <w:gridAfter w:val="4"/>
          <w:wAfter w:w="2761" w:type="dxa"/>
          <w:trHeight w:val="2480"/>
        </w:trPr>
        <w:tc>
          <w:tcPr>
            <w:tcW w:w="1990" w:type="dxa"/>
            <w:vMerge w:val="restart"/>
            <w:tcBorders>
              <w:top w:val="nil"/>
              <w:left w:val="single" w:sz="4" w:space="0" w:color="auto"/>
              <w:bottom w:val="single" w:sz="4" w:space="0" w:color="auto"/>
              <w:right w:val="single" w:sz="4" w:space="0" w:color="auto"/>
            </w:tcBorders>
            <w:shd w:val="clear" w:color="auto" w:fill="29B95C"/>
            <w:vAlign w:val="center"/>
            <w:hideMark/>
          </w:tcPr>
          <w:p w14:paraId="7F0F5FB5" w14:textId="77777777" w:rsidR="00F212FE" w:rsidRPr="006358A3" w:rsidRDefault="00F212FE" w:rsidP="0055381F">
            <w:pPr>
              <w:spacing w:line="240" w:lineRule="auto"/>
              <w:ind w:firstLine="0"/>
              <w:rPr>
                <w:rFonts w:ascii="Calibri" w:eastAsia="Times New Roman" w:hAnsi="Calibri" w:cs="Calibri"/>
                <w:color w:val="4A9F38"/>
                <w:sz w:val="24"/>
                <w:lang w:val="es-CR" w:eastAsia="es-CR"/>
              </w:rPr>
            </w:pPr>
            <w:r w:rsidRPr="006358A3">
              <w:rPr>
                <w:rFonts w:ascii="Calibri" w:eastAsia="Times New Roman" w:hAnsi="Calibri" w:cs="Calibri"/>
                <w:noProof/>
                <w:color w:val="000000"/>
                <w:sz w:val="24"/>
                <w:lang w:val="es-CR" w:eastAsia="es-CR"/>
              </w:rPr>
              <w:lastRenderedPageBreak/>
              <w:drawing>
                <wp:anchor distT="0" distB="0" distL="114300" distR="114300" simplePos="0" relativeHeight="251695104" behindDoc="0" locked="0" layoutInCell="1" allowOverlap="1" wp14:anchorId="3D4424B9" wp14:editId="7A419E5A">
                  <wp:simplePos x="0" y="0"/>
                  <wp:positionH relativeFrom="column">
                    <wp:posOffset>184150</wp:posOffset>
                  </wp:positionH>
                  <wp:positionV relativeFrom="paragraph">
                    <wp:posOffset>64770</wp:posOffset>
                  </wp:positionV>
                  <wp:extent cx="819150" cy="914400"/>
                  <wp:effectExtent l="0" t="0" r="0" b="0"/>
                  <wp:wrapNone/>
                  <wp:docPr id="45" name="Imagen 29">
                    <a:extLst xmlns:a="http://schemas.openxmlformats.org/drawingml/2006/main">
                      <a:ext uri="{FF2B5EF4-FFF2-40B4-BE49-F238E27FC236}">
                        <a16:creationId xmlns:a16="http://schemas.microsoft.com/office/drawing/2014/main" id="{00000000-0008-0000-0400-00002D000000}"/>
                      </a:ext>
                    </a:extLst>
                  </wp:docPr>
                  <wp:cNvGraphicFramePr/>
                  <a:graphic xmlns:a="http://schemas.openxmlformats.org/drawingml/2006/main">
                    <a:graphicData uri="http://schemas.openxmlformats.org/drawingml/2006/picture">
                      <pic:pic xmlns:pic="http://schemas.openxmlformats.org/drawingml/2006/picture">
                        <pic:nvPicPr>
                          <pic:cNvPr id="45" name="Picture 44">
                            <a:extLst>
                              <a:ext uri="{FF2B5EF4-FFF2-40B4-BE49-F238E27FC236}">
                                <a16:creationId xmlns:a16="http://schemas.microsoft.com/office/drawing/2014/main" id="{00000000-0008-0000-0400-00002D000000}"/>
                              </a:ext>
                            </a:extLst>
                          </pic:cNvPr>
                          <pic:cNvPicPr>
                            <a:picLocks noChangeAspect="1"/>
                          </pic:cNvPicPr>
                        </pic:nvPicPr>
                        <pic:blipFill>
                          <a:blip r:embed="rId60"/>
                          <a:stretch>
                            <a:fillRect/>
                          </a:stretch>
                        </pic:blipFill>
                        <pic:spPr>
                          <a:xfrm>
                            <a:off x="0" y="0"/>
                            <a:ext cx="819150" cy="914400"/>
                          </a:xfrm>
                          <a:prstGeom prst="rect">
                            <a:avLst/>
                          </a:prstGeom>
                        </pic:spPr>
                      </pic:pic>
                    </a:graphicData>
                  </a:graphic>
                  <wp14:sizeRelH relativeFrom="page">
                    <wp14:pctWidth>0</wp14:pctWidth>
                  </wp14:sizeRelH>
                  <wp14:sizeRelV relativeFrom="page">
                    <wp14:pctHeight>0</wp14:pctHeight>
                  </wp14:sizeRelV>
                </wp:anchor>
              </w:drawing>
            </w:r>
          </w:p>
        </w:tc>
        <w:tc>
          <w:tcPr>
            <w:tcW w:w="1979" w:type="dxa"/>
            <w:vMerge w:val="restart"/>
            <w:tcBorders>
              <w:top w:val="nil"/>
              <w:left w:val="single" w:sz="4" w:space="0" w:color="auto"/>
              <w:bottom w:val="single" w:sz="4" w:space="0" w:color="auto"/>
              <w:right w:val="single" w:sz="4" w:space="0" w:color="auto"/>
            </w:tcBorders>
            <w:shd w:val="clear" w:color="000000" w:fill="F2F2F2"/>
            <w:vAlign w:val="center"/>
            <w:hideMark/>
          </w:tcPr>
          <w:p w14:paraId="0BD79420"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r w:rsidRPr="006358A3">
              <w:rPr>
                <w:rFonts w:ascii="Calibri" w:eastAsia="Times New Roman" w:hAnsi="Calibri" w:cs="Calibri"/>
                <w:color w:val="000000"/>
                <w:sz w:val="18"/>
                <w:szCs w:val="18"/>
                <w:lang w:val="es-CR" w:eastAsia="es-CR"/>
              </w:rPr>
              <w:t>Contaminación acústica es la creación de sonidos excesivos, desagradables o perturbadores que pueden disminuir la calidad de vida. La contaminación acústica puede ser causada por actividades tales como voladuras (blasting), tráfico de vehículos pesados, embotellamientos y operación de maquinaria o equipo.</w:t>
            </w:r>
          </w:p>
        </w:tc>
        <w:tc>
          <w:tcPr>
            <w:tcW w:w="1667" w:type="dxa"/>
            <w:tcBorders>
              <w:top w:val="nil"/>
              <w:left w:val="nil"/>
              <w:bottom w:val="single" w:sz="4" w:space="0" w:color="auto"/>
              <w:right w:val="single" w:sz="4" w:space="0" w:color="auto"/>
            </w:tcBorders>
            <w:shd w:val="clear" w:color="000000" w:fill="F2F2F2"/>
            <w:noWrap/>
            <w:vAlign w:val="center"/>
            <w:hideMark/>
          </w:tcPr>
          <w:p w14:paraId="685A3C5B"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Vida Útil</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8CA59C1"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35E23421"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La exposición prolongada a ruido durante la obra puede afectar la integridad estructural de ciertos acabados sensibles, además de disuadir su uso continuo por usuarios sensibles al ruido.</w:t>
            </w:r>
          </w:p>
        </w:tc>
        <w:tc>
          <w:tcPr>
            <w:tcW w:w="2264" w:type="dxa"/>
            <w:gridSpan w:val="2"/>
            <w:tcBorders>
              <w:top w:val="nil"/>
              <w:left w:val="nil"/>
              <w:bottom w:val="single" w:sz="4" w:space="0" w:color="auto"/>
              <w:right w:val="single" w:sz="4" w:space="0" w:color="auto"/>
            </w:tcBorders>
            <w:hideMark/>
          </w:tcPr>
          <w:p w14:paraId="41F6A8DC"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Reducción en la percepción de calidad y durabilidad del espacio.</w:t>
            </w:r>
          </w:p>
        </w:tc>
        <w:tc>
          <w:tcPr>
            <w:tcW w:w="942" w:type="dxa"/>
            <w:tcBorders>
              <w:top w:val="nil"/>
              <w:left w:val="nil"/>
              <w:bottom w:val="single" w:sz="4" w:space="0" w:color="auto"/>
              <w:right w:val="single" w:sz="4" w:space="0" w:color="auto"/>
            </w:tcBorders>
            <w:noWrap/>
            <w:vAlign w:val="center"/>
            <w:hideMark/>
          </w:tcPr>
          <w:p w14:paraId="2EB8D5B7"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03EBA680"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Aplicar criterios de diseño acústico pasivo desde la fase de diseño y elegir materiales que amortigüen vibraciones.</w:t>
            </w:r>
          </w:p>
        </w:tc>
        <w:tc>
          <w:tcPr>
            <w:tcW w:w="1140" w:type="dxa"/>
            <w:gridSpan w:val="3"/>
            <w:tcBorders>
              <w:top w:val="nil"/>
              <w:left w:val="nil"/>
              <w:bottom w:val="single" w:sz="4" w:space="0" w:color="auto"/>
              <w:right w:val="single" w:sz="4" w:space="0" w:color="auto"/>
            </w:tcBorders>
            <w:noWrap/>
            <w:vAlign w:val="center"/>
            <w:hideMark/>
          </w:tcPr>
          <w:p w14:paraId="025F27E3"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1789E976"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20CE1DFA"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Mayor confort, durabilidad de los acabados y mejor percepción de calidad.</w:t>
            </w:r>
          </w:p>
        </w:tc>
      </w:tr>
      <w:tr w:rsidR="00F212FE" w:rsidRPr="006358A3" w14:paraId="3E2E6D0C" w14:textId="77777777" w:rsidTr="0055381F">
        <w:trPr>
          <w:gridAfter w:val="4"/>
          <w:wAfter w:w="2761" w:type="dxa"/>
          <w:trHeight w:val="1550"/>
        </w:trPr>
        <w:tc>
          <w:tcPr>
            <w:tcW w:w="1990" w:type="dxa"/>
            <w:vMerge/>
            <w:tcBorders>
              <w:top w:val="nil"/>
              <w:left w:val="single" w:sz="4" w:space="0" w:color="auto"/>
              <w:bottom w:val="single" w:sz="4" w:space="0" w:color="auto"/>
              <w:right w:val="single" w:sz="4" w:space="0" w:color="auto"/>
            </w:tcBorders>
            <w:shd w:val="clear" w:color="auto" w:fill="29B95C"/>
            <w:vAlign w:val="center"/>
            <w:hideMark/>
          </w:tcPr>
          <w:p w14:paraId="002FAC40" w14:textId="77777777" w:rsidR="00F212FE" w:rsidRPr="006358A3" w:rsidRDefault="00F212FE" w:rsidP="0055381F">
            <w:pPr>
              <w:spacing w:line="240" w:lineRule="auto"/>
              <w:ind w:firstLine="0"/>
              <w:rPr>
                <w:rFonts w:ascii="Calibri" w:eastAsia="Times New Roman" w:hAnsi="Calibri" w:cs="Calibri"/>
                <w:color w:val="4A9F38"/>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3FEFB9FD"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6ABEF53A"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Mantenimiento</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AD2A3E3"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3DE611EF"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La falta de control del ruido puede dañar equipos sensibles o generar mayor desgaste en cerramientos y sellos acústicos.</w:t>
            </w:r>
          </w:p>
        </w:tc>
        <w:tc>
          <w:tcPr>
            <w:tcW w:w="2264" w:type="dxa"/>
            <w:gridSpan w:val="2"/>
            <w:tcBorders>
              <w:top w:val="nil"/>
              <w:left w:val="nil"/>
              <w:bottom w:val="single" w:sz="4" w:space="0" w:color="auto"/>
              <w:right w:val="single" w:sz="4" w:space="0" w:color="auto"/>
            </w:tcBorders>
            <w:hideMark/>
          </w:tcPr>
          <w:p w14:paraId="3E4AC8D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Aumento en intervenciones correctivas y reemplazos por fatiga o daño.</w:t>
            </w:r>
          </w:p>
        </w:tc>
        <w:tc>
          <w:tcPr>
            <w:tcW w:w="942" w:type="dxa"/>
            <w:tcBorders>
              <w:top w:val="nil"/>
              <w:left w:val="nil"/>
              <w:bottom w:val="single" w:sz="4" w:space="0" w:color="auto"/>
              <w:right w:val="single" w:sz="4" w:space="0" w:color="auto"/>
            </w:tcBorders>
            <w:noWrap/>
            <w:vAlign w:val="center"/>
            <w:hideMark/>
          </w:tcPr>
          <w:p w14:paraId="56074009"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6F307CFF"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Incluir aislación acústica en planos constructivos y capacitar al personal para proteger áreas sensibles durante la obra.</w:t>
            </w:r>
          </w:p>
        </w:tc>
        <w:tc>
          <w:tcPr>
            <w:tcW w:w="1140" w:type="dxa"/>
            <w:gridSpan w:val="3"/>
            <w:tcBorders>
              <w:top w:val="nil"/>
              <w:left w:val="nil"/>
              <w:bottom w:val="single" w:sz="4" w:space="0" w:color="auto"/>
              <w:right w:val="single" w:sz="4" w:space="0" w:color="auto"/>
            </w:tcBorders>
            <w:noWrap/>
            <w:vAlign w:val="center"/>
            <w:hideMark/>
          </w:tcPr>
          <w:p w14:paraId="323839C6"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883" w:type="dxa"/>
            <w:tcBorders>
              <w:top w:val="nil"/>
              <w:left w:val="nil"/>
              <w:bottom w:val="single" w:sz="4" w:space="0" w:color="auto"/>
              <w:right w:val="single" w:sz="4" w:space="0" w:color="auto"/>
            </w:tcBorders>
            <w:noWrap/>
            <w:vAlign w:val="center"/>
            <w:hideMark/>
          </w:tcPr>
          <w:p w14:paraId="320D3394"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1</w:t>
            </w:r>
          </w:p>
        </w:tc>
        <w:tc>
          <w:tcPr>
            <w:tcW w:w="3351" w:type="dxa"/>
            <w:gridSpan w:val="2"/>
            <w:tcBorders>
              <w:top w:val="nil"/>
              <w:left w:val="nil"/>
              <w:bottom w:val="single" w:sz="4" w:space="0" w:color="auto"/>
              <w:right w:val="single" w:sz="4" w:space="0" w:color="auto"/>
            </w:tcBorders>
            <w:hideMark/>
          </w:tcPr>
          <w:p w14:paraId="3F8075A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Reducción de daños prematuros y menor frecuencia de mantenimiento.</w:t>
            </w:r>
          </w:p>
        </w:tc>
      </w:tr>
      <w:tr w:rsidR="00F212FE" w:rsidRPr="006358A3" w14:paraId="169A56AA" w14:textId="77777777" w:rsidTr="0055381F">
        <w:trPr>
          <w:gridAfter w:val="4"/>
          <w:wAfter w:w="2761" w:type="dxa"/>
          <w:trHeight w:val="1550"/>
        </w:trPr>
        <w:tc>
          <w:tcPr>
            <w:tcW w:w="1990" w:type="dxa"/>
            <w:vMerge/>
            <w:tcBorders>
              <w:top w:val="nil"/>
              <w:left w:val="single" w:sz="4" w:space="0" w:color="auto"/>
              <w:bottom w:val="single" w:sz="4" w:space="0" w:color="auto"/>
              <w:right w:val="single" w:sz="4" w:space="0" w:color="auto"/>
            </w:tcBorders>
            <w:shd w:val="clear" w:color="auto" w:fill="29B95C"/>
            <w:vAlign w:val="center"/>
            <w:hideMark/>
          </w:tcPr>
          <w:p w14:paraId="161A35FC" w14:textId="77777777" w:rsidR="00F212FE" w:rsidRPr="006358A3" w:rsidRDefault="00F212FE" w:rsidP="0055381F">
            <w:pPr>
              <w:spacing w:line="240" w:lineRule="auto"/>
              <w:ind w:firstLine="0"/>
              <w:rPr>
                <w:rFonts w:ascii="Calibri" w:eastAsia="Times New Roman" w:hAnsi="Calibri" w:cs="Calibri"/>
                <w:color w:val="4A9F38"/>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0695C91C"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3B50F25E"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Eficacia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B6EC6A8"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53C7F1F2"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El ruido constante puede reducir la concentración y desempeño de los usuarios en entornos de trabajo.</w:t>
            </w:r>
          </w:p>
        </w:tc>
        <w:tc>
          <w:tcPr>
            <w:tcW w:w="2264" w:type="dxa"/>
            <w:gridSpan w:val="2"/>
            <w:tcBorders>
              <w:top w:val="nil"/>
              <w:left w:val="nil"/>
              <w:bottom w:val="single" w:sz="4" w:space="0" w:color="auto"/>
              <w:right w:val="single" w:sz="4" w:space="0" w:color="auto"/>
            </w:tcBorders>
            <w:hideMark/>
          </w:tcPr>
          <w:p w14:paraId="3899C5BA"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Impacto negativo en la productividad y bienestar de los ocupantes.</w:t>
            </w:r>
          </w:p>
        </w:tc>
        <w:tc>
          <w:tcPr>
            <w:tcW w:w="942" w:type="dxa"/>
            <w:tcBorders>
              <w:top w:val="nil"/>
              <w:left w:val="nil"/>
              <w:bottom w:val="single" w:sz="4" w:space="0" w:color="auto"/>
              <w:right w:val="single" w:sz="4" w:space="0" w:color="auto"/>
            </w:tcBorders>
            <w:noWrap/>
            <w:vAlign w:val="center"/>
            <w:hideMark/>
          </w:tcPr>
          <w:p w14:paraId="7E435139"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1995" w:type="dxa"/>
            <w:tcBorders>
              <w:top w:val="nil"/>
              <w:left w:val="nil"/>
              <w:bottom w:val="single" w:sz="4" w:space="0" w:color="auto"/>
              <w:right w:val="single" w:sz="4" w:space="0" w:color="auto"/>
            </w:tcBorders>
            <w:hideMark/>
          </w:tcPr>
          <w:p w14:paraId="7790040B"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Implementar barreras acústicas temporales durante construcción y sistemas de aislamiento en zonas de uso intensivo.</w:t>
            </w:r>
          </w:p>
        </w:tc>
        <w:tc>
          <w:tcPr>
            <w:tcW w:w="1140" w:type="dxa"/>
            <w:gridSpan w:val="3"/>
            <w:tcBorders>
              <w:top w:val="nil"/>
              <w:left w:val="nil"/>
              <w:bottom w:val="single" w:sz="4" w:space="0" w:color="auto"/>
              <w:right w:val="single" w:sz="4" w:space="0" w:color="auto"/>
            </w:tcBorders>
            <w:noWrap/>
            <w:vAlign w:val="center"/>
            <w:hideMark/>
          </w:tcPr>
          <w:p w14:paraId="6AF82270"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5</w:t>
            </w:r>
          </w:p>
        </w:tc>
        <w:tc>
          <w:tcPr>
            <w:tcW w:w="883" w:type="dxa"/>
            <w:tcBorders>
              <w:top w:val="nil"/>
              <w:left w:val="nil"/>
              <w:bottom w:val="single" w:sz="4" w:space="0" w:color="auto"/>
              <w:right w:val="single" w:sz="4" w:space="0" w:color="auto"/>
            </w:tcBorders>
            <w:noWrap/>
            <w:vAlign w:val="center"/>
            <w:hideMark/>
          </w:tcPr>
          <w:p w14:paraId="4C4E1A0C"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6B4A25D5"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Mayor bienestar ocupacional y cumplimiento de condiciones funcionales.</w:t>
            </w:r>
          </w:p>
        </w:tc>
      </w:tr>
      <w:tr w:rsidR="00F212FE" w:rsidRPr="006358A3" w14:paraId="250713E4" w14:textId="77777777" w:rsidTr="0055381F">
        <w:trPr>
          <w:gridAfter w:val="4"/>
          <w:wAfter w:w="2761" w:type="dxa"/>
          <w:trHeight w:val="1550"/>
        </w:trPr>
        <w:tc>
          <w:tcPr>
            <w:tcW w:w="1990" w:type="dxa"/>
            <w:vMerge/>
            <w:tcBorders>
              <w:top w:val="nil"/>
              <w:left w:val="single" w:sz="4" w:space="0" w:color="auto"/>
              <w:bottom w:val="single" w:sz="4" w:space="0" w:color="auto"/>
              <w:right w:val="single" w:sz="4" w:space="0" w:color="auto"/>
            </w:tcBorders>
            <w:shd w:val="clear" w:color="auto" w:fill="29B95C"/>
            <w:vAlign w:val="center"/>
            <w:hideMark/>
          </w:tcPr>
          <w:p w14:paraId="39FB7C05" w14:textId="77777777" w:rsidR="00F212FE" w:rsidRPr="006358A3" w:rsidRDefault="00F212FE" w:rsidP="0055381F">
            <w:pPr>
              <w:spacing w:line="240" w:lineRule="auto"/>
              <w:ind w:firstLine="0"/>
              <w:rPr>
                <w:rFonts w:ascii="Calibri" w:eastAsia="Times New Roman" w:hAnsi="Calibri" w:cs="Calibri"/>
                <w:color w:val="4A9F38"/>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7FD1917F"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25C7B27E"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Eficiencia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9176143"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10FB5136"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El ruido genera interrupciones en las operaciones, especialmente durante fases de obra en espacios ocupados.</w:t>
            </w:r>
          </w:p>
        </w:tc>
        <w:tc>
          <w:tcPr>
            <w:tcW w:w="2264" w:type="dxa"/>
            <w:gridSpan w:val="2"/>
            <w:tcBorders>
              <w:top w:val="nil"/>
              <w:left w:val="nil"/>
              <w:bottom w:val="single" w:sz="4" w:space="0" w:color="auto"/>
              <w:right w:val="single" w:sz="4" w:space="0" w:color="auto"/>
            </w:tcBorders>
            <w:hideMark/>
          </w:tcPr>
          <w:p w14:paraId="1467407D"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Aumento de tiempos muertos y retrasos operativos.</w:t>
            </w:r>
          </w:p>
        </w:tc>
        <w:tc>
          <w:tcPr>
            <w:tcW w:w="942" w:type="dxa"/>
            <w:tcBorders>
              <w:top w:val="nil"/>
              <w:left w:val="nil"/>
              <w:bottom w:val="single" w:sz="4" w:space="0" w:color="auto"/>
              <w:right w:val="single" w:sz="4" w:space="0" w:color="auto"/>
            </w:tcBorders>
            <w:noWrap/>
            <w:vAlign w:val="center"/>
            <w:hideMark/>
          </w:tcPr>
          <w:p w14:paraId="5821B3E8"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vAlign w:val="center"/>
            <w:hideMark/>
          </w:tcPr>
          <w:p w14:paraId="1FFFA379"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Planificar fases de alto ruido fuera de horario laboral y usar maquinaria silenciosa donde sea posible.</w:t>
            </w:r>
          </w:p>
        </w:tc>
        <w:tc>
          <w:tcPr>
            <w:tcW w:w="1140" w:type="dxa"/>
            <w:gridSpan w:val="3"/>
            <w:tcBorders>
              <w:top w:val="nil"/>
              <w:left w:val="nil"/>
              <w:bottom w:val="single" w:sz="4" w:space="0" w:color="auto"/>
              <w:right w:val="single" w:sz="4" w:space="0" w:color="auto"/>
            </w:tcBorders>
            <w:noWrap/>
            <w:vAlign w:val="center"/>
            <w:hideMark/>
          </w:tcPr>
          <w:p w14:paraId="2D2F2AC8"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0588FB9F"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7329C8BE"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Reducción de interrupciones y mayor eficiencia en ejecución.</w:t>
            </w:r>
          </w:p>
        </w:tc>
      </w:tr>
      <w:tr w:rsidR="00F212FE" w:rsidRPr="006358A3" w14:paraId="7320FBA9" w14:textId="77777777" w:rsidTr="0055381F">
        <w:trPr>
          <w:gridAfter w:val="4"/>
          <w:wAfter w:w="2761" w:type="dxa"/>
          <w:trHeight w:val="1550"/>
        </w:trPr>
        <w:tc>
          <w:tcPr>
            <w:tcW w:w="1990" w:type="dxa"/>
            <w:vMerge/>
            <w:tcBorders>
              <w:top w:val="nil"/>
              <w:left w:val="single" w:sz="4" w:space="0" w:color="auto"/>
              <w:bottom w:val="single" w:sz="4" w:space="0" w:color="auto"/>
              <w:right w:val="single" w:sz="4" w:space="0" w:color="auto"/>
            </w:tcBorders>
            <w:shd w:val="clear" w:color="auto" w:fill="29B95C"/>
            <w:vAlign w:val="center"/>
            <w:hideMark/>
          </w:tcPr>
          <w:p w14:paraId="1B92D6D7" w14:textId="77777777" w:rsidR="00F212FE" w:rsidRPr="006358A3" w:rsidRDefault="00F212FE" w:rsidP="0055381F">
            <w:pPr>
              <w:spacing w:line="240" w:lineRule="auto"/>
              <w:ind w:firstLine="0"/>
              <w:rPr>
                <w:rFonts w:ascii="Calibri" w:eastAsia="Times New Roman" w:hAnsi="Calibri" w:cs="Calibri"/>
                <w:color w:val="4A9F38"/>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6B48B4BE"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5F4AD788"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Imparcialidad</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53B55A5"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6051819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Los trabajadores en campo pueden enfrentar niveles desiguales de exposición al ruido sin protecciones adecuadas.</w:t>
            </w:r>
          </w:p>
        </w:tc>
        <w:tc>
          <w:tcPr>
            <w:tcW w:w="2264" w:type="dxa"/>
            <w:gridSpan w:val="2"/>
            <w:tcBorders>
              <w:top w:val="nil"/>
              <w:left w:val="nil"/>
              <w:bottom w:val="single" w:sz="4" w:space="0" w:color="auto"/>
              <w:right w:val="single" w:sz="4" w:space="0" w:color="auto"/>
            </w:tcBorders>
            <w:hideMark/>
          </w:tcPr>
          <w:p w14:paraId="31E5783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825784">
              <w:rPr>
                <w:rFonts w:ascii="Calibri" w:eastAsia="Times New Roman" w:hAnsi="Calibri" w:cs="Calibri"/>
                <w:color w:val="000000"/>
                <w:sz w:val="24"/>
                <w:lang w:eastAsia="es-CR"/>
              </w:rPr>
              <w:t>Riesgos de salud diferenciados y percepción de trato injusto.</w:t>
            </w:r>
          </w:p>
        </w:tc>
        <w:tc>
          <w:tcPr>
            <w:tcW w:w="942" w:type="dxa"/>
            <w:tcBorders>
              <w:top w:val="nil"/>
              <w:left w:val="nil"/>
              <w:bottom w:val="single" w:sz="4" w:space="0" w:color="auto"/>
              <w:right w:val="single" w:sz="4" w:space="0" w:color="auto"/>
            </w:tcBorders>
            <w:noWrap/>
            <w:vAlign w:val="center"/>
            <w:hideMark/>
          </w:tcPr>
          <w:p w14:paraId="4B41A135"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1995" w:type="dxa"/>
            <w:tcBorders>
              <w:top w:val="nil"/>
              <w:left w:val="nil"/>
              <w:bottom w:val="single" w:sz="4" w:space="0" w:color="auto"/>
              <w:right w:val="single" w:sz="4" w:space="0" w:color="auto"/>
            </w:tcBorders>
            <w:vAlign w:val="center"/>
            <w:hideMark/>
          </w:tcPr>
          <w:p w14:paraId="2FD2562E"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Establecer protocolos de protección auditiva, rotación de tareas ruidosas y monitoreo de decibeles.</w:t>
            </w:r>
          </w:p>
        </w:tc>
        <w:tc>
          <w:tcPr>
            <w:tcW w:w="1140" w:type="dxa"/>
            <w:gridSpan w:val="3"/>
            <w:tcBorders>
              <w:top w:val="nil"/>
              <w:left w:val="nil"/>
              <w:bottom w:val="single" w:sz="4" w:space="0" w:color="auto"/>
              <w:right w:val="single" w:sz="4" w:space="0" w:color="auto"/>
            </w:tcBorders>
            <w:noWrap/>
            <w:vAlign w:val="center"/>
            <w:hideMark/>
          </w:tcPr>
          <w:p w14:paraId="3340FA14"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5</w:t>
            </w:r>
          </w:p>
        </w:tc>
        <w:tc>
          <w:tcPr>
            <w:tcW w:w="883" w:type="dxa"/>
            <w:tcBorders>
              <w:top w:val="nil"/>
              <w:left w:val="nil"/>
              <w:bottom w:val="single" w:sz="4" w:space="0" w:color="auto"/>
              <w:right w:val="single" w:sz="4" w:space="0" w:color="auto"/>
            </w:tcBorders>
            <w:noWrap/>
            <w:vAlign w:val="center"/>
            <w:hideMark/>
          </w:tcPr>
          <w:p w14:paraId="5EC6A329"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056E4A31"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Mejora en la equidad laboral y reducción de riesgos auditivos.</w:t>
            </w:r>
          </w:p>
        </w:tc>
      </w:tr>
      <w:tr w:rsidR="00F212FE" w:rsidRPr="006358A3" w14:paraId="0871FC98" w14:textId="77777777" w:rsidTr="0055381F">
        <w:trPr>
          <w:gridAfter w:val="4"/>
          <w:wAfter w:w="2761" w:type="dxa"/>
          <w:trHeight w:val="320"/>
        </w:trPr>
        <w:tc>
          <w:tcPr>
            <w:tcW w:w="1990" w:type="dxa"/>
            <w:tcBorders>
              <w:top w:val="nil"/>
              <w:left w:val="single" w:sz="4" w:space="0" w:color="auto"/>
              <w:bottom w:val="single" w:sz="4" w:space="0" w:color="auto"/>
              <w:right w:val="single" w:sz="4" w:space="0" w:color="auto"/>
            </w:tcBorders>
            <w:shd w:val="clear" w:color="000000" w:fill="A9D08E"/>
            <w:noWrap/>
            <w:vAlign w:val="bottom"/>
            <w:hideMark/>
          </w:tcPr>
          <w:p w14:paraId="536375A2"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Categoría</w:t>
            </w:r>
          </w:p>
        </w:tc>
        <w:tc>
          <w:tcPr>
            <w:tcW w:w="1979" w:type="dxa"/>
            <w:tcBorders>
              <w:top w:val="nil"/>
              <w:left w:val="nil"/>
              <w:bottom w:val="single" w:sz="4" w:space="0" w:color="auto"/>
              <w:right w:val="nil"/>
            </w:tcBorders>
            <w:shd w:val="clear" w:color="000000" w:fill="A9D08E"/>
            <w:noWrap/>
            <w:vAlign w:val="center"/>
            <w:hideMark/>
          </w:tcPr>
          <w:p w14:paraId="29A4AFC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Consumo</w:t>
            </w:r>
          </w:p>
        </w:tc>
        <w:tc>
          <w:tcPr>
            <w:tcW w:w="1667" w:type="dxa"/>
            <w:vMerge w:val="restart"/>
            <w:tcBorders>
              <w:top w:val="nil"/>
              <w:left w:val="single" w:sz="4" w:space="0" w:color="auto"/>
              <w:bottom w:val="single" w:sz="4" w:space="0" w:color="auto"/>
              <w:right w:val="single" w:sz="4" w:space="0" w:color="auto"/>
            </w:tcBorders>
            <w:shd w:val="clear" w:color="000000" w:fill="A9D08E"/>
            <w:noWrap/>
            <w:vAlign w:val="center"/>
            <w:hideMark/>
          </w:tcPr>
          <w:p w14:paraId="2DF83CA9"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Lente</w:t>
            </w:r>
          </w:p>
        </w:tc>
        <w:tc>
          <w:tcPr>
            <w:tcW w:w="1452" w:type="dxa"/>
            <w:vMerge w:val="restart"/>
            <w:tcBorders>
              <w:top w:val="nil"/>
              <w:left w:val="single" w:sz="4" w:space="0" w:color="auto"/>
              <w:bottom w:val="single" w:sz="4" w:space="0" w:color="auto"/>
              <w:right w:val="single" w:sz="4" w:space="0" w:color="auto"/>
            </w:tcBorders>
            <w:shd w:val="clear" w:color="000000" w:fill="A9D08E"/>
            <w:noWrap/>
            <w:vAlign w:val="center"/>
            <w:hideMark/>
          </w:tcPr>
          <w:p w14:paraId="273BF14B"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¿Calificado?</w:t>
            </w:r>
          </w:p>
        </w:tc>
        <w:tc>
          <w:tcPr>
            <w:tcW w:w="2555" w:type="dxa"/>
            <w:vMerge w:val="restart"/>
            <w:tcBorders>
              <w:top w:val="nil"/>
              <w:left w:val="single" w:sz="4" w:space="0" w:color="auto"/>
              <w:bottom w:val="single" w:sz="4" w:space="0" w:color="auto"/>
              <w:right w:val="single" w:sz="4" w:space="0" w:color="auto"/>
            </w:tcBorders>
            <w:shd w:val="clear" w:color="000000" w:fill="A9D08E"/>
            <w:noWrap/>
            <w:vAlign w:val="center"/>
            <w:hideMark/>
          </w:tcPr>
          <w:p w14:paraId="41A4922D"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Descripción (Causa)</w:t>
            </w:r>
          </w:p>
        </w:tc>
        <w:tc>
          <w:tcPr>
            <w:tcW w:w="2264" w:type="dxa"/>
            <w:gridSpan w:val="2"/>
            <w:vMerge w:val="restart"/>
            <w:tcBorders>
              <w:top w:val="nil"/>
              <w:left w:val="single" w:sz="4" w:space="0" w:color="auto"/>
              <w:bottom w:val="single" w:sz="4" w:space="0" w:color="auto"/>
              <w:right w:val="single" w:sz="4" w:space="0" w:color="auto"/>
            </w:tcBorders>
            <w:shd w:val="clear" w:color="000000" w:fill="A9D08E"/>
            <w:vAlign w:val="center"/>
            <w:hideMark/>
          </w:tcPr>
          <w:p w14:paraId="6188B092"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Impacto Potencial en la Sostenibilidad</w:t>
            </w:r>
          </w:p>
        </w:tc>
        <w:tc>
          <w:tcPr>
            <w:tcW w:w="942" w:type="dxa"/>
            <w:vMerge w:val="restart"/>
            <w:tcBorders>
              <w:top w:val="nil"/>
              <w:left w:val="single" w:sz="4" w:space="0" w:color="auto"/>
              <w:bottom w:val="single" w:sz="4" w:space="0" w:color="auto"/>
              <w:right w:val="single" w:sz="4" w:space="0" w:color="auto"/>
            </w:tcBorders>
            <w:shd w:val="clear" w:color="000000" w:fill="A9D08E"/>
            <w:vAlign w:val="center"/>
            <w:hideMark/>
          </w:tcPr>
          <w:p w14:paraId="53EAC447"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Puntaje Inicial del </w:t>
            </w:r>
            <w:r w:rsidRPr="006358A3">
              <w:rPr>
                <w:rFonts w:ascii="Calibri" w:eastAsia="Times New Roman" w:hAnsi="Calibri" w:cs="Calibri"/>
                <w:color w:val="000000"/>
                <w:sz w:val="24"/>
                <w:lang w:val="es-CR" w:eastAsia="es-CR"/>
              </w:rPr>
              <w:lastRenderedPageBreak/>
              <w:t xml:space="preserve">Impacto (Antes) </w:t>
            </w:r>
          </w:p>
        </w:tc>
        <w:tc>
          <w:tcPr>
            <w:tcW w:w="1995" w:type="dxa"/>
            <w:vMerge w:val="restart"/>
            <w:tcBorders>
              <w:top w:val="nil"/>
              <w:left w:val="single" w:sz="4" w:space="0" w:color="auto"/>
              <w:bottom w:val="single" w:sz="4" w:space="0" w:color="auto"/>
              <w:right w:val="single" w:sz="4" w:space="0" w:color="auto"/>
            </w:tcBorders>
            <w:shd w:val="clear" w:color="000000" w:fill="A9D08E"/>
            <w:noWrap/>
            <w:vAlign w:val="center"/>
            <w:hideMark/>
          </w:tcPr>
          <w:p w14:paraId="7078BF91"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lastRenderedPageBreak/>
              <w:t>Respuesta Propuesta</w:t>
            </w:r>
          </w:p>
        </w:tc>
        <w:tc>
          <w:tcPr>
            <w:tcW w:w="1140" w:type="dxa"/>
            <w:gridSpan w:val="3"/>
            <w:vMerge w:val="restart"/>
            <w:tcBorders>
              <w:top w:val="nil"/>
              <w:left w:val="single" w:sz="4" w:space="0" w:color="auto"/>
              <w:bottom w:val="single" w:sz="4" w:space="0" w:color="auto"/>
              <w:right w:val="single" w:sz="4" w:space="0" w:color="auto"/>
            </w:tcBorders>
            <w:shd w:val="clear" w:color="000000" w:fill="A9D08E"/>
            <w:vAlign w:val="center"/>
            <w:hideMark/>
          </w:tcPr>
          <w:p w14:paraId="635A0D78"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Nuevo Puntaje del </w:t>
            </w:r>
            <w:r w:rsidRPr="006358A3">
              <w:rPr>
                <w:rFonts w:ascii="Calibri" w:eastAsia="Times New Roman" w:hAnsi="Calibri" w:cs="Calibri"/>
                <w:color w:val="000000"/>
                <w:sz w:val="24"/>
                <w:lang w:val="es-CR" w:eastAsia="es-CR"/>
              </w:rPr>
              <w:lastRenderedPageBreak/>
              <w:t>Impacto (Después)</w:t>
            </w:r>
          </w:p>
        </w:tc>
        <w:tc>
          <w:tcPr>
            <w:tcW w:w="883" w:type="dxa"/>
            <w:vMerge w:val="restart"/>
            <w:tcBorders>
              <w:top w:val="nil"/>
              <w:left w:val="single" w:sz="4" w:space="0" w:color="auto"/>
              <w:bottom w:val="single" w:sz="4" w:space="0" w:color="auto"/>
              <w:right w:val="single" w:sz="4" w:space="0" w:color="auto"/>
            </w:tcBorders>
            <w:shd w:val="clear" w:color="000000" w:fill="A9D08E"/>
            <w:noWrap/>
            <w:vAlign w:val="center"/>
            <w:hideMark/>
          </w:tcPr>
          <w:p w14:paraId="10C38EBC"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lastRenderedPageBreak/>
              <w:t>Cambio</w:t>
            </w:r>
          </w:p>
        </w:tc>
        <w:tc>
          <w:tcPr>
            <w:tcW w:w="3351" w:type="dxa"/>
            <w:gridSpan w:val="2"/>
            <w:vMerge w:val="restart"/>
            <w:tcBorders>
              <w:top w:val="nil"/>
              <w:left w:val="single" w:sz="4" w:space="0" w:color="auto"/>
              <w:bottom w:val="single" w:sz="4" w:space="0" w:color="auto"/>
              <w:right w:val="single" w:sz="4" w:space="0" w:color="auto"/>
            </w:tcBorders>
            <w:shd w:val="clear" w:color="000000" w:fill="A9D08E"/>
            <w:noWrap/>
            <w:vAlign w:val="center"/>
            <w:hideMark/>
          </w:tcPr>
          <w:p w14:paraId="3947897B"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Resultado</w:t>
            </w:r>
          </w:p>
        </w:tc>
      </w:tr>
      <w:tr w:rsidR="00F212FE" w:rsidRPr="006358A3" w14:paraId="6CC31F1D" w14:textId="77777777" w:rsidTr="0055381F">
        <w:trPr>
          <w:gridAfter w:val="4"/>
          <w:wAfter w:w="2761" w:type="dxa"/>
          <w:trHeight w:val="310"/>
        </w:trPr>
        <w:tc>
          <w:tcPr>
            <w:tcW w:w="1990" w:type="dxa"/>
            <w:tcBorders>
              <w:top w:val="nil"/>
              <w:left w:val="single" w:sz="4" w:space="0" w:color="auto"/>
              <w:bottom w:val="single" w:sz="4" w:space="0" w:color="auto"/>
              <w:right w:val="single" w:sz="4" w:space="0" w:color="auto"/>
            </w:tcBorders>
            <w:shd w:val="clear" w:color="000000" w:fill="E2EFDA"/>
            <w:noWrap/>
            <w:vAlign w:val="bottom"/>
            <w:hideMark/>
          </w:tcPr>
          <w:p w14:paraId="17F3FC95"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Elemento</w:t>
            </w:r>
          </w:p>
        </w:tc>
        <w:tc>
          <w:tcPr>
            <w:tcW w:w="1979" w:type="dxa"/>
            <w:tcBorders>
              <w:top w:val="nil"/>
              <w:left w:val="nil"/>
              <w:bottom w:val="single" w:sz="4" w:space="0" w:color="auto"/>
              <w:right w:val="single" w:sz="4" w:space="0" w:color="auto"/>
            </w:tcBorders>
            <w:shd w:val="clear" w:color="000000" w:fill="E2EFDA"/>
            <w:noWrap/>
            <w:vAlign w:val="center"/>
            <w:hideMark/>
          </w:tcPr>
          <w:p w14:paraId="062D9DCC"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Descripción</w:t>
            </w:r>
          </w:p>
        </w:tc>
        <w:tc>
          <w:tcPr>
            <w:tcW w:w="1667" w:type="dxa"/>
            <w:vMerge/>
            <w:tcBorders>
              <w:top w:val="nil"/>
              <w:left w:val="single" w:sz="4" w:space="0" w:color="auto"/>
              <w:bottom w:val="single" w:sz="4" w:space="0" w:color="auto"/>
              <w:right w:val="single" w:sz="4" w:space="0" w:color="auto"/>
            </w:tcBorders>
            <w:vAlign w:val="center"/>
            <w:hideMark/>
          </w:tcPr>
          <w:p w14:paraId="1F0B6165"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452" w:type="dxa"/>
            <w:vMerge/>
            <w:tcBorders>
              <w:top w:val="nil"/>
              <w:left w:val="single" w:sz="4" w:space="0" w:color="auto"/>
              <w:bottom w:val="single" w:sz="4" w:space="0" w:color="auto"/>
              <w:right w:val="single" w:sz="4" w:space="0" w:color="auto"/>
            </w:tcBorders>
            <w:vAlign w:val="center"/>
            <w:hideMark/>
          </w:tcPr>
          <w:p w14:paraId="12A421B5"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2555" w:type="dxa"/>
            <w:vMerge/>
            <w:tcBorders>
              <w:top w:val="nil"/>
              <w:left w:val="single" w:sz="4" w:space="0" w:color="auto"/>
              <w:bottom w:val="single" w:sz="4" w:space="0" w:color="auto"/>
              <w:right w:val="single" w:sz="4" w:space="0" w:color="auto"/>
            </w:tcBorders>
            <w:vAlign w:val="center"/>
            <w:hideMark/>
          </w:tcPr>
          <w:p w14:paraId="3DADD13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2264" w:type="dxa"/>
            <w:gridSpan w:val="2"/>
            <w:vMerge/>
            <w:tcBorders>
              <w:top w:val="nil"/>
              <w:left w:val="single" w:sz="4" w:space="0" w:color="auto"/>
              <w:bottom w:val="single" w:sz="4" w:space="0" w:color="auto"/>
              <w:right w:val="single" w:sz="4" w:space="0" w:color="auto"/>
            </w:tcBorders>
            <w:vAlign w:val="center"/>
            <w:hideMark/>
          </w:tcPr>
          <w:p w14:paraId="503F976C"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942" w:type="dxa"/>
            <w:vMerge/>
            <w:tcBorders>
              <w:top w:val="nil"/>
              <w:left w:val="single" w:sz="4" w:space="0" w:color="auto"/>
              <w:bottom w:val="single" w:sz="4" w:space="0" w:color="auto"/>
              <w:right w:val="single" w:sz="4" w:space="0" w:color="auto"/>
            </w:tcBorders>
            <w:vAlign w:val="center"/>
            <w:hideMark/>
          </w:tcPr>
          <w:p w14:paraId="32A0FAC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95" w:type="dxa"/>
            <w:vMerge/>
            <w:tcBorders>
              <w:top w:val="nil"/>
              <w:left w:val="single" w:sz="4" w:space="0" w:color="auto"/>
              <w:bottom w:val="single" w:sz="4" w:space="0" w:color="auto"/>
              <w:right w:val="single" w:sz="4" w:space="0" w:color="auto"/>
            </w:tcBorders>
            <w:vAlign w:val="center"/>
            <w:hideMark/>
          </w:tcPr>
          <w:p w14:paraId="64C1776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140" w:type="dxa"/>
            <w:gridSpan w:val="3"/>
            <w:vMerge/>
            <w:tcBorders>
              <w:top w:val="nil"/>
              <w:left w:val="single" w:sz="4" w:space="0" w:color="auto"/>
              <w:bottom w:val="single" w:sz="4" w:space="0" w:color="auto"/>
              <w:right w:val="single" w:sz="4" w:space="0" w:color="auto"/>
            </w:tcBorders>
            <w:vAlign w:val="center"/>
            <w:hideMark/>
          </w:tcPr>
          <w:p w14:paraId="6D0DFBA9"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883" w:type="dxa"/>
            <w:vMerge/>
            <w:tcBorders>
              <w:top w:val="nil"/>
              <w:left w:val="single" w:sz="4" w:space="0" w:color="auto"/>
              <w:bottom w:val="single" w:sz="4" w:space="0" w:color="auto"/>
              <w:right w:val="single" w:sz="4" w:space="0" w:color="auto"/>
            </w:tcBorders>
            <w:vAlign w:val="center"/>
            <w:hideMark/>
          </w:tcPr>
          <w:p w14:paraId="4C7C7569"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3351" w:type="dxa"/>
            <w:gridSpan w:val="2"/>
            <w:vMerge/>
            <w:tcBorders>
              <w:top w:val="nil"/>
              <w:left w:val="single" w:sz="4" w:space="0" w:color="auto"/>
              <w:bottom w:val="single" w:sz="4" w:space="0" w:color="auto"/>
              <w:right w:val="single" w:sz="4" w:space="0" w:color="auto"/>
            </w:tcBorders>
            <w:vAlign w:val="center"/>
            <w:hideMark/>
          </w:tcPr>
          <w:p w14:paraId="5DB1101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r>
      <w:tr w:rsidR="00F212FE" w:rsidRPr="006358A3" w14:paraId="4458F078" w14:textId="77777777" w:rsidTr="0055381F">
        <w:trPr>
          <w:gridAfter w:val="4"/>
          <w:wAfter w:w="2761" w:type="dxa"/>
          <w:trHeight w:val="1240"/>
        </w:trPr>
        <w:tc>
          <w:tcPr>
            <w:tcW w:w="1990" w:type="dxa"/>
            <w:vMerge w:val="restart"/>
            <w:tcBorders>
              <w:top w:val="single" w:sz="4" w:space="0" w:color="auto"/>
              <w:left w:val="single" w:sz="4" w:space="0" w:color="auto"/>
              <w:bottom w:val="single" w:sz="4" w:space="0" w:color="auto"/>
              <w:right w:val="nil"/>
            </w:tcBorders>
            <w:shd w:val="clear" w:color="auto" w:fill="29B95C"/>
            <w:noWrap/>
            <w:vAlign w:val="bottom"/>
            <w:hideMark/>
          </w:tcPr>
          <w:p w14:paraId="148D96CC"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noProof/>
                <w:color w:val="000000"/>
                <w:sz w:val="24"/>
                <w:lang w:val="es-CR" w:eastAsia="es-CR"/>
              </w:rPr>
              <w:drawing>
                <wp:anchor distT="0" distB="0" distL="114300" distR="114300" simplePos="0" relativeHeight="251696128" behindDoc="0" locked="0" layoutInCell="1" allowOverlap="1" wp14:anchorId="4264D809" wp14:editId="31C09621">
                  <wp:simplePos x="0" y="0"/>
                  <wp:positionH relativeFrom="column">
                    <wp:posOffset>254000</wp:posOffset>
                  </wp:positionH>
                  <wp:positionV relativeFrom="paragraph">
                    <wp:posOffset>-2852420</wp:posOffset>
                  </wp:positionV>
                  <wp:extent cx="825500" cy="901700"/>
                  <wp:effectExtent l="0" t="0" r="0" b="0"/>
                  <wp:wrapNone/>
                  <wp:docPr id="551809227" name="Imagen 28">
                    <a:extLst xmlns:a="http://schemas.openxmlformats.org/drawingml/2006/main">
                      <a:ext uri="{FF2B5EF4-FFF2-40B4-BE49-F238E27FC236}">
                        <a16:creationId xmlns:a16="http://schemas.microsoft.com/office/drawing/2014/main" id="{00000000-0008-0000-0400-00002F000000}"/>
                      </a:ext>
                    </a:extLst>
                  </wp:docPr>
                  <wp:cNvGraphicFramePr/>
                  <a:graphic xmlns:a="http://schemas.openxmlformats.org/drawingml/2006/main">
                    <a:graphicData uri="http://schemas.openxmlformats.org/drawingml/2006/picture">
                      <pic:pic xmlns:pic="http://schemas.openxmlformats.org/drawingml/2006/picture">
                        <pic:nvPicPr>
                          <pic:cNvPr id="47" name="Picture 46">
                            <a:extLst>
                              <a:ext uri="{FF2B5EF4-FFF2-40B4-BE49-F238E27FC236}">
                                <a16:creationId xmlns:a16="http://schemas.microsoft.com/office/drawing/2014/main" id="{00000000-0008-0000-0400-00002F000000}"/>
                              </a:ext>
                            </a:extLst>
                          </pic:cNvPr>
                          <pic:cNvPicPr>
                            <a:picLocks noChangeAspect="1"/>
                          </pic:cNvPicPr>
                        </pic:nvPicPr>
                        <pic:blipFill>
                          <a:blip r:embed="rId61"/>
                          <a:stretch>
                            <a:fillRect/>
                          </a:stretch>
                        </pic:blipFill>
                        <pic:spPr>
                          <a:xfrm>
                            <a:off x="0" y="0"/>
                            <a:ext cx="825500" cy="901700"/>
                          </a:xfrm>
                          <a:prstGeom prst="rect">
                            <a:avLst/>
                          </a:prstGeom>
                        </pic:spPr>
                      </pic:pic>
                    </a:graphicData>
                  </a:graphic>
                  <wp14:sizeRelH relativeFrom="page">
                    <wp14:pctWidth>0</wp14:pctWidth>
                  </wp14:sizeRelH>
                  <wp14:sizeRelV relativeFrom="page">
                    <wp14:pctHeight>0</wp14:pctHeight>
                  </wp14:sizeRelV>
                </wp:anchor>
              </w:drawing>
            </w:r>
          </w:p>
          <w:p w14:paraId="16DEBBF2"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val="restart"/>
            <w:tcBorders>
              <w:top w:val="nil"/>
              <w:left w:val="single" w:sz="4" w:space="0" w:color="auto"/>
              <w:bottom w:val="single" w:sz="4" w:space="0" w:color="auto"/>
              <w:right w:val="single" w:sz="4" w:space="0" w:color="auto"/>
            </w:tcBorders>
            <w:shd w:val="clear" w:color="000000" w:fill="F2F2F2"/>
            <w:vAlign w:val="center"/>
            <w:hideMark/>
          </w:tcPr>
          <w:p w14:paraId="79DCF05A"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r w:rsidRPr="006358A3">
              <w:rPr>
                <w:rFonts w:ascii="Calibri" w:eastAsia="Times New Roman" w:hAnsi="Calibri" w:cs="Calibri"/>
                <w:color w:val="000000"/>
                <w:sz w:val="18"/>
                <w:szCs w:val="18"/>
                <w:lang w:val="es-CR" w:eastAsia="es-CR"/>
              </w:rPr>
              <w:t>Reciclaje implica transformar un elemento de desecho en uno útil. Los artículos que se pueden reciclar van desde botellas de agua de plástico hasta computadoras y generadores eléctricos.</w:t>
            </w:r>
            <w:r w:rsidRPr="006358A3">
              <w:rPr>
                <w:rFonts w:ascii="Calibri" w:eastAsia="Times New Roman" w:hAnsi="Calibri" w:cs="Calibri"/>
                <w:color w:val="000000"/>
                <w:sz w:val="18"/>
                <w:szCs w:val="18"/>
                <w:lang w:val="es-CR" w:eastAsia="es-CR"/>
              </w:rPr>
              <w:br/>
            </w:r>
            <w:r w:rsidRPr="006358A3">
              <w:rPr>
                <w:rFonts w:ascii="Calibri" w:eastAsia="Times New Roman" w:hAnsi="Calibri" w:cs="Calibri"/>
                <w:color w:val="000000"/>
                <w:sz w:val="18"/>
                <w:szCs w:val="18"/>
                <w:lang w:val="es-CR" w:eastAsia="es-CR"/>
              </w:rPr>
              <w:br/>
              <w:t>Reutilización implica usar el mismo artículo una y otra vez o encontrarle un nuevo propósito</w:t>
            </w:r>
          </w:p>
        </w:tc>
        <w:tc>
          <w:tcPr>
            <w:tcW w:w="1667" w:type="dxa"/>
            <w:tcBorders>
              <w:top w:val="nil"/>
              <w:left w:val="nil"/>
              <w:bottom w:val="single" w:sz="4" w:space="0" w:color="auto"/>
              <w:right w:val="single" w:sz="4" w:space="0" w:color="auto"/>
            </w:tcBorders>
            <w:shd w:val="clear" w:color="000000" w:fill="F2F2F2"/>
            <w:noWrap/>
            <w:vAlign w:val="center"/>
            <w:hideMark/>
          </w:tcPr>
          <w:p w14:paraId="2BFDAACD"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Vida Útil</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D8E48EC"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16906665"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Muchos materiales útiles se desechan prematuramente por no tener políticas de recuperación o reuso.</w:t>
            </w:r>
          </w:p>
        </w:tc>
        <w:tc>
          <w:tcPr>
            <w:tcW w:w="2264" w:type="dxa"/>
            <w:gridSpan w:val="2"/>
            <w:tcBorders>
              <w:top w:val="nil"/>
              <w:left w:val="nil"/>
              <w:bottom w:val="single" w:sz="4" w:space="0" w:color="auto"/>
              <w:right w:val="single" w:sz="4" w:space="0" w:color="auto"/>
            </w:tcBorders>
            <w:hideMark/>
          </w:tcPr>
          <w:p w14:paraId="3CB4F04E"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3151C9">
              <w:rPr>
                <w:rFonts w:ascii="Calibri" w:eastAsia="Times New Roman" w:hAnsi="Calibri" w:cs="Calibri"/>
                <w:color w:val="000000"/>
                <w:sz w:val="24"/>
                <w:lang w:eastAsia="es-CR"/>
              </w:rPr>
              <w:t>Disminución del ciclo de vida de recursos valiosos</w:t>
            </w:r>
          </w:p>
        </w:tc>
        <w:tc>
          <w:tcPr>
            <w:tcW w:w="942" w:type="dxa"/>
            <w:tcBorders>
              <w:top w:val="nil"/>
              <w:left w:val="nil"/>
              <w:bottom w:val="single" w:sz="4" w:space="0" w:color="auto"/>
              <w:right w:val="single" w:sz="4" w:space="0" w:color="auto"/>
            </w:tcBorders>
            <w:noWrap/>
            <w:vAlign w:val="center"/>
            <w:hideMark/>
          </w:tcPr>
          <w:p w14:paraId="0473C259"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67F373EC"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Establecer procedimientos para recolección y clasificación de materiales reutilizables en obra.</w:t>
            </w:r>
          </w:p>
        </w:tc>
        <w:tc>
          <w:tcPr>
            <w:tcW w:w="1140" w:type="dxa"/>
            <w:gridSpan w:val="3"/>
            <w:tcBorders>
              <w:top w:val="nil"/>
              <w:left w:val="nil"/>
              <w:bottom w:val="single" w:sz="4" w:space="0" w:color="auto"/>
              <w:right w:val="single" w:sz="4" w:space="0" w:color="auto"/>
            </w:tcBorders>
            <w:noWrap/>
            <w:vAlign w:val="center"/>
            <w:hideMark/>
          </w:tcPr>
          <w:p w14:paraId="01B3094B"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4C782C95"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39531BA9"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Extensión del uso de materiales y reducción de compras innecesarias.</w:t>
            </w:r>
          </w:p>
        </w:tc>
      </w:tr>
      <w:tr w:rsidR="00F212FE" w:rsidRPr="006358A3" w14:paraId="66F85405" w14:textId="77777777" w:rsidTr="0055381F">
        <w:trPr>
          <w:gridAfter w:val="4"/>
          <w:wAfter w:w="2761" w:type="dxa"/>
          <w:trHeight w:val="1240"/>
        </w:trPr>
        <w:tc>
          <w:tcPr>
            <w:tcW w:w="1990" w:type="dxa"/>
            <w:vMerge/>
            <w:tcBorders>
              <w:top w:val="single" w:sz="4" w:space="0" w:color="auto"/>
              <w:left w:val="single" w:sz="4" w:space="0" w:color="auto"/>
              <w:bottom w:val="single" w:sz="4" w:space="0" w:color="auto"/>
              <w:right w:val="nil"/>
            </w:tcBorders>
            <w:shd w:val="clear" w:color="auto" w:fill="29B95C"/>
            <w:vAlign w:val="center"/>
            <w:hideMark/>
          </w:tcPr>
          <w:p w14:paraId="230E0FC6"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6D7FF326"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609FD8F0"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Mantenimiento</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F524AD2"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430D601C"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La falta de componentes reciclados o reutilizables dificulta mantener o reemplazar piezas estándar.</w:t>
            </w:r>
          </w:p>
        </w:tc>
        <w:tc>
          <w:tcPr>
            <w:tcW w:w="2264" w:type="dxa"/>
            <w:gridSpan w:val="2"/>
            <w:tcBorders>
              <w:top w:val="nil"/>
              <w:left w:val="nil"/>
              <w:bottom w:val="single" w:sz="4" w:space="0" w:color="auto"/>
              <w:right w:val="single" w:sz="4" w:space="0" w:color="auto"/>
            </w:tcBorders>
            <w:hideMark/>
          </w:tcPr>
          <w:p w14:paraId="732CFBE5"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3151C9">
              <w:rPr>
                <w:rFonts w:ascii="Calibri" w:eastAsia="Times New Roman" w:hAnsi="Calibri" w:cs="Calibri"/>
                <w:color w:val="000000"/>
                <w:sz w:val="24"/>
                <w:lang w:eastAsia="es-CR"/>
              </w:rPr>
              <w:t>Incremento en costos y tiempo de mantenimiento.</w:t>
            </w:r>
          </w:p>
        </w:tc>
        <w:tc>
          <w:tcPr>
            <w:tcW w:w="942" w:type="dxa"/>
            <w:tcBorders>
              <w:top w:val="nil"/>
              <w:left w:val="nil"/>
              <w:bottom w:val="single" w:sz="4" w:space="0" w:color="auto"/>
              <w:right w:val="single" w:sz="4" w:space="0" w:color="auto"/>
            </w:tcBorders>
            <w:noWrap/>
            <w:vAlign w:val="center"/>
            <w:hideMark/>
          </w:tcPr>
          <w:p w14:paraId="1FC86559"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65E4C33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Incluir especificaciones que favorezcan materiales estándar o con piezas recicladas.</w:t>
            </w:r>
          </w:p>
        </w:tc>
        <w:tc>
          <w:tcPr>
            <w:tcW w:w="1140" w:type="dxa"/>
            <w:gridSpan w:val="3"/>
            <w:tcBorders>
              <w:top w:val="nil"/>
              <w:left w:val="nil"/>
              <w:bottom w:val="single" w:sz="4" w:space="0" w:color="auto"/>
              <w:right w:val="single" w:sz="4" w:space="0" w:color="auto"/>
            </w:tcBorders>
            <w:noWrap/>
            <w:vAlign w:val="center"/>
            <w:hideMark/>
          </w:tcPr>
          <w:p w14:paraId="14215A64"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883" w:type="dxa"/>
            <w:tcBorders>
              <w:top w:val="nil"/>
              <w:left w:val="nil"/>
              <w:bottom w:val="single" w:sz="4" w:space="0" w:color="auto"/>
              <w:right w:val="single" w:sz="4" w:space="0" w:color="auto"/>
            </w:tcBorders>
            <w:noWrap/>
            <w:vAlign w:val="center"/>
            <w:hideMark/>
          </w:tcPr>
          <w:p w14:paraId="5E956027"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1</w:t>
            </w:r>
          </w:p>
        </w:tc>
        <w:tc>
          <w:tcPr>
            <w:tcW w:w="3351" w:type="dxa"/>
            <w:gridSpan w:val="2"/>
            <w:tcBorders>
              <w:top w:val="nil"/>
              <w:left w:val="nil"/>
              <w:bottom w:val="single" w:sz="4" w:space="0" w:color="auto"/>
              <w:right w:val="single" w:sz="4" w:space="0" w:color="auto"/>
            </w:tcBorders>
            <w:hideMark/>
          </w:tcPr>
          <w:p w14:paraId="2396B05B"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Mayor disponibilidad de partes y reducción en los costos de operación.</w:t>
            </w:r>
          </w:p>
        </w:tc>
      </w:tr>
      <w:tr w:rsidR="00F212FE" w:rsidRPr="006358A3" w14:paraId="329B4A00" w14:textId="77777777" w:rsidTr="0055381F">
        <w:trPr>
          <w:gridAfter w:val="4"/>
          <w:wAfter w:w="2761" w:type="dxa"/>
          <w:trHeight w:val="1240"/>
        </w:trPr>
        <w:tc>
          <w:tcPr>
            <w:tcW w:w="1990" w:type="dxa"/>
            <w:vMerge/>
            <w:tcBorders>
              <w:top w:val="single" w:sz="4" w:space="0" w:color="auto"/>
              <w:left w:val="single" w:sz="4" w:space="0" w:color="auto"/>
              <w:bottom w:val="single" w:sz="4" w:space="0" w:color="auto"/>
              <w:right w:val="nil"/>
            </w:tcBorders>
            <w:shd w:val="clear" w:color="auto" w:fill="29B95C"/>
            <w:vAlign w:val="center"/>
            <w:hideMark/>
          </w:tcPr>
          <w:p w14:paraId="5FBC3029"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519087C2"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30B508C6"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Eficacia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C1E71F7"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2706E8FF"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Desperdicio de recursos que podrían destinarse a otros usos dentro del mismo proyecto.</w:t>
            </w:r>
          </w:p>
        </w:tc>
        <w:tc>
          <w:tcPr>
            <w:tcW w:w="2264" w:type="dxa"/>
            <w:gridSpan w:val="2"/>
            <w:tcBorders>
              <w:top w:val="nil"/>
              <w:left w:val="nil"/>
              <w:bottom w:val="single" w:sz="4" w:space="0" w:color="auto"/>
              <w:right w:val="single" w:sz="4" w:space="0" w:color="auto"/>
            </w:tcBorders>
            <w:hideMark/>
          </w:tcPr>
          <w:p w14:paraId="4F25576D"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3151C9">
              <w:rPr>
                <w:rFonts w:ascii="Calibri" w:eastAsia="Times New Roman" w:hAnsi="Calibri" w:cs="Calibri"/>
                <w:color w:val="000000"/>
                <w:sz w:val="24"/>
                <w:lang w:eastAsia="es-CR"/>
              </w:rPr>
              <w:t>Menor aprovechamiento del potencial del diseño sostenible.</w:t>
            </w:r>
          </w:p>
        </w:tc>
        <w:tc>
          <w:tcPr>
            <w:tcW w:w="942" w:type="dxa"/>
            <w:tcBorders>
              <w:top w:val="nil"/>
              <w:left w:val="nil"/>
              <w:bottom w:val="single" w:sz="4" w:space="0" w:color="auto"/>
              <w:right w:val="single" w:sz="4" w:space="0" w:color="auto"/>
            </w:tcBorders>
            <w:noWrap/>
            <w:vAlign w:val="center"/>
            <w:hideMark/>
          </w:tcPr>
          <w:p w14:paraId="6697D3CD"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1995" w:type="dxa"/>
            <w:tcBorders>
              <w:top w:val="nil"/>
              <w:left w:val="nil"/>
              <w:bottom w:val="single" w:sz="4" w:space="0" w:color="auto"/>
              <w:right w:val="single" w:sz="4" w:space="0" w:color="auto"/>
            </w:tcBorders>
            <w:hideMark/>
          </w:tcPr>
          <w:p w14:paraId="69A54C31"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Crear inventarios de materiales potencialmente reutilizables y diseñar espacios con modularidad.</w:t>
            </w:r>
          </w:p>
        </w:tc>
        <w:tc>
          <w:tcPr>
            <w:tcW w:w="1140" w:type="dxa"/>
            <w:gridSpan w:val="3"/>
            <w:tcBorders>
              <w:top w:val="nil"/>
              <w:left w:val="nil"/>
              <w:bottom w:val="single" w:sz="4" w:space="0" w:color="auto"/>
              <w:right w:val="single" w:sz="4" w:space="0" w:color="auto"/>
            </w:tcBorders>
            <w:noWrap/>
            <w:vAlign w:val="center"/>
            <w:hideMark/>
          </w:tcPr>
          <w:p w14:paraId="0568E326"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5</w:t>
            </w:r>
          </w:p>
        </w:tc>
        <w:tc>
          <w:tcPr>
            <w:tcW w:w="883" w:type="dxa"/>
            <w:tcBorders>
              <w:top w:val="nil"/>
              <w:left w:val="nil"/>
              <w:bottom w:val="single" w:sz="4" w:space="0" w:color="auto"/>
              <w:right w:val="single" w:sz="4" w:space="0" w:color="auto"/>
            </w:tcBorders>
            <w:noWrap/>
            <w:vAlign w:val="center"/>
            <w:hideMark/>
          </w:tcPr>
          <w:p w14:paraId="23DED923"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373CCD4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Optimización del uso de recursos y mayor resiliencia del diseño.</w:t>
            </w:r>
          </w:p>
        </w:tc>
      </w:tr>
      <w:tr w:rsidR="00F212FE" w:rsidRPr="006358A3" w14:paraId="6E85FA6B" w14:textId="77777777" w:rsidTr="0055381F">
        <w:trPr>
          <w:gridAfter w:val="4"/>
          <w:wAfter w:w="2761" w:type="dxa"/>
          <w:trHeight w:val="1550"/>
        </w:trPr>
        <w:tc>
          <w:tcPr>
            <w:tcW w:w="1990" w:type="dxa"/>
            <w:vMerge/>
            <w:tcBorders>
              <w:top w:val="single" w:sz="4" w:space="0" w:color="auto"/>
              <w:left w:val="single" w:sz="4" w:space="0" w:color="auto"/>
              <w:bottom w:val="single" w:sz="4" w:space="0" w:color="auto"/>
              <w:right w:val="nil"/>
            </w:tcBorders>
            <w:shd w:val="clear" w:color="auto" w:fill="29B95C"/>
            <w:vAlign w:val="center"/>
            <w:hideMark/>
          </w:tcPr>
          <w:p w14:paraId="0A72A07E"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6A83C7FB"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5C9BC99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Eficiencia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F9184CA"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6CA0188A"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Falta de prácticas de reutilización implica mayor consumo de materiales nuevos y generación de residuos.</w:t>
            </w:r>
          </w:p>
        </w:tc>
        <w:tc>
          <w:tcPr>
            <w:tcW w:w="2264" w:type="dxa"/>
            <w:gridSpan w:val="2"/>
            <w:tcBorders>
              <w:top w:val="nil"/>
              <w:left w:val="nil"/>
              <w:bottom w:val="single" w:sz="4" w:space="0" w:color="auto"/>
              <w:right w:val="single" w:sz="4" w:space="0" w:color="auto"/>
            </w:tcBorders>
            <w:hideMark/>
          </w:tcPr>
          <w:p w14:paraId="54DA5A32"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3151C9">
              <w:rPr>
                <w:rFonts w:ascii="Calibri" w:eastAsia="Times New Roman" w:hAnsi="Calibri" w:cs="Calibri"/>
                <w:color w:val="000000"/>
                <w:sz w:val="24"/>
                <w:lang w:eastAsia="es-CR"/>
              </w:rPr>
              <w:t>Mayores costos y menor eficiencia operativa.</w:t>
            </w:r>
          </w:p>
        </w:tc>
        <w:tc>
          <w:tcPr>
            <w:tcW w:w="942" w:type="dxa"/>
            <w:tcBorders>
              <w:top w:val="nil"/>
              <w:left w:val="nil"/>
              <w:bottom w:val="single" w:sz="4" w:space="0" w:color="auto"/>
              <w:right w:val="single" w:sz="4" w:space="0" w:color="auto"/>
            </w:tcBorders>
            <w:noWrap/>
            <w:vAlign w:val="center"/>
            <w:hideMark/>
          </w:tcPr>
          <w:p w14:paraId="57C317F0"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727A41FA"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Integrar logística inversa para recuperar materiales y coordinar proveedores de reciclaje.</w:t>
            </w:r>
          </w:p>
        </w:tc>
        <w:tc>
          <w:tcPr>
            <w:tcW w:w="1140" w:type="dxa"/>
            <w:gridSpan w:val="3"/>
            <w:tcBorders>
              <w:top w:val="nil"/>
              <w:left w:val="nil"/>
              <w:bottom w:val="single" w:sz="4" w:space="0" w:color="auto"/>
              <w:right w:val="single" w:sz="4" w:space="0" w:color="auto"/>
            </w:tcBorders>
            <w:noWrap/>
            <w:vAlign w:val="center"/>
            <w:hideMark/>
          </w:tcPr>
          <w:p w14:paraId="57421452"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1D127B69"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69153B0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Reducción de residuos y de gastos asociados a materiales.</w:t>
            </w:r>
          </w:p>
        </w:tc>
      </w:tr>
      <w:tr w:rsidR="00F212FE" w:rsidRPr="006358A3" w14:paraId="4C5C2BE4" w14:textId="77777777" w:rsidTr="0055381F">
        <w:trPr>
          <w:gridAfter w:val="4"/>
          <w:wAfter w:w="2761" w:type="dxa"/>
          <w:trHeight w:val="1240"/>
        </w:trPr>
        <w:tc>
          <w:tcPr>
            <w:tcW w:w="1990" w:type="dxa"/>
            <w:vMerge/>
            <w:tcBorders>
              <w:top w:val="single" w:sz="4" w:space="0" w:color="auto"/>
              <w:left w:val="single" w:sz="4" w:space="0" w:color="auto"/>
              <w:bottom w:val="single" w:sz="4" w:space="0" w:color="auto"/>
              <w:right w:val="nil"/>
            </w:tcBorders>
            <w:shd w:val="clear" w:color="auto" w:fill="29B95C"/>
            <w:vAlign w:val="center"/>
            <w:hideMark/>
          </w:tcPr>
          <w:p w14:paraId="24E4BF4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768AC98D"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4563205B"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Imparcialidad</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6DD1FE6"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6C1D700D"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No todos los colaboradores tienen acceso o conocimiento de cómo reutilizar materiales disponibles.</w:t>
            </w:r>
          </w:p>
        </w:tc>
        <w:tc>
          <w:tcPr>
            <w:tcW w:w="2264" w:type="dxa"/>
            <w:gridSpan w:val="2"/>
            <w:tcBorders>
              <w:top w:val="nil"/>
              <w:left w:val="nil"/>
              <w:bottom w:val="single" w:sz="4" w:space="0" w:color="auto"/>
              <w:right w:val="single" w:sz="4" w:space="0" w:color="auto"/>
            </w:tcBorders>
            <w:hideMark/>
          </w:tcPr>
          <w:p w14:paraId="40609716"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3151C9">
              <w:rPr>
                <w:rFonts w:ascii="Calibri" w:eastAsia="Times New Roman" w:hAnsi="Calibri" w:cs="Calibri"/>
                <w:color w:val="000000"/>
                <w:sz w:val="24"/>
                <w:lang w:eastAsia="es-CR"/>
              </w:rPr>
              <w:t>Percepción de desigualdad en oportunidades de mejora operativa.</w:t>
            </w:r>
          </w:p>
        </w:tc>
        <w:tc>
          <w:tcPr>
            <w:tcW w:w="942" w:type="dxa"/>
            <w:tcBorders>
              <w:top w:val="nil"/>
              <w:left w:val="nil"/>
              <w:bottom w:val="single" w:sz="4" w:space="0" w:color="auto"/>
              <w:right w:val="single" w:sz="4" w:space="0" w:color="auto"/>
            </w:tcBorders>
            <w:noWrap/>
            <w:vAlign w:val="center"/>
            <w:hideMark/>
          </w:tcPr>
          <w:p w14:paraId="54910447"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5A5DF71A"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Capacitar a todos los equipos en prácticas de reciclaje y reutilización dentro del proyecto.</w:t>
            </w:r>
          </w:p>
        </w:tc>
        <w:tc>
          <w:tcPr>
            <w:tcW w:w="1140" w:type="dxa"/>
            <w:gridSpan w:val="3"/>
            <w:tcBorders>
              <w:top w:val="nil"/>
              <w:left w:val="nil"/>
              <w:bottom w:val="single" w:sz="4" w:space="0" w:color="auto"/>
              <w:right w:val="single" w:sz="4" w:space="0" w:color="auto"/>
            </w:tcBorders>
            <w:noWrap/>
            <w:vAlign w:val="center"/>
            <w:hideMark/>
          </w:tcPr>
          <w:p w14:paraId="61DD7C15"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883" w:type="dxa"/>
            <w:tcBorders>
              <w:top w:val="nil"/>
              <w:left w:val="nil"/>
              <w:bottom w:val="single" w:sz="4" w:space="0" w:color="auto"/>
              <w:right w:val="single" w:sz="4" w:space="0" w:color="auto"/>
            </w:tcBorders>
            <w:noWrap/>
            <w:vAlign w:val="center"/>
            <w:hideMark/>
          </w:tcPr>
          <w:p w14:paraId="08EE1117"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1</w:t>
            </w:r>
          </w:p>
        </w:tc>
        <w:tc>
          <w:tcPr>
            <w:tcW w:w="3351" w:type="dxa"/>
            <w:gridSpan w:val="2"/>
            <w:tcBorders>
              <w:top w:val="nil"/>
              <w:left w:val="nil"/>
              <w:bottom w:val="single" w:sz="4" w:space="0" w:color="auto"/>
              <w:right w:val="single" w:sz="4" w:space="0" w:color="auto"/>
            </w:tcBorders>
            <w:vAlign w:val="center"/>
            <w:hideMark/>
          </w:tcPr>
          <w:p w14:paraId="30126291"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Equidad en la participación en procesos sostenibles.</w:t>
            </w:r>
          </w:p>
        </w:tc>
      </w:tr>
      <w:tr w:rsidR="00F212FE" w:rsidRPr="006358A3" w14:paraId="6BAF4E05" w14:textId="77777777" w:rsidTr="0055381F">
        <w:trPr>
          <w:gridAfter w:val="4"/>
          <w:wAfter w:w="2761" w:type="dxa"/>
          <w:trHeight w:val="1240"/>
        </w:trPr>
        <w:tc>
          <w:tcPr>
            <w:tcW w:w="1990" w:type="dxa"/>
            <w:vMerge w:val="restart"/>
            <w:tcBorders>
              <w:top w:val="single" w:sz="4" w:space="0" w:color="auto"/>
              <w:left w:val="single" w:sz="4" w:space="0" w:color="auto"/>
              <w:bottom w:val="single" w:sz="4" w:space="0" w:color="auto"/>
              <w:right w:val="nil"/>
            </w:tcBorders>
            <w:shd w:val="clear" w:color="auto" w:fill="29B95C"/>
            <w:noWrap/>
            <w:vAlign w:val="bottom"/>
            <w:hideMark/>
          </w:tcPr>
          <w:p w14:paraId="070CB428"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noProof/>
                <w:color w:val="000000"/>
                <w:sz w:val="24"/>
                <w:lang w:val="es-CR" w:eastAsia="es-CR"/>
              </w:rPr>
              <w:drawing>
                <wp:anchor distT="0" distB="0" distL="114300" distR="114300" simplePos="0" relativeHeight="251697152" behindDoc="0" locked="0" layoutInCell="1" allowOverlap="1" wp14:anchorId="444C470E" wp14:editId="3D4EC079">
                  <wp:simplePos x="0" y="0"/>
                  <wp:positionH relativeFrom="column">
                    <wp:posOffset>152400</wp:posOffset>
                  </wp:positionH>
                  <wp:positionV relativeFrom="paragraph">
                    <wp:posOffset>3898900</wp:posOffset>
                  </wp:positionV>
                  <wp:extent cx="838200" cy="901700"/>
                  <wp:effectExtent l="0" t="0" r="0" b="0"/>
                  <wp:wrapNone/>
                  <wp:docPr id="957397803" name="Imagen 26">
                    <a:extLst xmlns:a="http://schemas.openxmlformats.org/drawingml/2006/main">
                      <a:ext uri="{FF2B5EF4-FFF2-40B4-BE49-F238E27FC236}">
                        <a16:creationId xmlns:a16="http://schemas.microsoft.com/office/drawing/2014/main" id="{00000000-0008-0000-0400-000030000000}"/>
                      </a:ext>
                    </a:extLst>
                  </wp:docPr>
                  <wp:cNvGraphicFramePr/>
                  <a:graphic xmlns:a="http://schemas.openxmlformats.org/drawingml/2006/main">
                    <a:graphicData uri="http://schemas.openxmlformats.org/drawingml/2006/picture">
                      <pic:pic xmlns:pic="http://schemas.openxmlformats.org/drawingml/2006/picture">
                        <pic:nvPicPr>
                          <pic:cNvPr id="48" name="Picture 47">
                            <a:extLst>
                              <a:ext uri="{FF2B5EF4-FFF2-40B4-BE49-F238E27FC236}">
                                <a16:creationId xmlns:a16="http://schemas.microsoft.com/office/drawing/2014/main" id="{00000000-0008-0000-0400-000030000000}"/>
                              </a:ext>
                            </a:extLst>
                          </pic:cNvPr>
                          <pic:cNvPicPr>
                            <a:picLocks noChangeAspect="1"/>
                          </pic:cNvPicPr>
                        </pic:nvPicPr>
                        <pic:blipFill>
                          <a:blip r:embed="rId62"/>
                          <a:stretch>
                            <a:fillRect/>
                          </a:stretch>
                        </pic:blipFill>
                        <pic:spPr>
                          <a:xfrm>
                            <a:off x="0" y="0"/>
                            <a:ext cx="838243" cy="908097"/>
                          </a:xfrm>
                          <a:prstGeom prst="rect">
                            <a:avLst/>
                          </a:prstGeom>
                        </pic:spPr>
                      </pic:pic>
                    </a:graphicData>
                  </a:graphic>
                  <wp14:sizeRelH relativeFrom="page">
                    <wp14:pctWidth>0</wp14:pctWidth>
                  </wp14:sizeRelH>
                  <wp14:sizeRelV relativeFrom="page">
                    <wp14:pctHeight>0</wp14:pctHeight>
                  </wp14:sizeRelV>
                </wp:anchor>
              </w:drawing>
            </w:r>
          </w:p>
          <w:p w14:paraId="0D680C58"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val="restart"/>
            <w:tcBorders>
              <w:top w:val="nil"/>
              <w:left w:val="single" w:sz="4" w:space="0" w:color="auto"/>
              <w:bottom w:val="single" w:sz="4" w:space="0" w:color="auto"/>
              <w:right w:val="single" w:sz="4" w:space="0" w:color="auto"/>
            </w:tcBorders>
            <w:shd w:val="clear" w:color="000000" w:fill="F2F2F2"/>
            <w:vAlign w:val="center"/>
            <w:hideMark/>
          </w:tcPr>
          <w:p w14:paraId="6BAE4D14"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r w:rsidRPr="006358A3">
              <w:rPr>
                <w:rFonts w:ascii="Calibri" w:eastAsia="Times New Roman" w:hAnsi="Calibri" w:cs="Calibri"/>
                <w:color w:val="000000"/>
                <w:sz w:val="18"/>
                <w:szCs w:val="18"/>
                <w:lang w:val="es-CR" w:eastAsia="es-CR"/>
              </w:rPr>
              <w:br/>
              <w:t xml:space="preserve">Eliminación de bienes y materiales es la práctica de deshacerse de elementos que ya no se necesitan o no se desean </w:t>
            </w:r>
            <w:r w:rsidRPr="006358A3">
              <w:rPr>
                <w:rFonts w:ascii="Calibri" w:eastAsia="Times New Roman" w:hAnsi="Calibri" w:cs="Calibri"/>
                <w:color w:val="000000"/>
                <w:sz w:val="18"/>
                <w:szCs w:val="18"/>
                <w:lang w:val="es-CR" w:eastAsia="es-CR"/>
              </w:rPr>
              <w:lastRenderedPageBreak/>
              <w:t xml:space="preserve">para el proyecto. Esto incluye la eliminación de residuos peligrosos y no peligrosos de </w:t>
            </w:r>
            <w:r w:rsidRPr="006358A3">
              <w:rPr>
                <w:rFonts w:ascii="Calibri" w:eastAsia="Times New Roman" w:hAnsi="Calibri" w:cs="Calibri"/>
                <w:noProof/>
                <w:color w:val="000000"/>
                <w:sz w:val="24"/>
                <w:lang w:val="es-CR" w:eastAsia="es-CR"/>
              </w:rPr>
              <w:drawing>
                <wp:anchor distT="0" distB="0" distL="114300" distR="114300" simplePos="0" relativeHeight="251698176" behindDoc="0" locked="0" layoutInCell="1" allowOverlap="1" wp14:anchorId="113ABA60" wp14:editId="150CB53E">
                  <wp:simplePos x="0" y="0"/>
                  <wp:positionH relativeFrom="column">
                    <wp:posOffset>-1038225</wp:posOffset>
                  </wp:positionH>
                  <wp:positionV relativeFrom="paragraph">
                    <wp:posOffset>314960</wp:posOffset>
                  </wp:positionV>
                  <wp:extent cx="825500" cy="882650"/>
                  <wp:effectExtent l="0" t="0" r="0" b="0"/>
                  <wp:wrapNone/>
                  <wp:docPr id="49" name="Imagen 27">
                    <a:extLst xmlns:a="http://schemas.openxmlformats.org/drawingml/2006/main">
                      <a:ext uri="{FF2B5EF4-FFF2-40B4-BE49-F238E27FC236}">
                        <a16:creationId xmlns:a16="http://schemas.microsoft.com/office/drawing/2014/main" id="{00000000-0008-0000-0400-000031000000}"/>
                      </a:ext>
                    </a:extLst>
                  </wp:docPr>
                  <wp:cNvGraphicFramePr/>
                  <a:graphic xmlns:a="http://schemas.openxmlformats.org/drawingml/2006/main">
                    <a:graphicData uri="http://schemas.openxmlformats.org/drawingml/2006/picture">
                      <pic:pic xmlns:pic="http://schemas.openxmlformats.org/drawingml/2006/picture">
                        <pic:nvPicPr>
                          <pic:cNvPr id="49" name="Picture 48">
                            <a:extLst>
                              <a:ext uri="{FF2B5EF4-FFF2-40B4-BE49-F238E27FC236}">
                                <a16:creationId xmlns:a16="http://schemas.microsoft.com/office/drawing/2014/main" id="{00000000-0008-0000-0400-000031000000}"/>
                              </a:ext>
                            </a:extLst>
                          </pic:cNvPr>
                          <pic:cNvPicPr>
                            <a:picLocks noChangeAspect="1"/>
                          </pic:cNvPicPr>
                        </pic:nvPicPr>
                        <pic:blipFill>
                          <a:blip r:embed="rId63"/>
                          <a:stretch>
                            <a:fillRect/>
                          </a:stretch>
                        </pic:blipFill>
                        <pic:spPr>
                          <a:xfrm>
                            <a:off x="0" y="0"/>
                            <a:ext cx="825500" cy="882650"/>
                          </a:xfrm>
                          <a:prstGeom prst="rect">
                            <a:avLst/>
                          </a:prstGeom>
                        </pic:spPr>
                      </pic:pic>
                    </a:graphicData>
                  </a:graphic>
                  <wp14:sizeRelH relativeFrom="page">
                    <wp14:pctWidth>0</wp14:pctWidth>
                  </wp14:sizeRelH>
                  <wp14:sizeRelV relativeFrom="page">
                    <wp14:pctHeight>0</wp14:pctHeight>
                  </wp14:sizeRelV>
                </wp:anchor>
              </w:drawing>
            </w:r>
            <w:r w:rsidRPr="006358A3">
              <w:rPr>
                <w:rFonts w:ascii="Calibri" w:eastAsia="Times New Roman" w:hAnsi="Calibri" w:cs="Calibri"/>
                <w:color w:val="000000"/>
                <w:sz w:val="18"/>
                <w:szCs w:val="18"/>
                <w:lang w:val="es-CR" w:eastAsia="es-CR"/>
              </w:rPr>
              <w:t>acuerdo con las leyes y regulaciones pertinentes.</w:t>
            </w:r>
            <w:r w:rsidRPr="006358A3">
              <w:rPr>
                <w:rFonts w:ascii="Calibri" w:eastAsia="Times New Roman" w:hAnsi="Calibri" w:cs="Calibri"/>
                <w:color w:val="000000"/>
                <w:sz w:val="18"/>
                <w:szCs w:val="18"/>
                <w:lang w:val="es-CR" w:eastAsia="es-CR"/>
              </w:rPr>
              <w:br/>
            </w:r>
            <w:r w:rsidRPr="006358A3">
              <w:rPr>
                <w:rFonts w:ascii="Calibri" w:eastAsia="Times New Roman" w:hAnsi="Calibri" w:cs="Calibri"/>
                <w:color w:val="000000"/>
                <w:sz w:val="18"/>
                <w:szCs w:val="18"/>
                <w:lang w:val="es-CR" w:eastAsia="es-CR"/>
              </w:rPr>
              <w:br/>
              <w:t>Disposición de activos es el proceso de deshacerse de un elemento que ha llegado al final de su vida útil. Esto incluye todo, desde productos electrónicos de consumo hasta infraestructura pública, como carreteras y puentes. En general, los activos no deben eliminarse hasta que ya no sean aptos para su uso.</w:t>
            </w:r>
          </w:p>
        </w:tc>
        <w:tc>
          <w:tcPr>
            <w:tcW w:w="1667" w:type="dxa"/>
            <w:tcBorders>
              <w:top w:val="nil"/>
              <w:left w:val="nil"/>
              <w:bottom w:val="single" w:sz="4" w:space="0" w:color="auto"/>
              <w:right w:val="single" w:sz="4" w:space="0" w:color="auto"/>
            </w:tcBorders>
            <w:shd w:val="clear" w:color="000000" w:fill="F2F2F2"/>
            <w:noWrap/>
            <w:vAlign w:val="center"/>
            <w:hideMark/>
          </w:tcPr>
          <w:p w14:paraId="18CFF28D"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lastRenderedPageBreak/>
              <w:t>Vida Útil</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C98CF7B"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0D5C8DBC"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Los activos suelen desecharse sin una evaluación técnica que justifique el fin de su vida útil.</w:t>
            </w:r>
          </w:p>
        </w:tc>
        <w:tc>
          <w:tcPr>
            <w:tcW w:w="2264" w:type="dxa"/>
            <w:gridSpan w:val="2"/>
            <w:tcBorders>
              <w:top w:val="nil"/>
              <w:left w:val="nil"/>
              <w:bottom w:val="single" w:sz="4" w:space="0" w:color="auto"/>
              <w:right w:val="single" w:sz="4" w:space="0" w:color="auto"/>
            </w:tcBorders>
            <w:hideMark/>
          </w:tcPr>
          <w:p w14:paraId="32B6161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3151C9">
              <w:rPr>
                <w:rFonts w:ascii="Calibri" w:eastAsia="Times New Roman" w:hAnsi="Calibri" w:cs="Calibri"/>
                <w:color w:val="000000"/>
                <w:sz w:val="24"/>
                <w:lang w:eastAsia="es-CR"/>
              </w:rPr>
              <w:t>Pérdida prematura de recursos aprovechables.</w:t>
            </w:r>
          </w:p>
        </w:tc>
        <w:tc>
          <w:tcPr>
            <w:tcW w:w="942" w:type="dxa"/>
            <w:tcBorders>
              <w:top w:val="nil"/>
              <w:left w:val="nil"/>
              <w:bottom w:val="single" w:sz="4" w:space="0" w:color="auto"/>
              <w:right w:val="single" w:sz="4" w:space="0" w:color="auto"/>
            </w:tcBorders>
            <w:noWrap/>
            <w:vAlign w:val="center"/>
            <w:hideMark/>
          </w:tcPr>
          <w:p w14:paraId="0E79BA43"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6EEB4A45"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Implementar una evaluación técnica previa al descarte de activos.</w:t>
            </w:r>
          </w:p>
        </w:tc>
        <w:tc>
          <w:tcPr>
            <w:tcW w:w="1140" w:type="dxa"/>
            <w:gridSpan w:val="3"/>
            <w:tcBorders>
              <w:top w:val="nil"/>
              <w:left w:val="nil"/>
              <w:bottom w:val="single" w:sz="4" w:space="0" w:color="auto"/>
              <w:right w:val="single" w:sz="4" w:space="0" w:color="auto"/>
            </w:tcBorders>
            <w:noWrap/>
            <w:vAlign w:val="center"/>
            <w:hideMark/>
          </w:tcPr>
          <w:p w14:paraId="538D202B"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6817E90F"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7854E3AD"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Prolongación de la vida útil y reducción de residuos.</w:t>
            </w:r>
          </w:p>
        </w:tc>
      </w:tr>
      <w:tr w:rsidR="00F212FE" w:rsidRPr="006358A3" w14:paraId="29AA7CBD" w14:textId="77777777" w:rsidTr="0055381F">
        <w:trPr>
          <w:gridAfter w:val="4"/>
          <w:wAfter w:w="2761" w:type="dxa"/>
          <w:trHeight w:val="1240"/>
        </w:trPr>
        <w:tc>
          <w:tcPr>
            <w:tcW w:w="1990" w:type="dxa"/>
            <w:vMerge/>
            <w:tcBorders>
              <w:top w:val="single" w:sz="4" w:space="0" w:color="auto"/>
              <w:left w:val="single" w:sz="4" w:space="0" w:color="auto"/>
              <w:bottom w:val="single" w:sz="4" w:space="0" w:color="auto"/>
              <w:right w:val="nil"/>
            </w:tcBorders>
            <w:shd w:val="clear" w:color="auto" w:fill="29B95C"/>
            <w:vAlign w:val="center"/>
            <w:hideMark/>
          </w:tcPr>
          <w:p w14:paraId="3F50FE7E"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213FF82C"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2E208601"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Mantenimiento</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0C19BEC"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0E87721F"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No se planifica adecuadamente el mantenimiento para extender la vida útil de los bienes.</w:t>
            </w:r>
          </w:p>
        </w:tc>
        <w:tc>
          <w:tcPr>
            <w:tcW w:w="2264" w:type="dxa"/>
            <w:gridSpan w:val="2"/>
            <w:tcBorders>
              <w:top w:val="nil"/>
              <w:left w:val="nil"/>
              <w:bottom w:val="single" w:sz="4" w:space="0" w:color="auto"/>
              <w:right w:val="single" w:sz="4" w:space="0" w:color="auto"/>
            </w:tcBorders>
            <w:hideMark/>
          </w:tcPr>
          <w:p w14:paraId="7D31CA60"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3151C9">
              <w:rPr>
                <w:rFonts w:ascii="Calibri" w:eastAsia="Times New Roman" w:hAnsi="Calibri" w:cs="Calibri"/>
                <w:color w:val="000000"/>
                <w:sz w:val="24"/>
                <w:lang w:eastAsia="es-CR"/>
              </w:rPr>
              <w:t>Aumento en costos por reemplazos innecesarios.</w:t>
            </w:r>
          </w:p>
        </w:tc>
        <w:tc>
          <w:tcPr>
            <w:tcW w:w="942" w:type="dxa"/>
            <w:tcBorders>
              <w:top w:val="nil"/>
              <w:left w:val="nil"/>
              <w:bottom w:val="single" w:sz="4" w:space="0" w:color="auto"/>
              <w:right w:val="single" w:sz="4" w:space="0" w:color="auto"/>
            </w:tcBorders>
            <w:noWrap/>
            <w:vAlign w:val="center"/>
            <w:hideMark/>
          </w:tcPr>
          <w:p w14:paraId="7A2DD123"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4ABD2D1E"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Crear un plan de mantenimiento preventivo para activos clave.</w:t>
            </w:r>
          </w:p>
        </w:tc>
        <w:tc>
          <w:tcPr>
            <w:tcW w:w="1140" w:type="dxa"/>
            <w:gridSpan w:val="3"/>
            <w:tcBorders>
              <w:top w:val="nil"/>
              <w:left w:val="nil"/>
              <w:bottom w:val="single" w:sz="4" w:space="0" w:color="auto"/>
              <w:right w:val="single" w:sz="4" w:space="0" w:color="auto"/>
            </w:tcBorders>
            <w:noWrap/>
            <w:vAlign w:val="center"/>
            <w:hideMark/>
          </w:tcPr>
          <w:p w14:paraId="5678A60C"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883" w:type="dxa"/>
            <w:tcBorders>
              <w:top w:val="nil"/>
              <w:left w:val="nil"/>
              <w:bottom w:val="single" w:sz="4" w:space="0" w:color="auto"/>
              <w:right w:val="single" w:sz="4" w:space="0" w:color="auto"/>
            </w:tcBorders>
            <w:noWrap/>
            <w:vAlign w:val="center"/>
            <w:hideMark/>
          </w:tcPr>
          <w:p w14:paraId="6D870581"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1</w:t>
            </w:r>
          </w:p>
        </w:tc>
        <w:tc>
          <w:tcPr>
            <w:tcW w:w="3351" w:type="dxa"/>
            <w:gridSpan w:val="2"/>
            <w:tcBorders>
              <w:top w:val="nil"/>
              <w:left w:val="nil"/>
              <w:bottom w:val="single" w:sz="4" w:space="0" w:color="auto"/>
              <w:right w:val="single" w:sz="4" w:space="0" w:color="auto"/>
            </w:tcBorders>
            <w:hideMark/>
          </w:tcPr>
          <w:p w14:paraId="6FEB1C5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Optimización del uso de recursos y menores compras.</w:t>
            </w:r>
          </w:p>
        </w:tc>
      </w:tr>
      <w:tr w:rsidR="00F212FE" w:rsidRPr="006358A3" w14:paraId="4B0CBF31" w14:textId="77777777" w:rsidTr="0055381F">
        <w:trPr>
          <w:gridAfter w:val="4"/>
          <w:wAfter w:w="2761" w:type="dxa"/>
          <w:trHeight w:val="1240"/>
        </w:trPr>
        <w:tc>
          <w:tcPr>
            <w:tcW w:w="1990" w:type="dxa"/>
            <w:vMerge/>
            <w:tcBorders>
              <w:top w:val="single" w:sz="4" w:space="0" w:color="auto"/>
              <w:left w:val="single" w:sz="4" w:space="0" w:color="auto"/>
              <w:bottom w:val="single" w:sz="4" w:space="0" w:color="auto"/>
              <w:right w:val="nil"/>
            </w:tcBorders>
            <w:shd w:val="clear" w:color="auto" w:fill="29B95C"/>
            <w:vAlign w:val="center"/>
            <w:hideMark/>
          </w:tcPr>
          <w:p w14:paraId="0C801762"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290DD156"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122495B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Eficacia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08FDC7B"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4A0A161A"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El manejo inadecuado de residuos puede generar problemas legales y de reputación.</w:t>
            </w:r>
          </w:p>
        </w:tc>
        <w:tc>
          <w:tcPr>
            <w:tcW w:w="2264" w:type="dxa"/>
            <w:gridSpan w:val="2"/>
            <w:tcBorders>
              <w:top w:val="nil"/>
              <w:left w:val="nil"/>
              <w:bottom w:val="single" w:sz="4" w:space="0" w:color="auto"/>
              <w:right w:val="single" w:sz="4" w:space="0" w:color="auto"/>
            </w:tcBorders>
            <w:hideMark/>
          </w:tcPr>
          <w:p w14:paraId="7FFEBEDB"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3151C9">
              <w:rPr>
                <w:rFonts w:ascii="Calibri" w:eastAsia="Times New Roman" w:hAnsi="Calibri" w:cs="Calibri"/>
                <w:color w:val="000000"/>
                <w:sz w:val="24"/>
                <w:lang w:eastAsia="es-CR"/>
              </w:rPr>
              <w:t>Riesgo de sanciones y menor desempeño ambiental.</w:t>
            </w:r>
          </w:p>
        </w:tc>
        <w:tc>
          <w:tcPr>
            <w:tcW w:w="942" w:type="dxa"/>
            <w:tcBorders>
              <w:top w:val="nil"/>
              <w:left w:val="nil"/>
              <w:bottom w:val="single" w:sz="4" w:space="0" w:color="auto"/>
              <w:right w:val="single" w:sz="4" w:space="0" w:color="auto"/>
            </w:tcBorders>
            <w:noWrap/>
            <w:vAlign w:val="center"/>
            <w:hideMark/>
          </w:tcPr>
          <w:p w14:paraId="6AECC879"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18D3BFF9"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Incluir una estrategia de gestión de residuos en cada proyecto.</w:t>
            </w:r>
          </w:p>
        </w:tc>
        <w:tc>
          <w:tcPr>
            <w:tcW w:w="1140" w:type="dxa"/>
            <w:gridSpan w:val="3"/>
            <w:tcBorders>
              <w:top w:val="nil"/>
              <w:left w:val="nil"/>
              <w:bottom w:val="single" w:sz="4" w:space="0" w:color="auto"/>
              <w:right w:val="single" w:sz="4" w:space="0" w:color="auto"/>
            </w:tcBorders>
            <w:noWrap/>
            <w:vAlign w:val="center"/>
            <w:hideMark/>
          </w:tcPr>
          <w:p w14:paraId="0E786A3C"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3C902ACE"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01C704B8"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Cumplimiento normativo y mejor percepción pública.</w:t>
            </w:r>
          </w:p>
        </w:tc>
      </w:tr>
      <w:tr w:rsidR="00F212FE" w:rsidRPr="006358A3" w14:paraId="39F1555E" w14:textId="77777777" w:rsidTr="0055381F">
        <w:trPr>
          <w:gridAfter w:val="4"/>
          <w:wAfter w:w="2761" w:type="dxa"/>
          <w:trHeight w:val="1240"/>
        </w:trPr>
        <w:tc>
          <w:tcPr>
            <w:tcW w:w="1990" w:type="dxa"/>
            <w:vMerge/>
            <w:tcBorders>
              <w:top w:val="single" w:sz="4" w:space="0" w:color="auto"/>
              <w:left w:val="single" w:sz="4" w:space="0" w:color="auto"/>
              <w:bottom w:val="single" w:sz="4" w:space="0" w:color="auto"/>
              <w:right w:val="nil"/>
            </w:tcBorders>
            <w:shd w:val="clear" w:color="auto" w:fill="29B95C"/>
            <w:vAlign w:val="center"/>
            <w:hideMark/>
          </w:tcPr>
          <w:p w14:paraId="430F850F"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45705B27"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0265C4AF"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Eficiencia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5371510"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7D2FD616"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Se realizan eliminaciones sin considerar posibles reutilizaciones o valor residual.</w:t>
            </w:r>
          </w:p>
        </w:tc>
        <w:tc>
          <w:tcPr>
            <w:tcW w:w="2264" w:type="dxa"/>
            <w:gridSpan w:val="2"/>
            <w:tcBorders>
              <w:top w:val="nil"/>
              <w:left w:val="nil"/>
              <w:bottom w:val="single" w:sz="4" w:space="0" w:color="auto"/>
              <w:right w:val="single" w:sz="4" w:space="0" w:color="auto"/>
            </w:tcBorders>
            <w:hideMark/>
          </w:tcPr>
          <w:p w14:paraId="2F35019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3151C9">
              <w:rPr>
                <w:rFonts w:ascii="Calibri" w:eastAsia="Times New Roman" w:hAnsi="Calibri" w:cs="Calibri"/>
                <w:color w:val="000000"/>
                <w:sz w:val="24"/>
                <w:lang w:eastAsia="es-CR"/>
              </w:rPr>
              <w:t>Pérdida de valor económico y logístico.</w:t>
            </w:r>
          </w:p>
        </w:tc>
        <w:tc>
          <w:tcPr>
            <w:tcW w:w="942" w:type="dxa"/>
            <w:tcBorders>
              <w:top w:val="nil"/>
              <w:left w:val="nil"/>
              <w:bottom w:val="single" w:sz="4" w:space="0" w:color="auto"/>
              <w:right w:val="single" w:sz="4" w:space="0" w:color="auto"/>
            </w:tcBorders>
            <w:noWrap/>
            <w:vAlign w:val="center"/>
            <w:hideMark/>
          </w:tcPr>
          <w:p w14:paraId="1F8A60B6"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1AACE6B5"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Establecer procesos de inventario y valorización de activos antes de su disposición.</w:t>
            </w:r>
          </w:p>
        </w:tc>
        <w:tc>
          <w:tcPr>
            <w:tcW w:w="1140" w:type="dxa"/>
            <w:gridSpan w:val="3"/>
            <w:tcBorders>
              <w:top w:val="nil"/>
              <w:left w:val="nil"/>
              <w:bottom w:val="single" w:sz="4" w:space="0" w:color="auto"/>
              <w:right w:val="single" w:sz="4" w:space="0" w:color="auto"/>
            </w:tcBorders>
            <w:noWrap/>
            <w:vAlign w:val="center"/>
            <w:hideMark/>
          </w:tcPr>
          <w:p w14:paraId="761B7741"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16BB0016"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1EFF0F0E"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Recuperación de valor económico y mejor uso de recursos.</w:t>
            </w:r>
          </w:p>
        </w:tc>
      </w:tr>
      <w:tr w:rsidR="00F212FE" w:rsidRPr="006358A3" w14:paraId="76E4AF2C" w14:textId="77777777" w:rsidTr="0055381F">
        <w:trPr>
          <w:gridAfter w:val="4"/>
          <w:wAfter w:w="2761" w:type="dxa"/>
          <w:trHeight w:val="1240"/>
        </w:trPr>
        <w:tc>
          <w:tcPr>
            <w:tcW w:w="1990" w:type="dxa"/>
            <w:vMerge/>
            <w:tcBorders>
              <w:top w:val="single" w:sz="4" w:space="0" w:color="auto"/>
              <w:left w:val="single" w:sz="4" w:space="0" w:color="auto"/>
              <w:bottom w:val="single" w:sz="4" w:space="0" w:color="auto"/>
              <w:right w:val="nil"/>
            </w:tcBorders>
            <w:shd w:val="clear" w:color="auto" w:fill="29B95C"/>
            <w:vAlign w:val="center"/>
            <w:hideMark/>
          </w:tcPr>
          <w:p w14:paraId="7A64C359"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06A72320"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54FB246B"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Imparcialidad</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1B0F3A3"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3C7F9B18"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No todos los equipos tienen acceso a los lineamientos sobre disposición responsable.</w:t>
            </w:r>
          </w:p>
        </w:tc>
        <w:tc>
          <w:tcPr>
            <w:tcW w:w="2264" w:type="dxa"/>
            <w:gridSpan w:val="2"/>
            <w:tcBorders>
              <w:top w:val="nil"/>
              <w:left w:val="nil"/>
              <w:bottom w:val="single" w:sz="4" w:space="0" w:color="auto"/>
              <w:right w:val="single" w:sz="4" w:space="0" w:color="auto"/>
            </w:tcBorders>
            <w:hideMark/>
          </w:tcPr>
          <w:p w14:paraId="066DAA42"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3151C9">
              <w:rPr>
                <w:rFonts w:ascii="Calibri" w:eastAsia="Times New Roman" w:hAnsi="Calibri" w:cs="Calibri"/>
                <w:color w:val="000000"/>
                <w:sz w:val="24"/>
                <w:lang w:eastAsia="es-CR"/>
              </w:rPr>
              <w:t>Desigualdad en la aplicación de buenas prácticas.</w:t>
            </w:r>
          </w:p>
        </w:tc>
        <w:tc>
          <w:tcPr>
            <w:tcW w:w="942" w:type="dxa"/>
            <w:tcBorders>
              <w:top w:val="nil"/>
              <w:left w:val="nil"/>
              <w:bottom w:val="single" w:sz="4" w:space="0" w:color="auto"/>
              <w:right w:val="single" w:sz="4" w:space="0" w:color="auto"/>
            </w:tcBorders>
            <w:noWrap/>
            <w:vAlign w:val="center"/>
            <w:hideMark/>
          </w:tcPr>
          <w:p w14:paraId="382964D8"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1</w:t>
            </w:r>
          </w:p>
        </w:tc>
        <w:tc>
          <w:tcPr>
            <w:tcW w:w="1995" w:type="dxa"/>
            <w:tcBorders>
              <w:top w:val="nil"/>
              <w:left w:val="nil"/>
              <w:bottom w:val="single" w:sz="4" w:space="0" w:color="auto"/>
              <w:right w:val="single" w:sz="4" w:space="0" w:color="auto"/>
            </w:tcBorders>
            <w:hideMark/>
          </w:tcPr>
          <w:p w14:paraId="270E7528"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Capacitar a todos los equipos sobre políticas de descarte responsable.</w:t>
            </w:r>
          </w:p>
        </w:tc>
        <w:tc>
          <w:tcPr>
            <w:tcW w:w="1140" w:type="dxa"/>
            <w:gridSpan w:val="3"/>
            <w:tcBorders>
              <w:top w:val="nil"/>
              <w:left w:val="nil"/>
              <w:bottom w:val="single" w:sz="4" w:space="0" w:color="auto"/>
              <w:right w:val="single" w:sz="4" w:space="0" w:color="auto"/>
            </w:tcBorders>
            <w:noWrap/>
            <w:vAlign w:val="center"/>
            <w:hideMark/>
          </w:tcPr>
          <w:p w14:paraId="70B14C55"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883" w:type="dxa"/>
            <w:tcBorders>
              <w:top w:val="nil"/>
              <w:left w:val="nil"/>
              <w:bottom w:val="single" w:sz="4" w:space="0" w:color="auto"/>
              <w:right w:val="single" w:sz="4" w:space="0" w:color="auto"/>
            </w:tcBorders>
            <w:noWrap/>
            <w:vAlign w:val="center"/>
            <w:hideMark/>
          </w:tcPr>
          <w:p w14:paraId="5CCA39AF"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5513E27D"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Equidad en la gestión ambiental interna.</w:t>
            </w:r>
          </w:p>
        </w:tc>
      </w:tr>
      <w:tr w:rsidR="00F212FE" w:rsidRPr="006358A3" w14:paraId="67D7720D" w14:textId="77777777" w:rsidTr="0055381F">
        <w:trPr>
          <w:gridAfter w:val="4"/>
          <w:wAfter w:w="2761" w:type="dxa"/>
          <w:trHeight w:val="1240"/>
        </w:trPr>
        <w:tc>
          <w:tcPr>
            <w:tcW w:w="1990" w:type="dxa"/>
            <w:vMerge w:val="restart"/>
            <w:tcBorders>
              <w:top w:val="single" w:sz="4" w:space="0" w:color="auto"/>
              <w:left w:val="single" w:sz="4" w:space="0" w:color="auto"/>
              <w:bottom w:val="single" w:sz="4" w:space="0" w:color="auto"/>
              <w:right w:val="nil"/>
            </w:tcBorders>
            <w:shd w:val="clear" w:color="auto" w:fill="29B95C"/>
            <w:noWrap/>
            <w:vAlign w:val="bottom"/>
            <w:hideMark/>
          </w:tcPr>
          <w:p w14:paraId="3E211C0D"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noProof/>
                <w:color w:val="000000"/>
                <w:sz w:val="24"/>
                <w:lang w:val="es-CR" w:eastAsia="es-CR"/>
              </w:rPr>
              <w:drawing>
                <wp:anchor distT="0" distB="0" distL="114300" distR="114300" simplePos="0" relativeHeight="251709440" behindDoc="0" locked="0" layoutInCell="1" allowOverlap="1" wp14:anchorId="2391C020" wp14:editId="298452BC">
                  <wp:simplePos x="0" y="0"/>
                  <wp:positionH relativeFrom="column">
                    <wp:posOffset>171450</wp:posOffset>
                  </wp:positionH>
                  <wp:positionV relativeFrom="page">
                    <wp:posOffset>3456940</wp:posOffset>
                  </wp:positionV>
                  <wp:extent cx="825500" cy="844550"/>
                  <wp:effectExtent l="0" t="0" r="0" b="0"/>
                  <wp:wrapSquare wrapText="bothSides"/>
                  <wp:docPr id="4196857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685795" name=""/>
                          <pic:cNvPicPr/>
                        </pic:nvPicPr>
                        <pic:blipFill>
                          <a:blip r:embed="rId64">
                            <a:extLst>
                              <a:ext uri="{28A0092B-C50C-407E-A947-70E740481C1C}">
                                <a14:useLocalDpi xmlns:a14="http://schemas.microsoft.com/office/drawing/2010/main" val="0"/>
                              </a:ext>
                            </a:extLst>
                          </a:blip>
                          <a:stretch>
                            <a:fillRect/>
                          </a:stretch>
                        </pic:blipFill>
                        <pic:spPr>
                          <a:xfrm>
                            <a:off x="0" y="0"/>
                            <a:ext cx="825500" cy="844550"/>
                          </a:xfrm>
                          <a:prstGeom prst="rect">
                            <a:avLst/>
                          </a:prstGeom>
                        </pic:spPr>
                      </pic:pic>
                    </a:graphicData>
                  </a:graphic>
                  <wp14:sizeRelH relativeFrom="margin">
                    <wp14:pctWidth>0</wp14:pctWidth>
                  </wp14:sizeRelH>
                  <wp14:sizeRelV relativeFrom="margin">
                    <wp14:pctHeight>0</wp14:pctHeight>
                  </wp14:sizeRelV>
                </wp:anchor>
              </w:drawing>
            </w:r>
          </w:p>
          <w:p w14:paraId="173DFC50"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val="restart"/>
            <w:tcBorders>
              <w:top w:val="nil"/>
              <w:left w:val="single" w:sz="4" w:space="0" w:color="auto"/>
              <w:bottom w:val="single" w:sz="4" w:space="0" w:color="auto"/>
              <w:right w:val="single" w:sz="4" w:space="0" w:color="auto"/>
            </w:tcBorders>
            <w:shd w:val="clear" w:color="000000" w:fill="F2F2F2"/>
            <w:vAlign w:val="center"/>
            <w:hideMark/>
          </w:tcPr>
          <w:p w14:paraId="40053785"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r w:rsidRPr="006358A3">
              <w:rPr>
                <w:rFonts w:ascii="Calibri" w:eastAsia="Times New Roman" w:hAnsi="Calibri" w:cs="Calibri"/>
                <w:color w:val="000000"/>
                <w:sz w:val="18"/>
                <w:szCs w:val="18"/>
                <w:lang w:val="es-CR" w:eastAsia="es-CR"/>
              </w:rPr>
              <w:t xml:space="preserve">Contaminación y polución es la liberación de materiales de desecho o sustancias peligrosas en el medio ambiente. Casi siempre tendrá un impacto negativo en los ecosistemas y la salud humana. La contaminación y la polución ocurren con mayor frecuencia debido a prácticas negligentes en la fabricación, la construcción, la agricultura y las industrias relacionadas que generan materiales de desecho o productos químicos peligrosos, pero también pueden ocurrir en otros proyectos que hacen un </w:t>
            </w:r>
            <w:r w:rsidRPr="006358A3">
              <w:rPr>
                <w:rFonts w:ascii="Calibri" w:eastAsia="Times New Roman" w:hAnsi="Calibri" w:cs="Calibri"/>
                <w:color w:val="000000"/>
                <w:sz w:val="18"/>
                <w:szCs w:val="18"/>
                <w:lang w:val="es-CR" w:eastAsia="es-CR"/>
              </w:rPr>
              <w:lastRenderedPageBreak/>
              <w:t xml:space="preserve">mal trabajo de eliminación </w:t>
            </w:r>
          </w:p>
        </w:tc>
        <w:tc>
          <w:tcPr>
            <w:tcW w:w="1667" w:type="dxa"/>
            <w:tcBorders>
              <w:top w:val="nil"/>
              <w:left w:val="nil"/>
              <w:bottom w:val="single" w:sz="4" w:space="0" w:color="auto"/>
              <w:right w:val="single" w:sz="4" w:space="0" w:color="auto"/>
            </w:tcBorders>
            <w:shd w:val="clear" w:color="000000" w:fill="F2F2F2"/>
            <w:noWrap/>
            <w:vAlign w:val="center"/>
            <w:hideMark/>
          </w:tcPr>
          <w:p w14:paraId="232FB479"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lastRenderedPageBreak/>
              <w:t>Vida Útil</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82B408C"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2E583CB6"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La contaminación reduce la durabilidad de espacios construidos, por corrosión o afectación ambiental.</w:t>
            </w:r>
          </w:p>
        </w:tc>
        <w:tc>
          <w:tcPr>
            <w:tcW w:w="2264" w:type="dxa"/>
            <w:gridSpan w:val="2"/>
            <w:tcBorders>
              <w:top w:val="nil"/>
              <w:left w:val="nil"/>
              <w:bottom w:val="single" w:sz="4" w:space="0" w:color="auto"/>
              <w:right w:val="single" w:sz="4" w:space="0" w:color="auto"/>
            </w:tcBorders>
            <w:hideMark/>
          </w:tcPr>
          <w:p w14:paraId="0A1DE3B8"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3151C9">
              <w:rPr>
                <w:rFonts w:ascii="Calibri" w:eastAsia="Times New Roman" w:hAnsi="Calibri" w:cs="Calibri"/>
                <w:color w:val="000000"/>
                <w:sz w:val="24"/>
                <w:lang w:eastAsia="es-CR"/>
              </w:rPr>
              <w:t>Aumento de deterioro prematuro de materiales y sistemas.</w:t>
            </w:r>
          </w:p>
        </w:tc>
        <w:tc>
          <w:tcPr>
            <w:tcW w:w="942" w:type="dxa"/>
            <w:tcBorders>
              <w:top w:val="nil"/>
              <w:left w:val="nil"/>
              <w:bottom w:val="single" w:sz="4" w:space="0" w:color="auto"/>
              <w:right w:val="single" w:sz="4" w:space="0" w:color="auto"/>
            </w:tcBorders>
            <w:noWrap/>
            <w:vAlign w:val="center"/>
            <w:hideMark/>
          </w:tcPr>
          <w:p w14:paraId="37B5B5E7"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5110314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Implementar controles ambientales en zonas de obra para mitigar agentes contaminantes.</w:t>
            </w:r>
          </w:p>
        </w:tc>
        <w:tc>
          <w:tcPr>
            <w:tcW w:w="1140" w:type="dxa"/>
            <w:gridSpan w:val="3"/>
            <w:tcBorders>
              <w:top w:val="nil"/>
              <w:left w:val="nil"/>
              <w:bottom w:val="single" w:sz="4" w:space="0" w:color="auto"/>
              <w:right w:val="single" w:sz="4" w:space="0" w:color="auto"/>
            </w:tcBorders>
            <w:noWrap/>
            <w:vAlign w:val="center"/>
            <w:hideMark/>
          </w:tcPr>
          <w:p w14:paraId="753EC914"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04B4FA22"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2DEC9330"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Mayor durabilidad de infraestructura y materiales.</w:t>
            </w:r>
          </w:p>
        </w:tc>
      </w:tr>
      <w:tr w:rsidR="00F212FE" w:rsidRPr="006358A3" w14:paraId="7CB3C980" w14:textId="77777777" w:rsidTr="0055381F">
        <w:trPr>
          <w:gridAfter w:val="4"/>
          <w:wAfter w:w="2761" w:type="dxa"/>
          <w:trHeight w:val="1240"/>
        </w:trPr>
        <w:tc>
          <w:tcPr>
            <w:tcW w:w="1990" w:type="dxa"/>
            <w:vMerge/>
            <w:tcBorders>
              <w:top w:val="single" w:sz="4" w:space="0" w:color="auto"/>
              <w:left w:val="single" w:sz="4" w:space="0" w:color="auto"/>
              <w:bottom w:val="single" w:sz="4" w:space="0" w:color="auto"/>
              <w:right w:val="nil"/>
            </w:tcBorders>
            <w:shd w:val="clear" w:color="auto" w:fill="29B95C"/>
            <w:vAlign w:val="center"/>
            <w:hideMark/>
          </w:tcPr>
          <w:p w14:paraId="4F3F3FDA"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488173F3"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2949FE61"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Mantenimiento</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6B0A58F"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11CC1C05"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Falta de control sobre residuos químicos genera acumulación y sobrecarga en procesos de mantenimiento.</w:t>
            </w:r>
          </w:p>
        </w:tc>
        <w:tc>
          <w:tcPr>
            <w:tcW w:w="2264" w:type="dxa"/>
            <w:gridSpan w:val="2"/>
            <w:tcBorders>
              <w:top w:val="nil"/>
              <w:left w:val="nil"/>
              <w:bottom w:val="single" w:sz="4" w:space="0" w:color="auto"/>
              <w:right w:val="single" w:sz="4" w:space="0" w:color="auto"/>
            </w:tcBorders>
            <w:hideMark/>
          </w:tcPr>
          <w:p w14:paraId="5E5BA0B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3151C9">
              <w:rPr>
                <w:rFonts w:ascii="Calibri" w:eastAsia="Times New Roman" w:hAnsi="Calibri" w:cs="Calibri"/>
                <w:color w:val="000000"/>
                <w:sz w:val="24"/>
                <w:lang w:eastAsia="es-CR"/>
              </w:rPr>
              <w:t>Riesgos operativos y ambientales elevados.</w:t>
            </w:r>
          </w:p>
        </w:tc>
        <w:tc>
          <w:tcPr>
            <w:tcW w:w="942" w:type="dxa"/>
            <w:tcBorders>
              <w:top w:val="nil"/>
              <w:left w:val="nil"/>
              <w:bottom w:val="single" w:sz="4" w:space="0" w:color="auto"/>
              <w:right w:val="single" w:sz="4" w:space="0" w:color="auto"/>
            </w:tcBorders>
            <w:noWrap/>
            <w:vAlign w:val="center"/>
            <w:hideMark/>
          </w:tcPr>
          <w:p w14:paraId="7C316F75"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1995" w:type="dxa"/>
            <w:tcBorders>
              <w:top w:val="nil"/>
              <w:left w:val="nil"/>
              <w:bottom w:val="single" w:sz="4" w:space="0" w:color="auto"/>
              <w:right w:val="single" w:sz="4" w:space="0" w:color="auto"/>
            </w:tcBorders>
            <w:hideMark/>
          </w:tcPr>
          <w:p w14:paraId="0F8DD9B0"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Crear un protocolo de manejo de residuos peligrosos y no peligrosos, con trazabilidad.</w:t>
            </w:r>
          </w:p>
        </w:tc>
        <w:tc>
          <w:tcPr>
            <w:tcW w:w="1140" w:type="dxa"/>
            <w:gridSpan w:val="3"/>
            <w:tcBorders>
              <w:top w:val="nil"/>
              <w:left w:val="nil"/>
              <w:bottom w:val="single" w:sz="4" w:space="0" w:color="auto"/>
              <w:right w:val="single" w:sz="4" w:space="0" w:color="auto"/>
            </w:tcBorders>
            <w:noWrap/>
            <w:vAlign w:val="center"/>
            <w:hideMark/>
          </w:tcPr>
          <w:p w14:paraId="4FE4E3EB"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1B0883F1"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1</w:t>
            </w:r>
          </w:p>
        </w:tc>
        <w:tc>
          <w:tcPr>
            <w:tcW w:w="3351" w:type="dxa"/>
            <w:gridSpan w:val="2"/>
            <w:tcBorders>
              <w:top w:val="nil"/>
              <w:left w:val="nil"/>
              <w:bottom w:val="single" w:sz="4" w:space="0" w:color="auto"/>
              <w:right w:val="single" w:sz="4" w:space="0" w:color="auto"/>
            </w:tcBorders>
            <w:hideMark/>
          </w:tcPr>
          <w:p w14:paraId="30BA78A9"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Mejora en las condiciones de mantenimiento y prevención de incidentes.</w:t>
            </w:r>
          </w:p>
        </w:tc>
      </w:tr>
      <w:tr w:rsidR="00F212FE" w:rsidRPr="006358A3" w14:paraId="44E7A05E" w14:textId="77777777" w:rsidTr="0055381F">
        <w:trPr>
          <w:gridAfter w:val="4"/>
          <w:wAfter w:w="2761" w:type="dxa"/>
          <w:trHeight w:val="1240"/>
        </w:trPr>
        <w:tc>
          <w:tcPr>
            <w:tcW w:w="1990" w:type="dxa"/>
            <w:vMerge/>
            <w:tcBorders>
              <w:top w:val="single" w:sz="4" w:space="0" w:color="auto"/>
              <w:left w:val="single" w:sz="4" w:space="0" w:color="auto"/>
              <w:bottom w:val="single" w:sz="4" w:space="0" w:color="auto"/>
              <w:right w:val="nil"/>
            </w:tcBorders>
            <w:shd w:val="clear" w:color="auto" w:fill="29B95C"/>
            <w:vAlign w:val="center"/>
            <w:hideMark/>
          </w:tcPr>
          <w:p w14:paraId="1846391A"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590948D3"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543BB13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Eficacia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109D69C"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417AD36C"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La contaminación puede generar cierres temporales por incumplimiento normativo.</w:t>
            </w:r>
          </w:p>
        </w:tc>
        <w:tc>
          <w:tcPr>
            <w:tcW w:w="2264" w:type="dxa"/>
            <w:gridSpan w:val="2"/>
            <w:tcBorders>
              <w:top w:val="nil"/>
              <w:left w:val="nil"/>
              <w:bottom w:val="single" w:sz="4" w:space="0" w:color="auto"/>
              <w:right w:val="single" w:sz="4" w:space="0" w:color="auto"/>
            </w:tcBorders>
            <w:hideMark/>
          </w:tcPr>
          <w:p w14:paraId="200DAB48"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3151C9">
              <w:rPr>
                <w:rFonts w:ascii="Calibri" w:eastAsia="Times New Roman" w:hAnsi="Calibri" w:cs="Calibri"/>
                <w:color w:val="000000"/>
                <w:sz w:val="24"/>
                <w:lang w:eastAsia="es-CR"/>
              </w:rPr>
              <w:t>Riesgo legal y de interrupción de operaciones.</w:t>
            </w:r>
          </w:p>
        </w:tc>
        <w:tc>
          <w:tcPr>
            <w:tcW w:w="942" w:type="dxa"/>
            <w:tcBorders>
              <w:top w:val="nil"/>
              <w:left w:val="nil"/>
              <w:bottom w:val="single" w:sz="4" w:space="0" w:color="auto"/>
              <w:right w:val="single" w:sz="4" w:space="0" w:color="auto"/>
            </w:tcBorders>
            <w:noWrap/>
            <w:vAlign w:val="center"/>
            <w:hideMark/>
          </w:tcPr>
          <w:p w14:paraId="4770A2DA"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472459CA"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Capacitar al equipo en buenas prácticas ambientales y uso de materiales certificados.</w:t>
            </w:r>
          </w:p>
        </w:tc>
        <w:tc>
          <w:tcPr>
            <w:tcW w:w="1140" w:type="dxa"/>
            <w:gridSpan w:val="3"/>
            <w:tcBorders>
              <w:top w:val="nil"/>
              <w:left w:val="nil"/>
              <w:bottom w:val="single" w:sz="4" w:space="0" w:color="auto"/>
              <w:right w:val="single" w:sz="4" w:space="0" w:color="auto"/>
            </w:tcBorders>
            <w:noWrap/>
            <w:vAlign w:val="center"/>
            <w:hideMark/>
          </w:tcPr>
          <w:p w14:paraId="589576FE"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7902DB97"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7DAF309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Mayor cumplimiento legal y continuidad operativa.</w:t>
            </w:r>
          </w:p>
        </w:tc>
      </w:tr>
      <w:tr w:rsidR="00F212FE" w:rsidRPr="006358A3" w14:paraId="3E1D6F24" w14:textId="77777777" w:rsidTr="0055381F">
        <w:trPr>
          <w:gridAfter w:val="4"/>
          <w:wAfter w:w="2761" w:type="dxa"/>
          <w:trHeight w:val="930"/>
        </w:trPr>
        <w:tc>
          <w:tcPr>
            <w:tcW w:w="1990" w:type="dxa"/>
            <w:vMerge/>
            <w:tcBorders>
              <w:top w:val="single" w:sz="4" w:space="0" w:color="auto"/>
              <w:left w:val="single" w:sz="4" w:space="0" w:color="auto"/>
              <w:bottom w:val="single" w:sz="4" w:space="0" w:color="auto"/>
              <w:right w:val="nil"/>
            </w:tcBorders>
            <w:shd w:val="clear" w:color="auto" w:fill="29B95C"/>
            <w:vAlign w:val="center"/>
            <w:hideMark/>
          </w:tcPr>
          <w:p w14:paraId="050000B5"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6C27C8F6"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4D5581D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Eficiencia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4624A40"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29C767D9"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Malas prácticas generan retrabajo, limpiezas adicionales y sanciones.</w:t>
            </w:r>
          </w:p>
        </w:tc>
        <w:tc>
          <w:tcPr>
            <w:tcW w:w="2264" w:type="dxa"/>
            <w:gridSpan w:val="2"/>
            <w:tcBorders>
              <w:top w:val="nil"/>
              <w:left w:val="nil"/>
              <w:bottom w:val="single" w:sz="4" w:space="0" w:color="auto"/>
              <w:right w:val="single" w:sz="4" w:space="0" w:color="auto"/>
            </w:tcBorders>
            <w:hideMark/>
          </w:tcPr>
          <w:p w14:paraId="61E7A73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3151C9">
              <w:rPr>
                <w:rFonts w:ascii="Calibri" w:eastAsia="Times New Roman" w:hAnsi="Calibri" w:cs="Calibri"/>
                <w:color w:val="000000"/>
                <w:sz w:val="24"/>
                <w:lang w:eastAsia="es-CR"/>
              </w:rPr>
              <w:t>Aumento de costos por errores evitables.</w:t>
            </w:r>
          </w:p>
        </w:tc>
        <w:tc>
          <w:tcPr>
            <w:tcW w:w="942" w:type="dxa"/>
            <w:tcBorders>
              <w:top w:val="nil"/>
              <w:left w:val="nil"/>
              <w:bottom w:val="single" w:sz="4" w:space="0" w:color="auto"/>
              <w:right w:val="single" w:sz="4" w:space="0" w:color="auto"/>
            </w:tcBorders>
            <w:noWrap/>
            <w:vAlign w:val="center"/>
            <w:hideMark/>
          </w:tcPr>
          <w:p w14:paraId="0F0658A6"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01839B38"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Incluir indicadores de desempeño ambiental y auditorías internas periódicas.</w:t>
            </w:r>
          </w:p>
        </w:tc>
        <w:tc>
          <w:tcPr>
            <w:tcW w:w="1140" w:type="dxa"/>
            <w:gridSpan w:val="3"/>
            <w:tcBorders>
              <w:top w:val="nil"/>
              <w:left w:val="nil"/>
              <w:bottom w:val="single" w:sz="4" w:space="0" w:color="auto"/>
              <w:right w:val="single" w:sz="4" w:space="0" w:color="auto"/>
            </w:tcBorders>
            <w:noWrap/>
            <w:vAlign w:val="center"/>
            <w:hideMark/>
          </w:tcPr>
          <w:p w14:paraId="30E66EB0"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13312A63"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6033CBC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Optimización del tiempo y recursos mediante prevención.</w:t>
            </w:r>
          </w:p>
        </w:tc>
      </w:tr>
      <w:tr w:rsidR="00F212FE" w:rsidRPr="006358A3" w14:paraId="573EDF93" w14:textId="77777777" w:rsidTr="0055381F">
        <w:trPr>
          <w:gridAfter w:val="4"/>
          <w:wAfter w:w="2761" w:type="dxa"/>
          <w:trHeight w:val="1240"/>
        </w:trPr>
        <w:tc>
          <w:tcPr>
            <w:tcW w:w="1990" w:type="dxa"/>
            <w:vMerge/>
            <w:tcBorders>
              <w:top w:val="single" w:sz="4" w:space="0" w:color="auto"/>
              <w:left w:val="single" w:sz="4" w:space="0" w:color="auto"/>
              <w:bottom w:val="single" w:sz="4" w:space="0" w:color="auto"/>
              <w:right w:val="nil"/>
            </w:tcBorders>
            <w:shd w:val="clear" w:color="auto" w:fill="29B95C"/>
            <w:vAlign w:val="center"/>
            <w:hideMark/>
          </w:tcPr>
          <w:p w14:paraId="0A3D9225"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771C55A7"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150EDB0F"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Imparcialidad</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5F69DCC"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111082AA"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Las comunidades cercanas pueden ser afectadas de forma desigual por contaminación.</w:t>
            </w:r>
          </w:p>
        </w:tc>
        <w:tc>
          <w:tcPr>
            <w:tcW w:w="2264" w:type="dxa"/>
            <w:gridSpan w:val="2"/>
            <w:tcBorders>
              <w:top w:val="nil"/>
              <w:left w:val="nil"/>
              <w:bottom w:val="single" w:sz="4" w:space="0" w:color="auto"/>
              <w:right w:val="single" w:sz="4" w:space="0" w:color="auto"/>
            </w:tcBorders>
            <w:hideMark/>
          </w:tcPr>
          <w:p w14:paraId="4171686F"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3151C9">
              <w:rPr>
                <w:rFonts w:ascii="Calibri" w:eastAsia="Times New Roman" w:hAnsi="Calibri" w:cs="Calibri"/>
                <w:color w:val="000000"/>
                <w:sz w:val="24"/>
                <w:lang w:eastAsia="es-CR"/>
              </w:rPr>
              <w:t>Aumento de desigualdad y riesgo reputacional.</w:t>
            </w:r>
          </w:p>
        </w:tc>
        <w:tc>
          <w:tcPr>
            <w:tcW w:w="942" w:type="dxa"/>
            <w:tcBorders>
              <w:top w:val="nil"/>
              <w:left w:val="nil"/>
              <w:bottom w:val="single" w:sz="4" w:space="0" w:color="auto"/>
              <w:right w:val="single" w:sz="4" w:space="0" w:color="auto"/>
            </w:tcBorders>
            <w:noWrap/>
            <w:vAlign w:val="center"/>
            <w:hideMark/>
          </w:tcPr>
          <w:p w14:paraId="36C03866"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1995" w:type="dxa"/>
            <w:tcBorders>
              <w:top w:val="nil"/>
              <w:left w:val="nil"/>
              <w:bottom w:val="single" w:sz="4" w:space="0" w:color="auto"/>
              <w:right w:val="single" w:sz="4" w:space="0" w:color="auto"/>
            </w:tcBorders>
            <w:hideMark/>
          </w:tcPr>
          <w:p w14:paraId="0740853D"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Establecer consultas comunitarias y protocolos de respuesta ante impactos ambientales.</w:t>
            </w:r>
          </w:p>
        </w:tc>
        <w:tc>
          <w:tcPr>
            <w:tcW w:w="1140" w:type="dxa"/>
            <w:gridSpan w:val="3"/>
            <w:tcBorders>
              <w:top w:val="nil"/>
              <w:left w:val="nil"/>
              <w:bottom w:val="single" w:sz="4" w:space="0" w:color="auto"/>
              <w:right w:val="single" w:sz="4" w:space="0" w:color="auto"/>
            </w:tcBorders>
            <w:noWrap/>
            <w:vAlign w:val="center"/>
            <w:hideMark/>
          </w:tcPr>
          <w:p w14:paraId="51442304"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3E003096"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1</w:t>
            </w:r>
          </w:p>
        </w:tc>
        <w:tc>
          <w:tcPr>
            <w:tcW w:w="3351" w:type="dxa"/>
            <w:gridSpan w:val="2"/>
            <w:tcBorders>
              <w:top w:val="nil"/>
              <w:left w:val="nil"/>
              <w:bottom w:val="single" w:sz="4" w:space="0" w:color="auto"/>
              <w:right w:val="single" w:sz="4" w:space="0" w:color="auto"/>
            </w:tcBorders>
            <w:hideMark/>
          </w:tcPr>
          <w:p w14:paraId="2854C60E"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Reducción de conflictos y mayor aceptación social del proyecto.</w:t>
            </w:r>
          </w:p>
        </w:tc>
      </w:tr>
      <w:tr w:rsidR="00F212FE" w:rsidRPr="006358A3" w14:paraId="58044B4E" w14:textId="77777777" w:rsidTr="0055381F">
        <w:trPr>
          <w:gridAfter w:val="4"/>
          <w:wAfter w:w="2761" w:type="dxa"/>
          <w:trHeight w:val="1240"/>
        </w:trPr>
        <w:tc>
          <w:tcPr>
            <w:tcW w:w="1990" w:type="dxa"/>
            <w:vMerge w:val="restart"/>
            <w:tcBorders>
              <w:top w:val="single" w:sz="4" w:space="0" w:color="auto"/>
              <w:left w:val="single" w:sz="4" w:space="0" w:color="auto"/>
              <w:bottom w:val="single" w:sz="4" w:space="0" w:color="auto"/>
              <w:right w:val="single" w:sz="4" w:space="0" w:color="auto"/>
            </w:tcBorders>
            <w:shd w:val="clear" w:color="auto" w:fill="29B95C"/>
            <w:vAlign w:val="center"/>
            <w:hideMark/>
          </w:tcPr>
          <w:p w14:paraId="2213F819" w14:textId="77777777" w:rsidR="00F212FE" w:rsidRPr="006358A3" w:rsidRDefault="00F212FE" w:rsidP="0055381F">
            <w:pPr>
              <w:spacing w:line="240" w:lineRule="auto"/>
              <w:ind w:firstLine="0"/>
              <w:rPr>
                <w:rFonts w:ascii="Calibri" w:eastAsia="Times New Roman" w:hAnsi="Calibri" w:cs="Calibri"/>
                <w:color w:val="4A9F38"/>
                <w:sz w:val="24"/>
                <w:lang w:val="es-CR" w:eastAsia="es-CR"/>
              </w:rPr>
            </w:pPr>
            <w:r w:rsidRPr="006358A3">
              <w:rPr>
                <w:rFonts w:ascii="Calibri" w:eastAsia="Times New Roman" w:hAnsi="Calibri" w:cs="Calibri"/>
                <w:noProof/>
                <w:color w:val="000000"/>
                <w:sz w:val="24"/>
                <w:lang w:val="es-CR" w:eastAsia="es-CR"/>
              </w:rPr>
              <w:drawing>
                <wp:anchor distT="0" distB="0" distL="114300" distR="114300" simplePos="0" relativeHeight="251699200" behindDoc="0" locked="0" layoutInCell="1" allowOverlap="1" wp14:anchorId="5466B83C" wp14:editId="03B6A9A5">
                  <wp:simplePos x="0" y="0"/>
                  <wp:positionH relativeFrom="column">
                    <wp:posOffset>257175</wp:posOffset>
                  </wp:positionH>
                  <wp:positionV relativeFrom="paragraph">
                    <wp:posOffset>-136525</wp:posOffset>
                  </wp:positionV>
                  <wp:extent cx="812800" cy="908050"/>
                  <wp:effectExtent l="0" t="0" r="0" b="6350"/>
                  <wp:wrapNone/>
                  <wp:docPr id="227939001" name="Imagen 25">
                    <a:extLst xmlns:a="http://schemas.openxmlformats.org/drawingml/2006/main">
                      <a:ext uri="{FF2B5EF4-FFF2-40B4-BE49-F238E27FC236}">
                        <a16:creationId xmlns:a16="http://schemas.microsoft.com/office/drawing/2014/main" id="{00000000-0008-0000-0400-000033000000}"/>
                      </a:ext>
                    </a:extLst>
                  </wp:docPr>
                  <wp:cNvGraphicFramePr/>
                  <a:graphic xmlns:a="http://schemas.openxmlformats.org/drawingml/2006/main">
                    <a:graphicData uri="http://schemas.openxmlformats.org/drawingml/2006/picture">
                      <pic:pic xmlns:pic="http://schemas.openxmlformats.org/drawingml/2006/picture">
                        <pic:nvPicPr>
                          <pic:cNvPr id="51" name="Picture 50">
                            <a:extLst>
                              <a:ext uri="{FF2B5EF4-FFF2-40B4-BE49-F238E27FC236}">
                                <a16:creationId xmlns:a16="http://schemas.microsoft.com/office/drawing/2014/main" id="{00000000-0008-0000-0400-000033000000}"/>
                              </a:ext>
                            </a:extLst>
                          </pic:cNvPr>
                          <pic:cNvPicPr>
                            <a:picLocks noChangeAspect="1"/>
                          </pic:cNvPicPr>
                        </pic:nvPicPr>
                        <pic:blipFill>
                          <a:blip r:embed="rId65"/>
                          <a:stretch>
                            <a:fillRect/>
                          </a:stretch>
                        </pic:blipFill>
                        <pic:spPr>
                          <a:xfrm>
                            <a:off x="0" y="0"/>
                            <a:ext cx="812800" cy="908050"/>
                          </a:xfrm>
                          <a:prstGeom prst="rect">
                            <a:avLst/>
                          </a:prstGeom>
                        </pic:spPr>
                      </pic:pic>
                    </a:graphicData>
                  </a:graphic>
                  <wp14:sizeRelH relativeFrom="page">
                    <wp14:pctWidth>0</wp14:pctWidth>
                  </wp14:sizeRelH>
                  <wp14:sizeRelV relativeFrom="page">
                    <wp14:pctHeight>0</wp14:pctHeight>
                  </wp14:sizeRelV>
                </wp:anchor>
              </w:drawing>
            </w:r>
          </w:p>
        </w:tc>
        <w:tc>
          <w:tcPr>
            <w:tcW w:w="1979" w:type="dxa"/>
            <w:vMerge w:val="restart"/>
            <w:tcBorders>
              <w:top w:val="nil"/>
              <w:left w:val="single" w:sz="4" w:space="0" w:color="auto"/>
              <w:bottom w:val="single" w:sz="4" w:space="0" w:color="auto"/>
              <w:right w:val="single" w:sz="4" w:space="0" w:color="auto"/>
            </w:tcBorders>
            <w:shd w:val="clear" w:color="000000" w:fill="F2F2F2"/>
            <w:vAlign w:val="center"/>
            <w:hideMark/>
          </w:tcPr>
          <w:p w14:paraId="7321ADEC"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r w:rsidRPr="006358A3">
              <w:rPr>
                <w:rFonts w:ascii="Calibri" w:eastAsia="Times New Roman" w:hAnsi="Calibri" w:cs="Calibri"/>
                <w:color w:val="000000"/>
                <w:sz w:val="18"/>
                <w:szCs w:val="18"/>
                <w:lang w:val="es-CR" w:eastAsia="es-CR"/>
              </w:rPr>
              <w:t>Generación de residuos es la creación de cualquier exceso o materiales o subproductos innecesarios durante el proyecto. Esto incluye todo, desde suministros y materiales sobrantes hasta energía desperdiciada.</w:t>
            </w:r>
          </w:p>
        </w:tc>
        <w:tc>
          <w:tcPr>
            <w:tcW w:w="1667" w:type="dxa"/>
            <w:tcBorders>
              <w:top w:val="nil"/>
              <w:left w:val="nil"/>
              <w:bottom w:val="single" w:sz="4" w:space="0" w:color="auto"/>
              <w:right w:val="single" w:sz="4" w:space="0" w:color="auto"/>
            </w:tcBorders>
            <w:shd w:val="clear" w:color="000000" w:fill="F2F2F2"/>
            <w:noWrap/>
            <w:vAlign w:val="center"/>
            <w:hideMark/>
          </w:tcPr>
          <w:p w14:paraId="6E1A249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Vida Útil</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BFA26B1"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46AB47EA"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El exceso de materiales puede provocar saturación en áreas útiles o infraestructura no planificada.</w:t>
            </w:r>
          </w:p>
        </w:tc>
        <w:tc>
          <w:tcPr>
            <w:tcW w:w="2264" w:type="dxa"/>
            <w:gridSpan w:val="2"/>
            <w:tcBorders>
              <w:top w:val="nil"/>
              <w:left w:val="nil"/>
              <w:bottom w:val="single" w:sz="4" w:space="0" w:color="auto"/>
              <w:right w:val="single" w:sz="4" w:space="0" w:color="auto"/>
            </w:tcBorders>
            <w:hideMark/>
          </w:tcPr>
          <w:p w14:paraId="33F2C056"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3151C9">
              <w:rPr>
                <w:rFonts w:ascii="Calibri" w:eastAsia="Times New Roman" w:hAnsi="Calibri" w:cs="Calibri"/>
                <w:color w:val="000000"/>
                <w:sz w:val="24"/>
                <w:lang w:eastAsia="es-CR"/>
              </w:rPr>
              <w:t>Reducción del valor funcional del espacio construido.</w:t>
            </w:r>
          </w:p>
        </w:tc>
        <w:tc>
          <w:tcPr>
            <w:tcW w:w="942" w:type="dxa"/>
            <w:tcBorders>
              <w:top w:val="nil"/>
              <w:left w:val="nil"/>
              <w:bottom w:val="single" w:sz="4" w:space="0" w:color="auto"/>
              <w:right w:val="single" w:sz="4" w:space="0" w:color="auto"/>
            </w:tcBorders>
            <w:noWrap/>
            <w:vAlign w:val="center"/>
            <w:hideMark/>
          </w:tcPr>
          <w:p w14:paraId="02C98567"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080F71F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Diseñar especificaciones ajustadas al uso real y controlar los pedidos de materiales.</w:t>
            </w:r>
          </w:p>
        </w:tc>
        <w:tc>
          <w:tcPr>
            <w:tcW w:w="1140" w:type="dxa"/>
            <w:gridSpan w:val="3"/>
            <w:tcBorders>
              <w:top w:val="nil"/>
              <w:left w:val="nil"/>
              <w:bottom w:val="single" w:sz="4" w:space="0" w:color="auto"/>
              <w:right w:val="single" w:sz="4" w:space="0" w:color="auto"/>
            </w:tcBorders>
            <w:noWrap/>
            <w:vAlign w:val="center"/>
            <w:hideMark/>
          </w:tcPr>
          <w:p w14:paraId="53932D3A"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503AF283"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00765E1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Espacios más funcionales y vida útil optimizada.</w:t>
            </w:r>
          </w:p>
        </w:tc>
      </w:tr>
      <w:tr w:rsidR="00F212FE" w:rsidRPr="006358A3" w14:paraId="5846FE12" w14:textId="77777777" w:rsidTr="0055381F">
        <w:trPr>
          <w:gridAfter w:val="4"/>
          <w:wAfter w:w="2761" w:type="dxa"/>
          <w:trHeight w:val="1240"/>
        </w:trPr>
        <w:tc>
          <w:tcPr>
            <w:tcW w:w="1990" w:type="dxa"/>
            <w:vMerge/>
            <w:tcBorders>
              <w:top w:val="single" w:sz="4" w:space="0" w:color="auto"/>
              <w:left w:val="single" w:sz="4" w:space="0" w:color="auto"/>
              <w:bottom w:val="single" w:sz="4" w:space="0" w:color="auto"/>
              <w:right w:val="single" w:sz="4" w:space="0" w:color="auto"/>
            </w:tcBorders>
            <w:shd w:val="clear" w:color="auto" w:fill="29B95C"/>
            <w:vAlign w:val="center"/>
            <w:hideMark/>
          </w:tcPr>
          <w:p w14:paraId="37C9DCF5" w14:textId="77777777" w:rsidR="00F212FE" w:rsidRPr="006358A3" w:rsidRDefault="00F212FE" w:rsidP="0055381F">
            <w:pPr>
              <w:spacing w:line="240" w:lineRule="auto"/>
              <w:ind w:firstLine="0"/>
              <w:rPr>
                <w:rFonts w:ascii="Calibri" w:eastAsia="Times New Roman" w:hAnsi="Calibri" w:cs="Calibri"/>
                <w:color w:val="4A9F38"/>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562E7E57"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50B1B98E"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Mantenimiento</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D285048"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1E9CAFE0"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Materiales mal utilizados o sobrantes se acumulan sin control, afectando la operación.</w:t>
            </w:r>
          </w:p>
        </w:tc>
        <w:tc>
          <w:tcPr>
            <w:tcW w:w="2264" w:type="dxa"/>
            <w:gridSpan w:val="2"/>
            <w:tcBorders>
              <w:top w:val="nil"/>
              <w:left w:val="nil"/>
              <w:bottom w:val="single" w:sz="4" w:space="0" w:color="auto"/>
              <w:right w:val="single" w:sz="4" w:space="0" w:color="auto"/>
            </w:tcBorders>
            <w:hideMark/>
          </w:tcPr>
          <w:p w14:paraId="7C13F66B"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3151C9">
              <w:rPr>
                <w:rFonts w:ascii="Calibri" w:eastAsia="Times New Roman" w:hAnsi="Calibri" w:cs="Calibri"/>
                <w:color w:val="000000"/>
                <w:sz w:val="24"/>
                <w:lang w:eastAsia="es-CR"/>
              </w:rPr>
              <w:t>Costos adicionales por gestión de residuos.</w:t>
            </w:r>
          </w:p>
        </w:tc>
        <w:tc>
          <w:tcPr>
            <w:tcW w:w="942" w:type="dxa"/>
            <w:tcBorders>
              <w:top w:val="nil"/>
              <w:left w:val="nil"/>
              <w:bottom w:val="single" w:sz="4" w:space="0" w:color="auto"/>
              <w:right w:val="single" w:sz="4" w:space="0" w:color="auto"/>
            </w:tcBorders>
            <w:noWrap/>
            <w:vAlign w:val="center"/>
            <w:hideMark/>
          </w:tcPr>
          <w:p w14:paraId="24E1631B"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75A3BC93"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Implementar un plan de segregación y reutilización desde obra.</w:t>
            </w:r>
          </w:p>
        </w:tc>
        <w:tc>
          <w:tcPr>
            <w:tcW w:w="1140" w:type="dxa"/>
            <w:gridSpan w:val="3"/>
            <w:tcBorders>
              <w:top w:val="nil"/>
              <w:left w:val="nil"/>
              <w:bottom w:val="single" w:sz="4" w:space="0" w:color="auto"/>
              <w:right w:val="single" w:sz="4" w:space="0" w:color="auto"/>
            </w:tcBorders>
            <w:noWrap/>
            <w:vAlign w:val="center"/>
            <w:hideMark/>
          </w:tcPr>
          <w:p w14:paraId="25865554"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2D845028"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4803E3CD"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Menor acumulación de desechos y mejor control operativo.</w:t>
            </w:r>
          </w:p>
        </w:tc>
      </w:tr>
      <w:tr w:rsidR="00F212FE" w:rsidRPr="006358A3" w14:paraId="6DC1A9C1" w14:textId="77777777" w:rsidTr="0055381F">
        <w:trPr>
          <w:gridAfter w:val="4"/>
          <w:wAfter w:w="2761" w:type="dxa"/>
          <w:trHeight w:val="1240"/>
        </w:trPr>
        <w:tc>
          <w:tcPr>
            <w:tcW w:w="1990" w:type="dxa"/>
            <w:vMerge/>
            <w:tcBorders>
              <w:top w:val="single" w:sz="4" w:space="0" w:color="auto"/>
              <w:left w:val="single" w:sz="4" w:space="0" w:color="auto"/>
              <w:bottom w:val="single" w:sz="4" w:space="0" w:color="auto"/>
              <w:right w:val="single" w:sz="4" w:space="0" w:color="auto"/>
            </w:tcBorders>
            <w:shd w:val="clear" w:color="auto" w:fill="29B95C"/>
            <w:vAlign w:val="center"/>
            <w:hideMark/>
          </w:tcPr>
          <w:p w14:paraId="368DE722" w14:textId="77777777" w:rsidR="00F212FE" w:rsidRPr="006358A3" w:rsidRDefault="00F212FE" w:rsidP="0055381F">
            <w:pPr>
              <w:spacing w:line="240" w:lineRule="auto"/>
              <w:ind w:firstLine="0"/>
              <w:rPr>
                <w:rFonts w:ascii="Calibri" w:eastAsia="Times New Roman" w:hAnsi="Calibri" w:cs="Calibri"/>
                <w:color w:val="4A9F38"/>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7CE8E115"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0D0FEBC0"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Eficacia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6D3E7D0"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7A70DFD7"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El desperdicio genera sobrecostos que limitan los recursos disponibles para mejoras sostenibles.</w:t>
            </w:r>
          </w:p>
        </w:tc>
        <w:tc>
          <w:tcPr>
            <w:tcW w:w="2264" w:type="dxa"/>
            <w:gridSpan w:val="2"/>
            <w:tcBorders>
              <w:top w:val="nil"/>
              <w:left w:val="nil"/>
              <w:bottom w:val="single" w:sz="4" w:space="0" w:color="auto"/>
              <w:right w:val="single" w:sz="4" w:space="0" w:color="auto"/>
            </w:tcBorders>
            <w:hideMark/>
          </w:tcPr>
          <w:p w14:paraId="57482DAB"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3151C9">
              <w:rPr>
                <w:rFonts w:ascii="Calibri" w:eastAsia="Times New Roman" w:hAnsi="Calibri" w:cs="Calibri"/>
                <w:color w:val="000000"/>
                <w:sz w:val="24"/>
                <w:lang w:eastAsia="es-CR"/>
              </w:rPr>
              <w:t>Baja inversión en calidad o innovación.</w:t>
            </w:r>
          </w:p>
        </w:tc>
        <w:tc>
          <w:tcPr>
            <w:tcW w:w="942" w:type="dxa"/>
            <w:tcBorders>
              <w:top w:val="nil"/>
              <w:left w:val="nil"/>
              <w:bottom w:val="single" w:sz="4" w:space="0" w:color="auto"/>
              <w:right w:val="single" w:sz="4" w:space="0" w:color="auto"/>
            </w:tcBorders>
            <w:noWrap/>
            <w:vAlign w:val="center"/>
            <w:hideMark/>
          </w:tcPr>
          <w:p w14:paraId="070CEEFD"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3</w:t>
            </w:r>
          </w:p>
        </w:tc>
        <w:tc>
          <w:tcPr>
            <w:tcW w:w="1995" w:type="dxa"/>
            <w:tcBorders>
              <w:top w:val="nil"/>
              <w:left w:val="nil"/>
              <w:bottom w:val="single" w:sz="4" w:space="0" w:color="auto"/>
              <w:right w:val="single" w:sz="4" w:space="0" w:color="auto"/>
            </w:tcBorders>
            <w:hideMark/>
          </w:tcPr>
          <w:p w14:paraId="163908AD"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Crear un sistema de medición de eficiencia en uso de insumos y su trazabilidad.</w:t>
            </w:r>
          </w:p>
        </w:tc>
        <w:tc>
          <w:tcPr>
            <w:tcW w:w="1140" w:type="dxa"/>
            <w:gridSpan w:val="3"/>
            <w:tcBorders>
              <w:top w:val="nil"/>
              <w:left w:val="nil"/>
              <w:bottom w:val="single" w:sz="4" w:space="0" w:color="auto"/>
              <w:right w:val="single" w:sz="4" w:space="0" w:color="auto"/>
            </w:tcBorders>
            <w:noWrap/>
            <w:vAlign w:val="center"/>
            <w:hideMark/>
          </w:tcPr>
          <w:p w14:paraId="250E8122"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5</w:t>
            </w:r>
          </w:p>
        </w:tc>
        <w:tc>
          <w:tcPr>
            <w:tcW w:w="883" w:type="dxa"/>
            <w:tcBorders>
              <w:top w:val="nil"/>
              <w:left w:val="nil"/>
              <w:bottom w:val="single" w:sz="4" w:space="0" w:color="auto"/>
              <w:right w:val="single" w:sz="4" w:space="0" w:color="auto"/>
            </w:tcBorders>
            <w:noWrap/>
            <w:vAlign w:val="center"/>
            <w:hideMark/>
          </w:tcPr>
          <w:p w14:paraId="387CB63E"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2368278A"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Mejor uso de recursos y enfoque en desempeño.</w:t>
            </w:r>
          </w:p>
        </w:tc>
      </w:tr>
      <w:tr w:rsidR="00F212FE" w:rsidRPr="006358A3" w14:paraId="442E758E" w14:textId="77777777" w:rsidTr="0055381F">
        <w:trPr>
          <w:gridAfter w:val="4"/>
          <w:wAfter w:w="2761" w:type="dxa"/>
          <w:trHeight w:val="1240"/>
        </w:trPr>
        <w:tc>
          <w:tcPr>
            <w:tcW w:w="1990" w:type="dxa"/>
            <w:vMerge/>
            <w:tcBorders>
              <w:top w:val="single" w:sz="4" w:space="0" w:color="auto"/>
              <w:left w:val="single" w:sz="4" w:space="0" w:color="auto"/>
              <w:bottom w:val="single" w:sz="4" w:space="0" w:color="auto"/>
              <w:right w:val="single" w:sz="4" w:space="0" w:color="auto"/>
            </w:tcBorders>
            <w:shd w:val="clear" w:color="auto" w:fill="29B95C"/>
            <w:vAlign w:val="center"/>
            <w:hideMark/>
          </w:tcPr>
          <w:p w14:paraId="399A3C09" w14:textId="77777777" w:rsidR="00F212FE" w:rsidRPr="006358A3" w:rsidRDefault="00F212FE" w:rsidP="0055381F">
            <w:pPr>
              <w:spacing w:line="240" w:lineRule="auto"/>
              <w:ind w:firstLine="0"/>
              <w:rPr>
                <w:rFonts w:ascii="Calibri" w:eastAsia="Times New Roman" w:hAnsi="Calibri" w:cs="Calibri"/>
                <w:color w:val="4A9F38"/>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6CFE06E6"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685B996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Eficiencia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D188AA4"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518B6BFA"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La mala planificación provoca compras duplicadas, sobrantes o entregas mal gestionadas.</w:t>
            </w:r>
          </w:p>
        </w:tc>
        <w:tc>
          <w:tcPr>
            <w:tcW w:w="2264" w:type="dxa"/>
            <w:gridSpan w:val="2"/>
            <w:tcBorders>
              <w:top w:val="nil"/>
              <w:left w:val="nil"/>
              <w:bottom w:val="single" w:sz="4" w:space="0" w:color="auto"/>
              <w:right w:val="single" w:sz="4" w:space="0" w:color="auto"/>
            </w:tcBorders>
            <w:hideMark/>
          </w:tcPr>
          <w:p w14:paraId="6CBA2AB6"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3151C9">
              <w:rPr>
                <w:rFonts w:ascii="Calibri" w:eastAsia="Times New Roman" w:hAnsi="Calibri" w:cs="Calibri"/>
                <w:color w:val="000000"/>
                <w:sz w:val="24"/>
                <w:lang w:eastAsia="es-CR"/>
              </w:rPr>
              <w:t>Aumento del consumo innecesario de materiales y energía.</w:t>
            </w:r>
          </w:p>
        </w:tc>
        <w:tc>
          <w:tcPr>
            <w:tcW w:w="942" w:type="dxa"/>
            <w:tcBorders>
              <w:top w:val="nil"/>
              <w:left w:val="nil"/>
              <w:bottom w:val="single" w:sz="4" w:space="0" w:color="auto"/>
              <w:right w:val="single" w:sz="4" w:space="0" w:color="auto"/>
            </w:tcBorders>
            <w:noWrap/>
            <w:vAlign w:val="center"/>
            <w:hideMark/>
          </w:tcPr>
          <w:p w14:paraId="3D05809A"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172370C9"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Integrar una herramienta digital de control de inventario en tiempo real.</w:t>
            </w:r>
          </w:p>
        </w:tc>
        <w:tc>
          <w:tcPr>
            <w:tcW w:w="1140" w:type="dxa"/>
            <w:gridSpan w:val="3"/>
            <w:tcBorders>
              <w:top w:val="nil"/>
              <w:left w:val="nil"/>
              <w:bottom w:val="single" w:sz="4" w:space="0" w:color="auto"/>
              <w:right w:val="single" w:sz="4" w:space="0" w:color="auto"/>
            </w:tcBorders>
            <w:noWrap/>
            <w:vAlign w:val="center"/>
            <w:hideMark/>
          </w:tcPr>
          <w:p w14:paraId="45AA8485"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39AAB051"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643AF0A2"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Procesos más ágiles, menor desperdicio.</w:t>
            </w:r>
          </w:p>
        </w:tc>
      </w:tr>
      <w:tr w:rsidR="00F212FE" w:rsidRPr="006358A3" w14:paraId="11007647" w14:textId="77777777" w:rsidTr="0055381F">
        <w:trPr>
          <w:gridAfter w:val="4"/>
          <w:wAfter w:w="2761" w:type="dxa"/>
          <w:trHeight w:val="1550"/>
        </w:trPr>
        <w:tc>
          <w:tcPr>
            <w:tcW w:w="1990" w:type="dxa"/>
            <w:vMerge/>
            <w:tcBorders>
              <w:top w:val="single" w:sz="4" w:space="0" w:color="auto"/>
              <w:left w:val="single" w:sz="4" w:space="0" w:color="auto"/>
              <w:bottom w:val="single" w:sz="4" w:space="0" w:color="auto"/>
              <w:right w:val="single" w:sz="4" w:space="0" w:color="auto"/>
            </w:tcBorders>
            <w:shd w:val="clear" w:color="auto" w:fill="29B95C"/>
            <w:vAlign w:val="center"/>
            <w:hideMark/>
          </w:tcPr>
          <w:p w14:paraId="4560A858" w14:textId="77777777" w:rsidR="00F212FE" w:rsidRPr="006358A3" w:rsidRDefault="00F212FE" w:rsidP="0055381F">
            <w:pPr>
              <w:spacing w:line="240" w:lineRule="auto"/>
              <w:ind w:firstLine="0"/>
              <w:rPr>
                <w:rFonts w:ascii="Calibri" w:eastAsia="Times New Roman" w:hAnsi="Calibri" w:cs="Calibri"/>
                <w:color w:val="4A9F38"/>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2827170E" w14:textId="77777777" w:rsidR="00F212FE" w:rsidRPr="006358A3"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7EAC3AD1"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Imparcialidad</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0594FC0"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Yes</w:t>
            </w:r>
          </w:p>
        </w:tc>
        <w:tc>
          <w:tcPr>
            <w:tcW w:w="2555" w:type="dxa"/>
            <w:tcBorders>
              <w:top w:val="nil"/>
              <w:left w:val="nil"/>
              <w:bottom w:val="single" w:sz="4" w:space="0" w:color="auto"/>
              <w:right w:val="single" w:sz="4" w:space="0" w:color="auto"/>
            </w:tcBorders>
            <w:hideMark/>
          </w:tcPr>
          <w:p w14:paraId="6D553AE9"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La mala gestión de residuos puede afectar de forma desigual a comunidades cercanas o personal operativo.</w:t>
            </w:r>
          </w:p>
        </w:tc>
        <w:tc>
          <w:tcPr>
            <w:tcW w:w="2264" w:type="dxa"/>
            <w:gridSpan w:val="2"/>
            <w:tcBorders>
              <w:top w:val="nil"/>
              <w:left w:val="nil"/>
              <w:bottom w:val="single" w:sz="4" w:space="0" w:color="auto"/>
              <w:right w:val="single" w:sz="4" w:space="0" w:color="auto"/>
            </w:tcBorders>
            <w:hideMark/>
          </w:tcPr>
          <w:p w14:paraId="79C1E564"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w:t>
            </w:r>
            <w:r w:rsidRPr="003151C9">
              <w:rPr>
                <w:rFonts w:ascii="Calibri" w:eastAsia="Times New Roman" w:hAnsi="Calibri" w:cs="Calibri"/>
                <w:color w:val="000000"/>
                <w:sz w:val="24"/>
                <w:lang w:eastAsia="es-CR"/>
              </w:rPr>
              <w:t>Riesgos de salud y deterioro ambiental en zonas vulnerables.</w:t>
            </w:r>
          </w:p>
        </w:tc>
        <w:tc>
          <w:tcPr>
            <w:tcW w:w="942" w:type="dxa"/>
            <w:tcBorders>
              <w:top w:val="nil"/>
              <w:left w:val="nil"/>
              <w:bottom w:val="single" w:sz="4" w:space="0" w:color="auto"/>
              <w:right w:val="single" w:sz="4" w:space="0" w:color="auto"/>
            </w:tcBorders>
            <w:noWrap/>
            <w:vAlign w:val="center"/>
            <w:hideMark/>
          </w:tcPr>
          <w:p w14:paraId="1E8A2B23"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1995" w:type="dxa"/>
            <w:tcBorders>
              <w:top w:val="nil"/>
              <w:left w:val="nil"/>
              <w:bottom w:val="single" w:sz="4" w:space="0" w:color="auto"/>
              <w:right w:val="single" w:sz="4" w:space="0" w:color="auto"/>
            </w:tcBorders>
            <w:hideMark/>
          </w:tcPr>
          <w:p w14:paraId="35A5904B"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 xml:space="preserve"> Garantizar prácticas de eliminación seguras e igualitarias, con supervisión externa.</w:t>
            </w:r>
          </w:p>
        </w:tc>
        <w:tc>
          <w:tcPr>
            <w:tcW w:w="1140" w:type="dxa"/>
            <w:gridSpan w:val="3"/>
            <w:tcBorders>
              <w:top w:val="nil"/>
              <w:left w:val="nil"/>
              <w:bottom w:val="single" w:sz="4" w:space="0" w:color="auto"/>
              <w:right w:val="single" w:sz="4" w:space="0" w:color="auto"/>
            </w:tcBorders>
            <w:noWrap/>
            <w:vAlign w:val="center"/>
            <w:hideMark/>
          </w:tcPr>
          <w:p w14:paraId="2B9D5807"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4</w:t>
            </w:r>
          </w:p>
        </w:tc>
        <w:tc>
          <w:tcPr>
            <w:tcW w:w="883" w:type="dxa"/>
            <w:tcBorders>
              <w:top w:val="nil"/>
              <w:left w:val="nil"/>
              <w:bottom w:val="single" w:sz="4" w:space="0" w:color="auto"/>
              <w:right w:val="single" w:sz="4" w:space="0" w:color="auto"/>
            </w:tcBorders>
            <w:noWrap/>
            <w:vAlign w:val="center"/>
            <w:hideMark/>
          </w:tcPr>
          <w:p w14:paraId="4E46C2A8" w14:textId="77777777" w:rsidR="00F212FE" w:rsidRPr="006358A3" w:rsidRDefault="00F212FE" w:rsidP="0055381F">
            <w:pPr>
              <w:spacing w:line="240" w:lineRule="auto"/>
              <w:ind w:firstLine="0"/>
              <w:jc w:val="center"/>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2</w:t>
            </w:r>
          </w:p>
        </w:tc>
        <w:tc>
          <w:tcPr>
            <w:tcW w:w="3351" w:type="dxa"/>
            <w:gridSpan w:val="2"/>
            <w:tcBorders>
              <w:top w:val="nil"/>
              <w:left w:val="nil"/>
              <w:bottom w:val="single" w:sz="4" w:space="0" w:color="auto"/>
              <w:right w:val="single" w:sz="4" w:space="0" w:color="auto"/>
            </w:tcBorders>
            <w:hideMark/>
          </w:tcPr>
          <w:p w14:paraId="0BA69721" w14:textId="77777777" w:rsidR="00F212FE" w:rsidRPr="006358A3" w:rsidRDefault="00F212FE" w:rsidP="0055381F">
            <w:pPr>
              <w:spacing w:line="240" w:lineRule="auto"/>
              <w:ind w:firstLine="0"/>
              <w:rPr>
                <w:rFonts w:ascii="Calibri" w:eastAsia="Times New Roman" w:hAnsi="Calibri" w:cs="Calibri"/>
                <w:color w:val="000000"/>
                <w:sz w:val="24"/>
                <w:lang w:val="es-CR" w:eastAsia="es-CR"/>
              </w:rPr>
            </w:pPr>
            <w:r w:rsidRPr="006358A3">
              <w:rPr>
                <w:rFonts w:ascii="Calibri" w:eastAsia="Times New Roman" w:hAnsi="Calibri" w:cs="Calibri"/>
                <w:color w:val="000000"/>
                <w:sz w:val="24"/>
                <w:lang w:val="es-CR" w:eastAsia="es-CR"/>
              </w:rPr>
              <w:t>Mejora en percepción social y condiciones equitativas de salud ambiental.</w:t>
            </w:r>
          </w:p>
        </w:tc>
      </w:tr>
      <w:tr w:rsidR="00F212FE" w:rsidRPr="00E90338" w14:paraId="2472042E" w14:textId="77777777" w:rsidTr="0055381F">
        <w:trPr>
          <w:trHeight w:val="310"/>
        </w:trPr>
        <w:tc>
          <w:tcPr>
            <w:tcW w:w="22979" w:type="dxa"/>
            <w:gridSpan w:val="19"/>
            <w:tcBorders>
              <w:top w:val="nil"/>
              <w:left w:val="nil"/>
              <w:bottom w:val="single" w:sz="4" w:space="0" w:color="auto"/>
              <w:right w:val="nil"/>
            </w:tcBorders>
            <w:shd w:val="clear" w:color="000000" w:fill="175478"/>
            <w:noWrap/>
            <w:vAlign w:val="center"/>
            <w:hideMark/>
          </w:tcPr>
          <w:p w14:paraId="59C6387D" w14:textId="77777777" w:rsidR="00F212FE" w:rsidRPr="00E90338" w:rsidRDefault="00F212FE" w:rsidP="0055381F">
            <w:pPr>
              <w:spacing w:line="240" w:lineRule="auto"/>
              <w:ind w:firstLine="0"/>
              <w:rPr>
                <w:rFonts w:ascii="Calibri" w:eastAsia="Times New Roman" w:hAnsi="Calibri" w:cs="Calibri"/>
                <w:color w:val="FFFFFF"/>
                <w:sz w:val="24"/>
                <w:lang w:val="es-CR" w:eastAsia="es-CR"/>
              </w:rPr>
            </w:pPr>
            <w:r w:rsidRPr="00E90338">
              <w:rPr>
                <w:rFonts w:ascii="Calibri" w:eastAsia="Times New Roman" w:hAnsi="Calibri" w:cs="Calibri"/>
                <w:color w:val="FFFFFF"/>
                <w:sz w:val="24"/>
                <w:lang w:val="es-CR" w:eastAsia="es-CR"/>
              </w:rPr>
              <w:t>Impactos a la Prosperidad</w:t>
            </w:r>
          </w:p>
        </w:tc>
      </w:tr>
      <w:tr w:rsidR="00F212FE" w:rsidRPr="00E90338" w14:paraId="69E86F66" w14:textId="77777777" w:rsidTr="0055381F">
        <w:trPr>
          <w:gridAfter w:val="1"/>
          <w:wAfter w:w="38" w:type="dxa"/>
          <w:trHeight w:val="320"/>
        </w:trPr>
        <w:tc>
          <w:tcPr>
            <w:tcW w:w="1990" w:type="dxa"/>
            <w:tcBorders>
              <w:top w:val="nil"/>
              <w:left w:val="single" w:sz="4" w:space="0" w:color="auto"/>
              <w:bottom w:val="single" w:sz="4" w:space="0" w:color="auto"/>
              <w:right w:val="single" w:sz="4" w:space="0" w:color="auto"/>
            </w:tcBorders>
            <w:shd w:val="clear" w:color="000000" w:fill="4CA7DA"/>
            <w:noWrap/>
            <w:vAlign w:val="bottom"/>
            <w:hideMark/>
          </w:tcPr>
          <w:p w14:paraId="45171A59"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Categoría</w:t>
            </w:r>
          </w:p>
        </w:tc>
        <w:tc>
          <w:tcPr>
            <w:tcW w:w="1979" w:type="dxa"/>
            <w:tcBorders>
              <w:top w:val="nil"/>
              <w:left w:val="nil"/>
              <w:bottom w:val="single" w:sz="4" w:space="0" w:color="auto"/>
              <w:right w:val="nil"/>
            </w:tcBorders>
            <w:shd w:val="clear" w:color="000000" w:fill="4CA7DA"/>
            <w:noWrap/>
            <w:vAlign w:val="center"/>
            <w:hideMark/>
          </w:tcPr>
          <w:p w14:paraId="225AA6AB"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Factibilidad del Proyecto</w:t>
            </w:r>
          </w:p>
        </w:tc>
        <w:tc>
          <w:tcPr>
            <w:tcW w:w="1667" w:type="dxa"/>
            <w:vMerge w:val="restart"/>
            <w:tcBorders>
              <w:top w:val="nil"/>
              <w:left w:val="single" w:sz="4" w:space="0" w:color="auto"/>
              <w:bottom w:val="single" w:sz="4" w:space="0" w:color="000000"/>
              <w:right w:val="single" w:sz="4" w:space="0" w:color="auto"/>
            </w:tcBorders>
            <w:shd w:val="clear" w:color="000000" w:fill="4CA7DA"/>
            <w:noWrap/>
            <w:vAlign w:val="center"/>
            <w:hideMark/>
          </w:tcPr>
          <w:p w14:paraId="0AB8BBE6"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Lente</w:t>
            </w:r>
          </w:p>
        </w:tc>
        <w:tc>
          <w:tcPr>
            <w:tcW w:w="1452" w:type="dxa"/>
            <w:vMerge w:val="restart"/>
            <w:tcBorders>
              <w:top w:val="nil"/>
              <w:left w:val="single" w:sz="4" w:space="0" w:color="auto"/>
              <w:bottom w:val="single" w:sz="4" w:space="0" w:color="000000"/>
              <w:right w:val="single" w:sz="4" w:space="0" w:color="auto"/>
            </w:tcBorders>
            <w:shd w:val="clear" w:color="000000" w:fill="4CA7DA"/>
            <w:noWrap/>
            <w:vAlign w:val="center"/>
            <w:hideMark/>
          </w:tcPr>
          <w:p w14:paraId="6C0D2EDC"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¿Calificado?</w:t>
            </w:r>
          </w:p>
        </w:tc>
        <w:tc>
          <w:tcPr>
            <w:tcW w:w="2681" w:type="dxa"/>
            <w:gridSpan w:val="2"/>
            <w:vMerge w:val="restart"/>
            <w:tcBorders>
              <w:top w:val="nil"/>
              <w:left w:val="single" w:sz="4" w:space="0" w:color="auto"/>
              <w:bottom w:val="single" w:sz="4" w:space="0" w:color="000000"/>
              <w:right w:val="single" w:sz="4" w:space="0" w:color="auto"/>
            </w:tcBorders>
            <w:shd w:val="clear" w:color="000000" w:fill="4CA7DA"/>
            <w:vAlign w:val="center"/>
            <w:hideMark/>
          </w:tcPr>
          <w:p w14:paraId="50CB92A0"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Descripción (Causa)</w:t>
            </w:r>
          </w:p>
        </w:tc>
        <w:tc>
          <w:tcPr>
            <w:tcW w:w="2138" w:type="dxa"/>
            <w:vMerge w:val="restart"/>
            <w:tcBorders>
              <w:top w:val="nil"/>
              <w:left w:val="single" w:sz="4" w:space="0" w:color="auto"/>
              <w:bottom w:val="single" w:sz="4" w:space="0" w:color="000000"/>
              <w:right w:val="single" w:sz="4" w:space="0" w:color="auto"/>
            </w:tcBorders>
            <w:shd w:val="clear" w:color="000000" w:fill="4CA7DA"/>
            <w:vAlign w:val="center"/>
            <w:hideMark/>
          </w:tcPr>
          <w:p w14:paraId="2CC4E2C3"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Impacto Potencial en la Sostenibilidad</w:t>
            </w:r>
          </w:p>
        </w:tc>
        <w:tc>
          <w:tcPr>
            <w:tcW w:w="2953" w:type="dxa"/>
            <w:gridSpan w:val="3"/>
            <w:vMerge w:val="restart"/>
            <w:tcBorders>
              <w:top w:val="nil"/>
              <w:left w:val="single" w:sz="4" w:space="0" w:color="auto"/>
              <w:bottom w:val="single" w:sz="4" w:space="0" w:color="000000"/>
              <w:right w:val="single" w:sz="4" w:space="0" w:color="auto"/>
            </w:tcBorders>
            <w:shd w:val="clear" w:color="000000" w:fill="4CA7DA"/>
            <w:vAlign w:val="center"/>
            <w:hideMark/>
          </w:tcPr>
          <w:p w14:paraId="183C1621"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 xml:space="preserve">Puntaje Inicial del Impacto (Antes)  </w:t>
            </w:r>
          </w:p>
        </w:tc>
        <w:tc>
          <w:tcPr>
            <w:tcW w:w="3817" w:type="dxa"/>
            <w:gridSpan w:val="4"/>
            <w:vMerge w:val="restart"/>
            <w:tcBorders>
              <w:top w:val="nil"/>
              <w:left w:val="single" w:sz="4" w:space="0" w:color="auto"/>
              <w:bottom w:val="single" w:sz="4" w:space="0" w:color="000000"/>
              <w:right w:val="single" w:sz="4" w:space="0" w:color="auto"/>
            </w:tcBorders>
            <w:shd w:val="clear" w:color="000000" w:fill="4CA7DA"/>
            <w:vAlign w:val="center"/>
            <w:hideMark/>
          </w:tcPr>
          <w:p w14:paraId="5429A7CF"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Respuesta Propuesta</w:t>
            </w:r>
          </w:p>
        </w:tc>
        <w:tc>
          <w:tcPr>
            <w:tcW w:w="1590" w:type="dxa"/>
            <w:gridSpan w:val="2"/>
            <w:vMerge w:val="restart"/>
            <w:tcBorders>
              <w:top w:val="nil"/>
              <w:left w:val="single" w:sz="4" w:space="0" w:color="auto"/>
              <w:bottom w:val="single" w:sz="4" w:space="0" w:color="000000"/>
              <w:right w:val="single" w:sz="4" w:space="0" w:color="auto"/>
            </w:tcBorders>
            <w:shd w:val="clear" w:color="000000" w:fill="4CA7DA"/>
            <w:vAlign w:val="center"/>
            <w:hideMark/>
          </w:tcPr>
          <w:p w14:paraId="5D179666"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Nuevo Puntaje del Impacto (Después)</w:t>
            </w:r>
          </w:p>
        </w:tc>
        <w:tc>
          <w:tcPr>
            <w:tcW w:w="975" w:type="dxa"/>
            <w:vMerge w:val="restart"/>
            <w:tcBorders>
              <w:top w:val="nil"/>
              <w:left w:val="single" w:sz="4" w:space="0" w:color="auto"/>
              <w:bottom w:val="single" w:sz="4" w:space="0" w:color="000000"/>
              <w:right w:val="single" w:sz="4" w:space="0" w:color="auto"/>
            </w:tcBorders>
            <w:shd w:val="clear" w:color="000000" w:fill="4CA7DA"/>
            <w:noWrap/>
            <w:vAlign w:val="center"/>
            <w:hideMark/>
          </w:tcPr>
          <w:p w14:paraId="6CF1BDF7"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Cambio</w:t>
            </w:r>
          </w:p>
        </w:tc>
        <w:tc>
          <w:tcPr>
            <w:tcW w:w="1699" w:type="dxa"/>
            <w:vMerge w:val="restart"/>
            <w:tcBorders>
              <w:top w:val="nil"/>
              <w:left w:val="single" w:sz="4" w:space="0" w:color="auto"/>
              <w:bottom w:val="single" w:sz="4" w:space="0" w:color="000000"/>
              <w:right w:val="single" w:sz="4" w:space="0" w:color="auto"/>
            </w:tcBorders>
            <w:shd w:val="clear" w:color="000000" w:fill="4CA7DA"/>
            <w:vAlign w:val="center"/>
            <w:hideMark/>
          </w:tcPr>
          <w:p w14:paraId="111190B0" w14:textId="77777777" w:rsidR="00F212FE" w:rsidRPr="00E90338" w:rsidRDefault="00F212FE" w:rsidP="0055381F">
            <w:pPr>
              <w:spacing w:line="240" w:lineRule="auto"/>
              <w:ind w:right="114"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Resultado</w:t>
            </w:r>
          </w:p>
        </w:tc>
      </w:tr>
      <w:tr w:rsidR="00F212FE" w:rsidRPr="00E90338" w14:paraId="6B932675" w14:textId="77777777" w:rsidTr="0055381F">
        <w:trPr>
          <w:gridAfter w:val="1"/>
          <w:wAfter w:w="38" w:type="dxa"/>
          <w:trHeight w:val="310"/>
        </w:trPr>
        <w:tc>
          <w:tcPr>
            <w:tcW w:w="1990" w:type="dxa"/>
            <w:tcBorders>
              <w:top w:val="nil"/>
              <w:left w:val="single" w:sz="4" w:space="0" w:color="auto"/>
              <w:bottom w:val="single" w:sz="4" w:space="0" w:color="auto"/>
              <w:right w:val="single" w:sz="4" w:space="0" w:color="auto"/>
            </w:tcBorders>
            <w:shd w:val="clear" w:color="000000" w:fill="C3E2F3"/>
            <w:noWrap/>
            <w:vAlign w:val="bottom"/>
            <w:hideMark/>
          </w:tcPr>
          <w:p w14:paraId="1506967E"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Elemento</w:t>
            </w:r>
          </w:p>
        </w:tc>
        <w:tc>
          <w:tcPr>
            <w:tcW w:w="1979" w:type="dxa"/>
            <w:tcBorders>
              <w:top w:val="nil"/>
              <w:left w:val="nil"/>
              <w:bottom w:val="single" w:sz="4" w:space="0" w:color="auto"/>
              <w:right w:val="single" w:sz="4" w:space="0" w:color="auto"/>
            </w:tcBorders>
            <w:shd w:val="clear" w:color="000000" w:fill="C3E2F3"/>
            <w:noWrap/>
            <w:vAlign w:val="center"/>
            <w:hideMark/>
          </w:tcPr>
          <w:p w14:paraId="38C80B9B"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Descripción</w:t>
            </w:r>
          </w:p>
        </w:tc>
        <w:tc>
          <w:tcPr>
            <w:tcW w:w="1667" w:type="dxa"/>
            <w:vMerge/>
            <w:tcBorders>
              <w:top w:val="nil"/>
              <w:left w:val="single" w:sz="4" w:space="0" w:color="auto"/>
              <w:bottom w:val="single" w:sz="4" w:space="0" w:color="000000"/>
              <w:right w:val="single" w:sz="4" w:space="0" w:color="auto"/>
            </w:tcBorders>
            <w:vAlign w:val="center"/>
            <w:hideMark/>
          </w:tcPr>
          <w:p w14:paraId="6D721D1C"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452" w:type="dxa"/>
            <w:vMerge/>
            <w:tcBorders>
              <w:top w:val="nil"/>
              <w:left w:val="single" w:sz="4" w:space="0" w:color="auto"/>
              <w:bottom w:val="single" w:sz="4" w:space="0" w:color="000000"/>
              <w:right w:val="single" w:sz="4" w:space="0" w:color="auto"/>
            </w:tcBorders>
            <w:vAlign w:val="center"/>
            <w:hideMark/>
          </w:tcPr>
          <w:p w14:paraId="4DD3B947"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2681" w:type="dxa"/>
            <w:gridSpan w:val="2"/>
            <w:vMerge/>
            <w:tcBorders>
              <w:top w:val="nil"/>
              <w:left w:val="single" w:sz="4" w:space="0" w:color="auto"/>
              <w:bottom w:val="single" w:sz="4" w:space="0" w:color="000000"/>
              <w:right w:val="single" w:sz="4" w:space="0" w:color="auto"/>
            </w:tcBorders>
            <w:vAlign w:val="center"/>
            <w:hideMark/>
          </w:tcPr>
          <w:p w14:paraId="4E77A73E"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2138" w:type="dxa"/>
            <w:vMerge/>
            <w:tcBorders>
              <w:top w:val="nil"/>
              <w:left w:val="single" w:sz="4" w:space="0" w:color="auto"/>
              <w:bottom w:val="single" w:sz="4" w:space="0" w:color="000000"/>
              <w:right w:val="single" w:sz="4" w:space="0" w:color="auto"/>
            </w:tcBorders>
            <w:vAlign w:val="center"/>
            <w:hideMark/>
          </w:tcPr>
          <w:p w14:paraId="5F57D62E"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2953" w:type="dxa"/>
            <w:gridSpan w:val="3"/>
            <w:vMerge/>
            <w:tcBorders>
              <w:top w:val="nil"/>
              <w:left w:val="single" w:sz="4" w:space="0" w:color="auto"/>
              <w:bottom w:val="single" w:sz="4" w:space="0" w:color="000000"/>
              <w:right w:val="single" w:sz="4" w:space="0" w:color="auto"/>
            </w:tcBorders>
            <w:vAlign w:val="center"/>
            <w:hideMark/>
          </w:tcPr>
          <w:p w14:paraId="47C088B0"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3817" w:type="dxa"/>
            <w:gridSpan w:val="4"/>
            <w:vMerge/>
            <w:tcBorders>
              <w:top w:val="nil"/>
              <w:left w:val="single" w:sz="4" w:space="0" w:color="auto"/>
              <w:bottom w:val="single" w:sz="4" w:space="0" w:color="000000"/>
              <w:right w:val="single" w:sz="4" w:space="0" w:color="auto"/>
            </w:tcBorders>
            <w:vAlign w:val="center"/>
            <w:hideMark/>
          </w:tcPr>
          <w:p w14:paraId="4048A9F2"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590" w:type="dxa"/>
            <w:gridSpan w:val="2"/>
            <w:vMerge/>
            <w:tcBorders>
              <w:top w:val="nil"/>
              <w:left w:val="single" w:sz="4" w:space="0" w:color="auto"/>
              <w:bottom w:val="single" w:sz="4" w:space="0" w:color="000000"/>
              <w:right w:val="single" w:sz="4" w:space="0" w:color="auto"/>
            </w:tcBorders>
            <w:vAlign w:val="center"/>
            <w:hideMark/>
          </w:tcPr>
          <w:p w14:paraId="3EAC72DE"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975" w:type="dxa"/>
            <w:vMerge/>
            <w:tcBorders>
              <w:top w:val="nil"/>
              <w:left w:val="single" w:sz="4" w:space="0" w:color="auto"/>
              <w:bottom w:val="single" w:sz="4" w:space="0" w:color="000000"/>
              <w:right w:val="single" w:sz="4" w:space="0" w:color="auto"/>
            </w:tcBorders>
            <w:vAlign w:val="center"/>
            <w:hideMark/>
          </w:tcPr>
          <w:p w14:paraId="78BF9333"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699" w:type="dxa"/>
            <w:vMerge/>
            <w:tcBorders>
              <w:top w:val="nil"/>
              <w:left w:val="single" w:sz="4" w:space="0" w:color="auto"/>
              <w:bottom w:val="single" w:sz="4" w:space="0" w:color="000000"/>
              <w:right w:val="single" w:sz="4" w:space="0" w:color="auto"/>
            </w:tcBorders>
            <w:vAlign w:val="center"/>
            <w:hideMark/>
          </w:tcPr>
          <w:p w14:paraId="687F0296"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r>
      <w:tr w:rsidR="00F212FE" w:rsidRPr="00E90338" w14:paraId="1FE928DA" w14:textId="77777777" w:rsidTr="0055381F">
        <w:trPr>
          <w:gridAfter w:val="1"/>
          <w:wAfter w:w="38" w:type="dxa"/>
          <w:trHeight w:val="1240"/>
        </w:trPr>
        <w:tc>
          <w:tcPr>
            <w:tcW w:w="1990" w:type="dxa"/>
            <w:vMerge w:val="restart"/>
            <w:tcBorders>
              <w:top w:val="single" w:sz="4" w:space="0" w:color="auto"/>
              <w:left w:val="single" w:sz="4" w:space="0" w:color="auto"/>
              <w:bottom w:val="single" w:sz="4" w:space="0" w:color="auto"/>
              <w:right w:val="nil"/>
            </w:tcBorders>
            <w:shd w:val="clear" w:color="auto" w:fill="227ACB"/>
            <w:noWrap/>
            <w:vAlign w:val="bottom"/>
            <w:hideMark/>
          </w:tcPr>
          <w:p w14:paraId="07373AE9" w14:textId="77777777" w:rsidR="00F212FE" w:rsidRDefault="00F212FE" w:rsidP="0055381F">
            <w:pPr>
              <w:spacing w:line="240" w:lineRule="auto"/>
              <w:ind w:firstLine="0"/>
              <w:rPr>
                <w:rFonts w:ascii="Calibri" w:eastAsia="Times New Roman" w:hAnsi="Calibri" w:cs="Calibri"/>
                <w:color w:val="000000"/>
                <w:sz w:val="24"/>
                <w:lang w:val="es-CR" w:eastAsia="es-CR"/>
              </w:rPr>
            </w:pPr>
          </w:p>
          <w:p w14:paraId="6CDBBF67"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noProof/>
                <w:color w:val="000000"/>
                <w:sz w:val="24"/>
                <w:lang w:val="es-CR" w:eastAsia="es-CR"/>
              </w:rPr>
              <w:drawing>
                <wp:anchor distT="0" distB="0" distL="114300" distR="114300" simplePos="0" relativeHeight="251700224" behindDoc="0" locked="0" layoutInCell="1" allowOverlap="1" wp14:anchorId="1196DC3C" wp14:editId="638BB399">
                  <wp:simplePos x="0" y="0"/>
                  <wp:positionH relativeFrom="column">
                    <wp:posOffset>130175</wp:posOffset>
                  </wp:positionH>
                  <wp:positionV relativeFrom="paragraph">
                    <wp:posOffset>-1851660</wp:posOffset>
                  </wp:positionV>
                  <wp:extent cx="914400" cy="952500"/>
                  <wp:effectExtent l="0" t="0" r="0" b="0"/>
                  <wp:wrapNone/>
                  <wp:docPr id="1276506368" name="Imagen 50">
                    <a:extLst xmlns:a="http://schemas.openxmlformats.org/drawingml/2006/main">
                      <a:ext uri="{FF2B5EF4-FFF2-40B4-BE49-F238E27FC236}">
                        <a16:creationId xmlns:a16="http://schemas.microsoft.com/office/drawing/2014/main" id="{00000000-0008-0000-0500-000004000000}"/>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0000000-0008-0000-0500-000004000000}"/>
                              </a:ext>
                            </a:extLst>
                          </pic:cNvPr>
                          <pic:cNvPicPr>
                            <a:picLocks noChangeAspect="1"/>
                          </pic:cNvPicPr>
                        </pic:nvPicPr>
                        <pic:blipFill>
                          <a:blip r:embed="rId66"/>
                          <a:stretch>
                            <a:fillRect/>
                          </a:stretch>
                        </pic:blipFill>
                        <pic:spPr>
                          <a:xfrm>
                            <a:off x="0" y="0"/>
                            <a:ext cx="914400" cy="952500"/>
                          </a:xfrm>
                          <a:prstGeom prst="rect">
                            <a:avLst/>
                          </a:prstGeom>
                        </pic:spPr>
                      </pic:pic>
                    </a:graphicData>
                  </a:graphic>
                  <wp14:sizeRelH relativeFrom="page">
                    <wp14:pctWidth>0</wp14:pctWidth>
                  </wp14:sizeRelH>
                  <wp14:sizeRelV relativeFrom="page">
                    <wp14:pctHeight>0</wp14:pctHeight>
                  </wp14:sizeRelV>
                </wp:anchor>
              </w:drawing>
            </w:r>
          </w:p>
          <w:p w14:paraId="454ACC8D"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val="restart"/>
            <w:tcBorders>
              <w:top w:val="nil"/>
              <w:left w:val="single" w:sz="4" w:space="0" w:color="auto"/>
              <w:bottom w:val="single" w:sz="4" w:space="0" w:color="auto"/>
              <w:right w:val="single" w:sz="4" w:space="0" w:color="auto"/>
            </w:tcBorders>
            <w:shd w:val="clear" w:color="000000" w:fill="F2F2F2"/>
            <w:vAlign w:val="center"/>
            <w:hideMark/>
          </w:tcPr>
          <w:p w14:paraId="61961A0F"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r w:rsidRPr="00E90338">
              <w:rPr>
                <w:rFonts w:ascii="Calibri" w:eastAsia="Times New Roman" w:hAnsi="Calibri" w:cs="Calibri"/>
                <w:color w:val="000000"/>
                <w:sz w:val="18"/>
                <w:szCs w:val="18"/>
                <w:lang w:val="es-CR" w:eastAsia="es-CR"/>
              </w:rPr>
              <w:t>Análisis del caso de negocio es el proceso de desarrollar un caso de negocio que justifique el inicio o la continuación del proyecto. Se trata de analizar la lógica que sustenta la financiación del proyecto. Esto requiere identificar los beneficios y dis-beneficios (perjuicios) esperados, los costos e ingresos probables, los requisitos de personal, los principales riesgos, las alternativas de cronograma y los impactos en las partes interesadas asociados con un proyecto propuesto</w:t>
            </w:r>
          </w:p>
        </w:tc>
        <w:tc>
          <w:tcPr>
            <w:tcW w:w="1667" w:type="dxa"/>
            <w:tcBorders>
              <w:top w:val="nil"/>
              <w:left w:val="nil"/>
              <w:bottom w:val="single" w:sz="4" w:space="0" w:color="auto"/>
              <w:right w:val="single" w:sz="4" w:space="0" w:color="auto"/>
            </w:tcBorders>
            <w:shd w:val="clear" w:color="000000" w:fill="F2F2F2"/>
            <w:noWrap/>
            <w:vAlign w:val="center"/>
            <w:hideMark/>
          </w:tcPr>
          <w:p w14:paraId="56728D4F"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Vida Útil</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3A40411"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463CB706"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 xml:space="preserve"> La justificación financiera no incluye una visión de sostenibilidad a largo plazo.</w:t>
            </w:r>
          </w:p>
        </w:tc>
        <w:tc>
          <w:tcPr>
            <w:tcW w:w="2138" w:type="dxa"/>
            <w:tcBorders>
              <w:top w:val="nil"/>
              <w:left w:val="nil"/>
              <w:bottom w:val="single" w:sz="4" w:space="0" w:color="auto"/>
              <w:right w:val="single" w:sz="4" w:space="0" w:color="auto"/>
            </w:tcBorders>
            <w:hideMark/>
          </w:tcPr>
          <w:p w14:paraId="22463986"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Proyectos con alta rotación o baja resiliencia ante cambios de contexto.</w:t>
            </w:r>
          </w:p>
        </w:tc>
        <w:tc>
          <w:tcPr>
            <w:tcW w:w="2953" w:type="dxa"/>
            <w:gridSpan w:val="3"/>
            <w:tcBorders>
              <w:top w:val="nil"/>
              <w:left w:val="nil"/>
              <w:bottom w:val="single" w:sz="4" w:space="0" w:color="auto"/>
              <w:right w:val="single" w:sz="4" w:space="0" w:color="auto"/>
            </w:tcBorders>
            <w:noWrap/>
            <w:vAlign w:val="center"/>
            <w:hideMark/>
          </w:tcPr>
          <w:p w14:paraId="7B198312"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1CC64EFD"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Incorporar criterios de valor sostenible y retorno social en el análisis de casos de negocio.</w:t>
            </w:r>
          </w:p>
        </w:tc>
        <w:tc>
          <w:tcPr>
            <w:tcW w:w="1590" w:type="dxa"/>
            <w:gridSpan w:val="2"/>
            <w:tcBorders>
              <w:top w:val="nil"/>
              <w:left w:val="nil"/>
              <w:bottom w:val="single" w:sz="4" w:space="0" w:color="auto"/>
              <w:right w:val="single" w:sz="4" w:space="0" w:color="auto"/>
            </w:tcBorders>
            <w:noWrap/>
            <w:vAlign w:val="center"/>
            <w:hideMark/>
          </w:tcPr>
          <w:p w14:paraId="7ED106B7"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33FB8D46"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54677465"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Proyectos con visión a largo plazo y mayor permanencia.</w:t>
            </w:r>
          </w:p>
        </w:tc>
      </w:tr>
      <w:tr w:rsidR="00F212FE" w:rsidRPr="00E90338" w14:paraId="24E7DF48" w14:textId="77777777" w:rsidTr="0055381F">
        <w:trPr>
          <w:gridAfter w:val="1"/>
          <w:wAfter w:w="38" w:type="dxa"/>
          <w:trHeight w:val="930"/>
        </w:trPr>
        <w:tc>
          <w:tcPr>
            <w:tcW w:w="1990" w:type="dxa"/>
            <w:vMerge/>
            <w:tcBorders>
              <w:top w:val="single" w:sz="4" w:space="0" w:color="auto"/>
              <w:left w:val="single" w:sz="4" w:space="0" w:color="auto"/>
              <w:bottom w:val="single" w:sz="4" w:space="0" w:color="auto"/>
              <w:right w:val="nil"/>
            </w:tcBorders>
            <w:shd w:val="clear" w:color="auto" w:fill="227ACB"/>
            <w:vAlign w:val="center"/>
            <w:hideMark/>
          </w:tcPr>
          <w:p w14:paraId="4ED0E4B9"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3EE36985"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3553E4C4"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Mantenimiento</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E7BF7AF"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24D9F587"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 xml:space="preserve"> El análisis de costos no contempla costos operativos futuros ni de mantenimiento.</w:t>
            </w:r>
          </w:p>
        </w:tc>
        <w:tc>
          <w:tcPr>
            <w:tcW w:w="2138" w:type="dxa"/>
            <w:tcBorders>
              <w:top w:val="nil"/>
              <w:left w:val="nil"/>
              <w:bottom w:val="single" w:sz="4" w:space="0" w:color="auto"/>
              <w:right w:val="single" w:sz="4" w:space="0" w:color="auto"/>
            </w:tcBorders>
            <w:hideMark/>
          </w:tcPr>
          <w:p w14:paraId="58AD06BF"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Subestimación del presupuesto real del ciclo de vida.</w:t>
            </w:r>
          </w:p>
        </w:tc>
        <w:tc>
          <w:tcPr>
            <w:tcW w:w="2953" w:type="dxa"/>
            <w:gridSpan w:val="3"/>
            <w:tcBorders>
              <w:top w:val="nil"/>
              <w:left w:val="nil"/>
              <w:bottom w:val="single" w:sz="4" w:space="0" w:color="auto"/>
              <w:right w:val="single" w:sz="4" w:space="0" w:color="auto"/>
            </w:tcBorders>
            <w:noWrap/>
            <w:vAlign w:val="center"/>
            <w:hideMark/>
          </w:tcPr>
          <w:p w14:paraId="00E8AAE7"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78F10767"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Estimar costos de operación y mantenimiento desde la etapa de prefactibilidad.</w:t>
            </w:r>
          </w:p>
        </w:tc>
        <w:tc>
          <w:tcPr>
            <w:tcW w:w="1590" w:type="dxa"/>
            <w:gridSpan w:val="2"/>
            <w:tcBorders>
              <w:top w:val="nil"/>
              <w:left w:val="nil"/>
              <w:bottom w:val="single" w:sz="4" w:space="0" w:color="auto"/>
              <w:right w:val="single" w:sz="4" w:space="0" w:color="auto"/>
            </w:tcBorders>
            <w:noWrap/>
            <w:vAlign w:val="center"/>
            <w:hideMark/>
          </w:tcPr>
          <w:p w14:paraId="51B5F00E"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4BC73535"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34511037"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Reducción de riesgos financieros futuros.</w:t>
            </w:r>
          </w:p>
        </w:tc>
      </w:tr>
      <w:tr w:rsidR="00F212FE" w:rsidRPr="00E90338" w14:paraId="5629490C" w14:textId="77777777" w:rsidTr="0055381F">
        <w:trPr>
          <w:gridAfter w:val="1"/>
          <w:wAfter w:w="38" w:type="dxa"/>
          <w:trHeight w:val="930"/>
        </w:trPr>
        <w:tc>
          <w:tcPr>
            <w:tcW w:w="1990" w:type="dxa"/>
            <w:vMerge/>
            <w:tcBorders>
              <w:top w:val="single" w:sz="4" w:space="0" w:color="auto"/>
              <w:left w:val="single" w:sz="4" w:space="0" w:color="auto"/>
              <w:bottom w:val="single" w:sz="4" w:space="0" w:color="auto"/>
              <w:right w:val="nil"/>
            </w:tcBorders>
            <w:shd w:val="clear" w:color="auto" w:fill="227ACB"/>
            <w:vAlign w:val="center"/>
            <w:hideMark/>
          </w:tcPr>
          <w:p w14:paraId="6E6D83B4"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7A627338"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2DEB1BAA"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Eficacia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F910706"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69C748D8"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No se identifican claramente los impactos negativos del proyecto.</w:t>
            </w:r>
          </w:p>
        </w:tc>
        <w:tc>
          <w:tcPr>
            <w:tcW w:w="2138" w:type="dxa"/>
            <w:tcBorders>
              <w:top w:val="nil"/>
              <w:left w:val="nil"/>
              <w:bottom w:val="single" w:sz="4" w:space="0" w:color="auto"/>
              <w:right w:val="single" w:sz="4" w:space="0" w:color="auto"/>
            </w:tcBorders>
            <w:hideMark/>
          </w:tcPr>
          <w:p w14:paraId="1D42743E"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Resultados parciales o desequilibrios en grupos de interés.</w:t>
            </w:r>
          </w:p>
        </w:tc>
        <w:tc>
          <w:tcPr>
            <w:tcW w:w="2953" w:type="dxa"/>
            <w:gridSpan w:val="3"/>
            <w:tcBorders>
              <w:top w:val="nil"/>
              <w:left w:val="nil"/>
              <w:bottom w:val="single" w:sz="4" w:space="0" w:color="auto"/>
              <w:right w:val="single" w:sz="4" w:space="0" w:color="auto"/>
            </w:tcBorders>
            <w:noWrap/>
            <w:vAlign w:val="center"/>
            <w:hideMark/>
          </w:tcPr>
          <w:p w14:paraId="197225F9"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3</w:t>
            </w:r>
          </w:p>
        </w:tc>
        <w:tc>
          <w:tcPr>
            <w:tcW w:w="3817" w:type="dxa"/>
            <w:gridSpan w:val="4"/>
            <w:tcBorders>
              <w:top w:val="nil"/>
              <w:left w:val="nil"/>
              <w:bottom w:val="single" w:sz="4" w:space="0" w:color="auto"/>
              <w:right w:val="single" w:sz="4" w:space="0" w:color="auto"/>
            </w:tcBorders>
            <w:hideMark/>
          </w:tcPr>
          <w:p w14:paraId="4B2784D1"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Aplicar análisis de dis-beneficios junto con matriz de partes interesadas.</w:t>
            </w:r>
          </w:p>
        </w:tc>
        <w:tc>
          <w:tcPr>
            <w:tcW w:w="1590" w:type="dxa"/>
            <w:gridSpan w:val="2"/>
            <w:tcBorders>
              <w:top w:val="nil"/>
              <w:left w:val="nil"/>
              <w:bottom w:val="single" w:sz="4" w:space="0" w:color="auto"/>
              <w:right w:val="single" w:sz="4" w:space="0" w:color="auto"/>
            </w:tcBorders>
            <w:noWrap/>
            <w:vAlign w:val="center"/>
            <w:hideMark/>
          </w:tcPr>
          <w:p w14:paraId="461F2B14"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5</w:t>
            </w:r>
          </w:p>
        </w:tc>
        <w:tc>
          <w:tcPr>
            <w:tcW w:w="975" w:type="dxa"/>
            <w:tcBorders>
              <w:top w:val="nil"/>
              <w:left w:val="nil"/>
              <w:bottom w:val="single" w:sz="4" w:space="0" w:color="auto"/>
              <w:right w:val="single" w:sz="4" w:space="0" w:color="auto"/>
            </w:tcBorders>
            <w:noWrap/>
            <w:vAlign w:val="center"/>
            <w:hideMark/>
          </w:tcPr>
          <w:p w14:paraId="34C48059"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717CA740"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Resultados más alineados con las expectativas reales del entorno.</w:t>
            </w:r>
          </w:p>
        </w:tc>
      </w:tr>
      <w:tr w:rsidR="00F212FE" w:rsidRPr="00E90338" w14:paraId="4CD357BB" w14:textId="77777777" w:rsidTr="0055381F">
        <w:trPr>
          <w:gridAfter w:val="1"/>
          <w:wAfter w:w="38" w:type="dxa"/>
          <w:trHeight w:val="1240"/>
        </w:trPr>
        <w:tc>
          <w:tcPr>
            <w:tcW w:w="1990" w:type="dxa"/>
            <w:vMerge/>
            <w:tcBorders>
              <w:top w:val="single" w:sz="4" w:space="0" w:color="auto"/>
              <w:left w:val="single" w:sz="4" w:space="0" w:color="auto"/>
              <w:bottom w:val="single" w:sz="4" w:space="0" w:color="auto"/>
              <w:right w:val="nil"/>
            </w:tcBorders>
            <w:shd w:val="clear" w:color="auto" w:fill="227ACB"/>
            <w:vAlign w:val="center"/>
            <w:hideMark/>
          </w:tcPr>
          <w:p w14:paraId="08E42283"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330CA434"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0704239B"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Eficiencia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4D69413"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76FB8187"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 xml:space="preserve"> Falta de análisis de alternativas de cronograma y recursos genera ineficiencia.</w:t>
            </w:r>
          </w:p>
        </w:tc>
        <w:tc>
          <w:tcPr>
            <w:tcW w:w="2138" w:type="dxa"/>
            <w:tcBorders>
              <w:top w:val="nil"/>
              <w:left w:val="nil"/>
              <w:bottom w:val="single" w:sz="4" w:space="0" w:color="auto"/>
              <w:right w:val="single" w:sz="4" w:space="0" w:color="auto"/>
            </w:tcBorders>
            <w:hideMark/>
          </w:tcPr>
          <w:p w14:paraId="29A51613"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Mal uso de tiempo, dinero o capacidades.</w:t>
            </w:r>
          </w:p>
        </w:tc>
        <w:tc>
          <w:tcPr>
            <w:tcW w:w="2953" w:type="dxa"/>
            <w:gridSpan w:val="3"/>
            <w:tcBorders>
              <w:top w:val="nil"/>
              <w:left w:val="nil"/>
              <w:bottom w:val="single" w:sz="4" w:space="0" w:color="auto"/>
              <w:right w:val="single" w:sz="4" w:space="0" w:color="auto"/>
            </w:tcBorders>
            <w:noWrap/>
            <w:vAlign w:val="center"/>
            <w:hideMark/>
          </w:tcPr>
          <w:p w14:paraId="3D4C9E76"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3F67DA40"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Usar herramientas de simulación (como análisis de Monte Carlo) para comparar escenarios.</w:t>
            </w:r>
          </w:p>
        </w:tc>
        <w:tc>
          <w:tcPr>
            <w:tcW w:w="1590" w:type="dxa"/>
            <w:gridSpan w:val="2"/>
            <w:tcBorders>
              <w:top w:val="nil"/>
              <w:left w:val="nil"/>
              <w:bottom w:val="single" w:sz="4" w:space="0" w:color="auto"/>
              <w:right w:val="single" w:sz="4" w:space="0" w:color="auto"/>
            </w:tcBorders>
            <w:noWrap/>
            <w:vAlign w:val="center"/>
            <w:hideMark/>
          </w:tcPr>
          <w:p w14:paraId="0E2CAABC"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629EADD6"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7C7FC5C7"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Mejores decisiones iniciales, menor desperdicio de recursos.</w:t>
            </w:r>
          </w:p>
        </w:tc>
      </w:tr>
      <w:tr w:rsidR="00F212FE" w:rsidRPr="00E90338" w14:paraId="5B461C8A" w14:textId="77777777" w:rsidTr="0055381F">
        <w:trPr>
          <w:gridAfter w:val="1"/>
          <w:wAfter w:w="38" w:type="dxa"/>
          <w:trHeight w:val="1240"/>
        </w:trPr>
        <w:tc>
          <w:tcPr>
            <w:tcW w:w="1990" w:type="dxa"/>
            <w:vMerge/>
            <w:tcBorders>
              <w:top w:val="single" w:sz="4" w:space="0" w:color="auto"/>
              <w:left w:val="single" w:sz="4" w:space="0" w:color="auto"/>
              <w:bottom w:val="single" w:sz="4" w:space="0" w:color="auto"/>
              <w:right w:val="nil"/>
            </w:tcBorders>
            <w:shd w:val="clear" w:color="auto" w:fill="227ACB"/>
            <w:vAlign w:val="center"/>
            <w:hideMark/>
          </w:tcPr>
          <w:p w14:paraId="62D98543"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4DDA3D7F"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48760907"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Imparcialidad</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3452DDA"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3FFCFC02"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El análisis prioriza solo indicadores financieros sin considerar equidad o inclusión.</w:t>
            </w:r>
          </w:p>
        </w:tc>
        <w:tc>
          <w:tcPr>
            <w:tcW w:w="2138" w:type="dxa"/>
            <w:tcBorders>
              <w:top w:val="nil"/>
              <w:left w:val="nil"/>
              <w:bottom w:val="single" w:sz="4" w:space="0" w:color="auto"/>
              <w:right w:val="single" w:sz="4" w:space="0" w:color="auto"/>
            </w:tcBorders>
            <w:hideMark/>
          </w:tcPr>
          <w:p w14:paraId="675C9D49"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Afectación a grupos vulnerables o decisiones sesgadas.</w:t>
            </w:r>
          </w:p>
        </w:tc>
        <w:tc>
          <w:tcPr>
            <w:tcW w:w="2953" w:type="dxa"/>
            <w:gridSpan w:val="3"/>
            <w:tcBorders>
              <w:top w:val="nil"/>
              <w:left w:val="nil"/>
              <w:bottom w:val="single" w:sz="4" w:space="0" w:color="auto"/>
              <w:right w:val="single" w:sz="4" w:space="0" w:color="auto"/>
            </w:tcBorders>
            <w:noWrap/>
            <w:vAlign w:val="center"/>
            <w:hideMark/>
          </w:tcPr>
          <w:p w14:paraId="670ADB13"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268354C6"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 xml:space="preserve"> Incluir criterios de equidad, derechos humanos y acceso justo como parte del análisis.</w:t>
            </w:r>
          </w:p>
        </w:tc>
        <w:tc>
          <w:tcPr>
            <w:tcW w:w="1590" w:type="dxa"/>
            <w:gridSpan w:val="2"/>
            <w:tcBorders>
              <w:top w:val="nil"/>
              <w:left w:val="nil"/>
              <w:bottom w:val="single" w:sz="4" w:space="0" w:color="auto"/>
              <w:right w:val="single" w:sz="4" w:space="0" w:color="auto"/>
            </w:tcBorders>
            <w:noWrap/>
            <w:vAlign w:val="center"/>
            <w:hideMark/>
          </w:tcPr>
          <w:p w14:paraId="175806D9"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270B8149"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7F6B87CF"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Proyectos con mayor aceptación social y justicia distributiva.</w:t>
            </w:r>
          </w:p>
        </w:tc>
      </w:tr>
      <w:tr w:rsidR="00F212FE" w:rsidRPr="00E90338" w14:paraId="61749706" w14:textId="77777777" w:rsidTr="0055381F">
        <w:trPr>
          <w:gridAfter w:val="1"/>
          <w:wAfter w:w="38" w:type="dxa"/>
          <w:trHeight w:val="620"/>
        </w:trPr>
        <w:tc>
          <w:tcPr>
            <w:tcW w:w="1990" w:type="dxa"/>
            <w:vMerge w:val="restart"/>
            <w:tcBorders>
              <w:top w:val="single" w:sz="4" w:space="0" w:color="auto"/>
              <w:left w:val="single" w:sz="4" w:space="0" w:color="auto"/>
              <w:bottom w:val="single" w:sz="4" w:space="0" w:color="auto"/>
              <w:right w:val="nil"/>
            </w:tcBorders>
            <w:shd w:val="clear" w:color="auto" w:fill="227ACB"/>
            <w:noWrap/>
            <w:vAlign w:val="bottom"/>
            <w:hideMark/>
          </w:tcPr>
          <w:p w14:paraId="2BC1BC37"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p w14:paraId="425E5AE7"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val="restart"/>
            <w:tcBorders>
              <w:top w:val="nil"/>
              <w:left w:val="single" w:sz="4" w:space="0" w:color="auto"/>
              <w:bottom w:val="single" w:sz="4" w:space="0" w:color="auto"/>
              <w:right w:val="single" w:sz="4" w:space="0" w:color="auto"/>
            </w:tcBorders>
            <w:shd w:val="clear" w:color="000000" w:fill="F2F2F2"/>
            <w:vAlign w:val="center"/>
            <w:hideMark/>
          </w:tcPr>
          <w:p w14:paraId="38D2305A"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r w:rsidRPr="00E90338">
              <w:rPr>
                <w:rFonts w:ascii="Calibri" w:eastAsia="Times New Roman" w:hAnsi="Calibri" w:cs="Calibri"/>
                <w:color w:val="000000"/>
                <w:sz w:val="18"/>
                <w:szCs w:val="18"/>
                <w:lang w:val="es-CR" w:eastAsia="es-CR"/>
              </w:rPr>
              <w:t xml:space="preserve">Análisis financiero es el proceso de evaluación </w:t>
            </w:r>
            <w:r w:rsidRPr="00E90338">
              <w:rPr>
                <w:rFonts w:ascii="Calibri" w:eastAsia="Times New Roman" w:hAnsi="Calibri" w:cs="Calibri"/>
                <w:color w:val="000000"/>
                <w:sz w:val="18"/>
                <w:szCs w:val="18"/>
                <w:lang w:val="es-CR" w:eastAsia="es-CR"/>
              </w:rPr>
              <w:lastRenderedPageBreak/>
              <w:t xml:space="preserve">del proyecto desde una perspectiva monetaria. </w:t>
            </w:r>
            <w:r w:rsidRPr="00E90338">
              <w:rPr>
                <w:rFonts w:ascii="Calibri" w:eastAsia="Times New Roman" w:hAnsi="Calibri" w:cs="Calibri"/>
                <w:noProof/>
                <w:color w:val="000000"/>
                <w:sz w:val="24"/>
                <w:lang w:val="es-CR" w:eastAsia="es-CR"/>
              </w:rPr>
              <w:drawing>
                <wp:anchor distT="0" distB="0" distL="114300" distR="114300" simplePos="0" relativeHeight="251701248" behindDoc="0" locked="0" layoutInCell="1" allowOverlap="1" wp14:anchorId="0175F191" wp14:editId="24C0FA41">
                  <wp:simplePos x="0" y="0"/>
                  <wp:positionH relativeFrom="column">
                    <wp:posOffset>-1050925</wp:posOffset>
                  </wp:positionH>
                  <wp:positionV relativeFrom="paragraph">
                    <wp:posOffset>179705</wp:posOffset>
                  </wp:positionV>
                  <wp:extent cx="806450" cy="882650"/>
                  <wp:effectExtent l="0" t="0" r="0" b="0"/>
                  <wp:wrapNone/>
                  <wp:docPr id="144360659" name="Imagen 49">
                    <a:extLst xmlns:a="http://schemas.openxmlformats.org/drawingml/2006/main">
                      <a:ext uri="{FF2B5EF4-FFF2-40B4-BE49-F238E27FC236}">
                        <a16:creationId xmlns:a16="http://schemas.microsoft.com/office/drawing/2014/main" id="{00000000-0008-0000-0500-000008000000}"/>
                      </a:ext>
                    </a:extLst>
                  </wp:docPr>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00000000-0008-0000-0500-000008000000}"/>
                              </a:ext>
                            </a:extLst>
                          </pic:cNvPr>
                          <pic:cNvPicPr>
                            <a:picLocks noChangeAspect="1"/>
                          </pic:cNvPicPr>
                        </pic:nvPicPr>
                        <pic:blipFill>
                          <a:blip r:embed="rId67"/>
                          <a:stretch>
                            <a:fillRect/>
                          </a:stretch>
                        </pic:blipFill>
                        <pic:spPr>
                          <a:xfrm>
                            <a:off x="0" y="0"/>
                            <a:ext cx="806450" cy="882650"/>
                          </a:xfrm>
                          <a:prstGeom prst="rect">
                            <a:avLst/>
                          </a:prstGeom>
                        </pic:spPr>
                      </pic:pic>
                    </a:graphicData>
                  </a:graphic>
                  <wp14:sizeRelH relativeFrom="page">
                    <wp14:pctWidth>0</wp14:pctWidth>
                  </wp14:sizeRelH>
                  <wp14:sizeRelV relativeFrom="page">
                    <wp14:pctHeight>0</wp14:pctHeight>
                  </wp14:sizeRelV>
                </wp:anchor>
              </w:drawing>
            </w:r>
            <w:r w:rsidRPr="00E90338">
              <w:rPr>
                <w:rFonts w:ascii="Calibri" w:eastAsia="Times New Roman" w:hAnsi="Calibri" w:cs="Calibri"/>
                <w:color w:val="000000"/>
                <w:sz w:val="18"/>
                <w:szCs w:val="18"/>
                <w:lang w:val="es-CR" w:eastAsia="es-CR"/>
              </w:rPr>
              <w:t>Por lo general, se utiliza para analizar si el proyecto requiere financiamiento inicial o adicional.</w:t>
            </w:r>
          </w:p>
        </w:tc>
        <w:tc>
          <w:tcPr>
            <w:tcW w:w="1667" w:type="dxa"/>
            <w:tcBorders>
              <w:top w:val="nil"/>
              <w:left w:val="nil"/>
              <w:bottom w:val="single" w:sz="4" w:space="0" w:color="auto"/>
              <w:right w:val="single" w:sz="4" w:space="0" w:color="auto"/>
            </w:tcBorders>
            <w:shd w:val="clear" w:color="000000" w:fill="F2F2F2"/>
            <w:noWrap/>
            <w:vAlign w:val="center"/>
            <w:hideMark/>
          </w:tcPr>
          <w:p w14:paraId="7295BDC4"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lastRenderedPageBreak/>
              <w:t>Vida Útil</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59DF692"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48092E4F"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Solo se consideran retornos a corto plazo.</w:t>
            </w:r>
          </w:p>
        </w:tc>
        <w:tc>
          <w:tcPr>
            <w:tcW w:w="2138" w:type="dxa"/>
            <w:tcBorders>
              <w:top w:val="nil"/>
              <w:left w:val="nil"/>
              <w:bottom w:val="single" w:sz="4" w:space="0" w:color="auto"/>
              <w:right w:val="single" w:sz="4" w:space="0" w:color="auto"/>
            </w:tcBorders>
            <w:hideMark/>
          </w:tcPr>
          <w:p w14:paraId="23425C80"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 xml:space="preserve">Se priorizan proyectos que no </w:t>
            </w:r>
            <w:r w:rsidRPr="00E90338">
              <w:rPr>
                <w:rFonts w:ascii="Calibri" w:eastAsia="Times New Roman" w:hAnsi="Calibri" w:cs="Calibri"/>
                <w:color w:val="000000"/>
                <w:sz w:val="24"/>
                <w:lang w:val="es-CR" w:eastAsia="es-CR"/>
              </w:rPr>
              <w:lastRenderedPageBreak/>
              <w:t>son sostenibles en el tiempo.</w:t>
            </w:r>
          </w:p>
        </w:tc>
        <w:tc>
          <w:tcPr>
            <w:tcW w:w="2953" w:type="dxa"/>
            <w:gridSpan w:val="3"/>
            <w:tcBorders>
              <w:top w:val="nil"/>
              <w:left w:val="nil"/>
              <w:bottom w:val="single" w:sz="4" w:space="0" w:color="auto"/>
              <w:right w:val="single" w:sz="4" w:space="0" w:color="auto"/>
            </w:tcBorders>
            <w:noWrap/>
            <w:vAlign w:val="center"/>
            <w:hideMark/>
          </w:tcPr>
          <w:p w14:paraId="43E35F22"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lastRenderedPageBreak/>
              <w:t>2</w:t>
            </w:r>
          </w:p>
        </w:tc>
        <w:tc>
          <w:tcPr>
            <w:tcW w:w="3817" w:type="dxa"/>
            <w:gridSpan w:val="4"/>
            <w:tcBorders>
              <w:top w:val="nil"/>
              <w:left w:val="nil"/>
              <w:bottom w:val="single" w:sz="4" w:space="0" w:color="auto"/>
              <w:right w:val="single" w:sz="4" w:space="0" w:color="auto"/>
            </w:tcBorders>
            <w:hideMark/>
          </w:tcPr>
          <w:p w14:paraId="04C583E1"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 xml:space="preserve"> Ampliar el análisis a retornos de ciclo de vida (LCCA).</w:t>
            </w:r>
          </w:p>
        </w:tc>
        <w:tc>
          <w:tcPr>
            <w:tcW w:w="1590" w:type="dxa"/>
            <w:gridSpan w:val="2"/>
            <w:tcBorders>
              <w:top w:val="nil"/>
              <w:left w:val="nil"/>
              <w:bottom w:val="single" w:sz="4" w:space="0" w:color="auto"/>
              <w:right w:val="single" w:sz="4" w:space="0" w:color="auto"/>
            </w:tcBorders>
            <w:noWrap/>
            <w:vAlign w:val="center"/>
            <w:hideMark/>
          </w:tcPr>
          <w:p w14:paraId="28611120"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2EDACFEB"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1B67354D"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 xml:space="preserve">Mejores decisiones de </w:t>
            </w:r>
            <w:r w:rsidRPr="00E90338">
              <w:rPr>
                <w:rFonts w:ascii="Calibri" w:eastAsia="Times New Roman" w:hAnsi="Calibri" w:cs="Calibri"/>
                <w:color w:val="000000"/>
                <w:sz w:val="24"/>
                <w:lang w:val="es-CR" w:eastAsia="es-CR"/>
              </w:rPr>
              <w:lastRenderedPageBreak/>
              <w:t>inversión a largo plazo.</w:t>
            </w:r>
          </w:p>
        </w:tc>
      </w:tr>
      <w:tr w:rsidR="00F212FE" w:rsidRPr="00E90338" w14:paraId="430F7067" w14:textId="77777777" w:rsidTr="0055381F">
        <w:trPr>
          <w:gridAfter w:val="1"/>
          <w:wAfter w:w="38" w:type="dxa"/>
          <w:trHeight w:val="930"/>
        </w:trPr>
        <w:tc>
          <w:tcPr>
            <w:tcW w:w="1990" w:type="dxa"/>
            <w:vMerge/>
            <w:tcBorders>
              <w:top w:val="single" w:sz="4" w:space="0" w:color="auto"/>
              <w:left w:val="single" w:sz="4" w:space="0" w:color="auto"/>
              <w:bottom w:val="single" w:sz="4" w:space="0" w:color="auto"/>
              <w:right w:val="nil"/>
            </w:tcBorders>
            <w:shd w:val="clear" w:color="auto" w:fill="227ACB"/>
            <w:vAlign w:val="center"/>
            <w:hideMark/>
          </w:tcPr>
          <w:p w14:paraId="50D2A908"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3CAB684E"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16CD4E5B"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Mantenimiento</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D43C09D"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0B4132C9"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El CAPEX es priorizado sobre el OPEX.</w:t>
            </w:r>
          </w:p>
        </w:tc>
        <w:tc>
          <w:tcPr>
            <w:tcW w:w="2138" w:type="dxa"/>
            <w:tcBorders>
              <w:top w:val="nil"/>
              <w:left w:val="nil"/>
              <w:bottom w:val="single" w:sz="4" w:space="0" w:color="auto"/>
              <w:right w:val="single" w:sz="4" w:space="0" w:color="auto"/>
            </w:tcBorders>
            <w:hideMark/>
          </w:tcPr>
          <w:p w14:paraId="5F460423"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Dificultad para sostener la operación del proyecto.</w:t>
            </w:r>
          </w:p>
        </w:tc>
        <w:tc>
          <w:tcPr>
            <w:tcW w:w="2953" w:type="dxa"/>
            <w:gridSpan w:val="3"/>
            <w:tcBorders>
              <w:top w:val="nil"/>
              <w:left w:val="nil"/>
              <w:bottom w:val="single" w:sz="4" w:space="0" w:color="auto"/>
              <w:right w:val="single" w:sz="4" w:space="0" w:color="auto"/>
            </w:tcBorders>
            <w:noWrap/>
            <w:vAlign w:val="center"/>
            <w:hideMark/>
          </w:tcPr>
          <w:p w14:paraId="1C19989F"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1D00C070"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Incluir costos de operación y mantenimiento en análisis financiero.</w:t>
            </w:r>
          </w:p>
        </w:tc>
        <w:tc>
          <w:tcPr>
            <w:tcW w:w="1590" w:type="dxa"/>
            <w:gridSpan w:val="2"/>
            <w:tcBorders>
              <w:top w:val="nil"/>
              <w:left w:val="nil"/>
              <w:bottom w:val="single" w:sz="4" w:space="0" w:color="auto"/>
              <w:right w:val="single" w:sz="4" w:space="0" w:color="auto"/>
            </w:tcBorders>
            <w:noWrap/>
            <w:vAlign w:val="center"/>
            <w:hideMark/>
          </w:tcPr>
          <w:p w14:paraId="40E356C3"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6C845B04"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2CA4A30A"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Reducción de fallas operativas y costos ocultos.</w:t>
            </w:r>
          </w:p>
        </w:tc>
      </w:tr>
      <w:tr w:rsidR="00F212FE" w:rsidRPr="00E90338" w14:paraId="11E9AE31" w14:textId="77777777" w:rsidTr="0055381F">
        <w:trPr>
          <w:gridAfter w:val="1"/>
          <w:wAfter w:w="38" w:type="dxa"/>
          <w:trHeight w:val="930"/>
        </w:trPr>
        <w:tc>
          <w:tcPr>
            <w:tcW w:w="1990" w:type="dxa"/>
            <w:vMerge/>
            <w:tcBorders>
              <w:top w:val="single" w:sz="4" w:space="0" w:color="auto"/>
              <w:left w:val="single" w:sz="4" w:space="0" w:color="auto"/>
              <w:bottom w:val="single" w:sz="4" w:space="0" w:color="auto"/>
              <w:right w:val="nil"/>
            </w:tcBorders>
            <w:shd w:val="clear" w:color="auto" w:fill="227ACB"/>
            <w:vAlign w:val="center"/>
            <w:hideMark/>
          </w:tcPr>
          <w:p w14:paraId="4257FAFB"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444447AD"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0A7E7F2F"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Eficacia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1E1DE8E"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4123B511"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 xml:space="preserve"> No se consideran los beneficios no monetarios.</w:t>
            </w:r>
          </w:p>
        </w:tc>
        <w:tc>
          <w:tcPr>
            <w:tcW w:w="2138" w:type="dxa"/>
            <w:tcBorders>
              <w:top w:val="nil"/>
              <w:left w:val="nil"/>
              <w:bottom w:val="single" w:sz="4" w:space="0" w:color="auto"/>
              <w:right w:val="single" w:sz="4" w:space="0" w:color="auto"/>
            </w:tcBorders>
            <w:hideMark/>
          </w:tcPr>
          <w:p w14:paraId="11E631F5"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Subvaloración del impacto social o ambiental.</w:t>
            </w:r>
          </w:p>
        </w:tc>
        <w:tc>
          <w:tcPr>
            <w:tcW w:w="2953" w:type="dxa"/>
            <w:gridSpan w:val="3"/>
            <w:tcBorders>
              <w:top w:val="nil"/>
              <w:left w:val="nil"/>
              <w:bottom w:val="single" w:sz="4" w:space="0" w:color="auto"/>
              <w:right w:val="single" w:sz="4" w:space="0" w:color="auto"/>
            </w:tcBorders>
            <w:noWrap/>
            <w:vAlign w:val="center"/>
            <w:hideMark/>
          </w:tcPr>
          <w:p w14:paraId="4717433E"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627B870D"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Usar análisis costo-beneficio ampliado (ACBA) incluyendo externalidades.</w:t>
            </w:r>
          </w:p>
        </w:tc>
        <w:tc>
          <w:tcPr>
            <w:tcW w:w="1590" w:type="dxa"/>
            <w:gridSpan w:val="2"/>
            <w:tcBorders>
              <w:top w:val="nil"/>
              <w:left w:val="nil"/>
              <w:bottom w:val="single" w:sz="4" w:space="0" w:color="auto"/>
              <w:right w:val="single" w:sz="4" w:space="0" w:color="auto"/>
            </w:tcBorders>
            <w:noWrap/>
            <w:vAlign w:val="center"/>
            <w:hideMark/>
          </w:tcPr>
          <w:p w14:paraId="37F8DC48"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612798D6"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471F2C0C"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Proyectos más alineados con valor público y sostenibilidad.</w:t>
            </w:r>
          </w:p>
        </w:tc>
      </w:tr>
      <w:tr w:rsidR="00F212FE" w:rsidRPr="00E90338" w14:paraId="04E964D6" w14:textId="77777777" w:rsidTr="0055381F">
        <w:trPr>
          <w:gridAfter w:val="1"/>
          <w:wAfter w:w="38" w:type="dxa"/>
          <w:trHeight w:val="930"/>
        </w:trPr>
        <w:tc>
          <w:tcPr>
            <w:tcW w:w="1990" w:type="dxa"/>
            <w:vMerge/>
            <w:tcBorders>
              <w:top w:val="single" w:sz="4" w:space="0" w:color="auto"/>
              <w:left w:val="single" w:sz="4" w:space="0" w:color="auto"/>
              <w:bottom w:val="single" w:sz="4" w:space="0" w:color="auto"/>
              <w:right w:val="nil"/>
            </w:tcBorders>
            <w:shd w:val="clear" w:color="auto" w:fill="227ACB"/>
            <w:vAlign w:val="center"/>
            <w:hideMark/>
          </w:tcPr>
          <w:p w14:paraId="4CCC3B82"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5213BC6C"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5A305F0A"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Eficiencia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CBADA61"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7758633F"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Recursos financieros asignados sin priorización de impacto.</w:t>
            </w:r>
          </w:p>
        </w:tc>
        <w:tc>
          <w:tcPr>
            <w:tcW w:w="2138" w:type="dxa"/>
            <w:tcBorders>
              <w:top w:val="nil"/>
              <w:left w:val="nil"/>
              <w:bottom w:val="single" w:sz="4" w:space="0" w:color="auto"/>
              <w:right w:val="single" w:sz="4" w:space="0" w:color="auto"/>
            </w:tcBorders>
            <w:hideMark/>
          </w:tcPr>
          <w:p w14:paraId="14E467F1"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Mal uso del presupuesto en iniciativas de bajo impacto.</w:t>
            </w:r>
          </w:p>
        </w:tc>
        <w:tc>
          <w:tcPr>
            <w:tcW w:w="2953" w:type="dxa"/>
            <w:gridSpan w:val="3"/>
            <w:tcBorders>
              <w:top w:val="nil"/>
              <w:left w:val="nil"/>
              <w:bottom w:val="single" w:sz="4" w:space="0" w:color="auto"/>
              <w:right w:val="single" w:sz="4" w:space="0" w:color="auto"/>
            </w:tcBorders>
            <w:noWrap/>
            <w:vAlign w:val="center"/>
            <w:hideMark/>
          </w:tcPr>
          <w:p w14:paraId="19744C5D"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1DA24E06"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Aplicar criterios de priorización financiera en función de impacto P5.</w:t>
            </w:r>
          </w:p>
        </w:tc>
        <w:tc>
          <w:tcPr>
            <w:tcW w:w="1590" w:type="dxa"/>
            <w:gridSpan w:val="2"/>
            <w:tcBorders>
              <w:top w:val="nil"/>
              <w:left w:val="nil"/>
              <w:bottom w:val="single" w:sz="4" w:space="0" w:color="auto"/>
              <w:right w:val="single" w:sz="4" w:space="0" w:color="auto"/>
            </w:tcBorders>
            <w:noWrap/>
            <w:vAlign w:val="center"/>
            <w:hideMark/>
          </w:tcPr>
          <w:p w14:paraId="76980588"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41192BF1"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7DB78800"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Mayor retorno sobre la inversión sostenible</w:t>
            </w:r>
          </w:p>
        </w:tc>
      </w:tr>
      <w:tr w:rsidR="00F212FE" w:rsidRPr="00E90338" w14:paraId="6EDCDE42" w14:textId="77777777" w:rsidTr="0055381F">
        <w:trPr>
          <w:gridAfter w:val="1"/>
          <w:wAfter w:w="38" w:type="dxa"/>
          <w:trHeight w:val="930"/>
        </w:trPr>
        <w:tc>
          <w:tcPr>
            <w:tcW w:w="1990" w:type="dxa"/>
            <w:vMerge/>
            <w:tcBorders>
              <w:top w:val="single" w:sz="4" w:space="0" w:color="auto"/>
              <w:left w:val="single" w:sz="4" w:space="0" w:color="auto"/>
              <w:bottom w:val="single" w:sz="4" w:space="0" w:color="auto"/>
              <w:right w:val="nil"/>
            </w:tcBorders>
            <w:shd w:val="clear" w:color="auto" w:fill="227ACB"/>
            <w:vAlign w:val="center"/>
            <w:hideMark/>
          </w:tcPr>
          <w:p w14:paraId="08CE0A89"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6376E45D"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63239F45"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Imparcialidad</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8A211F3"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2C978918"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 xml:space="preserve"> No se analizan efectos financieros en partes interesadas vulnerables.</w:t>
            </w:r>
          </w:p>
        </w:tc>
        <w:tc>
          <w:tcPr>
            <w:tcW w:w="2138" w:type="dxa"/>
            <w:tcBorders>
              <w:top w:val="nil"/>
              <w:left w:val="nil"/>
              <w:bottom w:val="single" w:sz="4" w:space="0" w:color="auto"/>
              <w:right w:val="single" w:sz="4" w:space="0" w:color="auto"/>
            </w:tcBorders>
            <w:hideMark/>
          </w:tcPr>
          <w:p w14:paraId="4C733430"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Inequidad en distribución de beneficios y riesgos.</w:t>
            </w:r>
          </w:p>
        </w:tc>
        <w:tc>
          <w:tcPr>
            <w:tcW w:w="2953" w:type="dxa"/>
            <w:gridSpan w:val="3"/>
            <w:tcBorders>
              <w:top w:val="nil"/>
              <w:left w:val="nil"/>
              <w:bottom w:val="single" w:sz="4" w:space="0" w:color="auto"/>
              <w:right w:val="single" w:sz="4" w:space="0" w:color="auto"/>
            </w:tcBorders>
            <w:noWrap/>
            <w:vAlign w:val="center"/>
            <w:hideMark/>
          </w:tcPr>
          <w:p w14:paraId="7AA5E070"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48A02212"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Incorporar análisis de sensibilidad financiera con enfoque de equidad.</w:t>
            </w:r>
          </w:p>
        </w:tc>
        <w:tc>
          <w:tcPr>
            <w:tcW w:w="1590" w:type="dxa"/>
            <w:gridSpan w:val="2"/>
            <w:tcBorders>
              <w:top w:val="nil"/>
              <w:left w:val="nil"/>
              <w:bottom w:val="single" w:sz="4" w:space="0" w:color="auto"/>
              <w:right w:val="single" w:sz="4" w:space="0" w:color="auto"/>
            </w:tcBorders>
            <w:noWrap/>
            <w:vAlign w:val="center"/>
            <w:hideMark/>
          </w:tcPr>
          <w:p w14:paraId="4247F045"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5CD957D6"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190BA59B"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Decisiones más justas y aceptadas por la comunidad.</w:t>
            </w:r>
          </w:p>
        </w:tc>
      </w:tr>
      <w:tr w:rsidR="00F212FE" w:rsidRPr="00E90338" w14:paraId="5A7EC258" w14:textId="77777777" w:rsidTr="0055381F">
        <w:trPr>
          <w:gridAfter w:val="1"/>
          <w:wAfter w:w="38" w:type="dxa"/>
          <w:trHeight w:val="930"/>
        </w:trPr>
        <w:tc>
          <w:tcPr>
            <w:tcW w:w="1990" w:type="dxa"/>
            <w:vMerge w:val="restart"/>
            <w:tcBorders>
              <w:top w:val="single" w:sz="4" w:space="0" w:color="auto"/>
              <w:left w:val="single" w:sz="4" w:space="0" w:color="auto"/>
              <w:bottom w:val="single" w:sz="4" w:space="0" w:color="auto"/>
              <w:right w:val="nil"/>
            </w:tcBorders>
            <w:shd w:val="clear" w:color="auto" w:fill="227ACB"/>
            <w:noWrap/>
            <w:vAlign w:val="bottom"/>
            <w:hideMark/>
          </w:tcPr>
          <w:p w14:paraId="2A477799"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noProof/>
                <w:color w:val="000000"/>
                <w:sz w:val="24"/>
                <w:lang w:val="es-CR" w:eastAsia="es-CR"/>
              </w:rPr>
              <w:drawing>
                <wp:anchor distT="0" distB="0" distL="114300" distR="114300" simplePos="0" relativeHeight="251702272" behindDoc="0" locked="0" layoutInCell="1" allowOverlap="1" wp14:anchorId="1A4D5A65" wp14:editId="24919E4F">
                  <wp:simplePos x="0" y="0"/>
                  <wp:positionH relativeFrom="column">
                    <wp:posOffset>180975</wp:posOffset>
                  </wp:positionH>
                  <wp:positionV relativeFrom="paragraph">
                    <wp:posOffset>-1759585</wp:posOffset>
                  </wp:positionV>
                  <wp:extent cx="755650" cy="889000"/>
                  <wp:effectExtent l="0" t="0" r="6350" b="6350"/>
                  <wp:wrapNone/>
                  <wp:docPr id="1649747722" name="Imagen 48">
                    <a:extLst xmlns:a="http://schemas.openxmlformats.org/drawingml/2006/main">
                      <a:ext uri="{FF2B5EF4-FFF2-40B4-BE49-F238E27FC236}">
                        <a16:creationId xmlns:a16="http://schemas.microsoft.com/office/drawing/2014/main" id="{00000000-0008-0000-0500-00000A000000}"/>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00000000-0008-0000-0500-00000A000000}"/>
                              </a:ext>
                            </a:extLst>
                          </pic:cNvPr>
                          <pic:cNvPicPr>
                            <a:picLocks noChangeAspect="1"/>
                          </pic:cNvPicPr>
                        </pic:nvPicPr>
                        <pic:blipFill>
                          <a:blip r:embed="rId68"/>
                          <a:stretch>
                            <a:fillRect/>
                          </a:stretch>
                        </pic:blipFill>
                        <pic:spPr>
                          <a:xfrm>
                            <a:off x="0" y="0"/>
                            <a:ext cx="755650" cy="889000"/>
                          </a:xfrm>
                          <a:prstGeom prst="rect">
                            <a:avLst/>
                          </a:prstGeom>
                        </pic:spPr>
                      </pic:pic>
                    </a:graphicData>
                  </a:graphic>
                  <wp14:sizeRelH relativeFrom="page">
                    <wp14:pctWidth>0</wp14:pctWidth>
                  </wp14:sizeRelH>
                  <wp14:sizeRelV relativeFrom="page">
                    <wp14:pctHeight>0</wp14:pctHeight>
                  </wp14:sizeRelV>
                </wp:anchor>
              </w:drawing>
            </w:r>
          </w:p>
          <w:p w14:paraId="12C3F889"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val="restart"/>
            <w:tcBorders>
              <w:top w:val="nil"/>
              <w:left w:val="single" w:sz="4" w:space="0" w:color="auto"/>
              <w:bottom w:val="single" w:sz="4" w:space="0" w:color="auto"/>
              <w:right w:val="single" w:sz="4" w:space="0" w:color="auto"/>
            </w:tcBorders>
            <w:shd w:val="clear" w:color="000000" w:fill="F2F2F2"/>
            <w:vAlign w:val="center"/>
            <w:hideMark/>
          </w:tcPr>
          <w:p w14:paraId="03224BFB"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r w:rsidRPr="00E90338">
              <w:rPr>
                <w:rFonts w:ascii="Calibri" w:eastAsia="Times New Roman" w:hAnsi="Calibri" w:cs="Calibri"/>
                <w:color w:val="000000"/>
                <w:sz w:val="18"/>
                <w:szCs w:val="18"/>
                <w:lang w:val="es-CR" w:eastAsia="es-CR"/>
              </w:rPr>
              <w:t>Retorno social de la inversión (SROI) es un marco para medir y rendir cuentas de los productos y resultados de los proyectos al incluir los costos y beneficios sociales y ambientales junto con los económicos tradicionales. Se basa en la idea de que los proyectos crean valor de otras maneras además de los rendimientos financieros. Por ejemplo, un proyecto de desarrollo comunitario puede crear valor al mejorar la salud y el bienestar de los residentes, reducir el crimen y aumentar la cohesión social</w:t>
            </w:r>
          </w:p>
        </w:tc>
        <w:tc>
          <w:tcPr>
            <w:tcW w:w="1667" w:type="dxa"/>
            <w:tcBorders>
              <w:top w:val="nil"/>
              <w:left w:val="nil"/>
              <w:bottom w:val="single" w:sz="4" w:space="0" w:color="auto"/>
              <w:right w:val="single" w:sz="4" w:space="0" w:color="auto"/>
            </w:tcBorders>
            <w:shd w:val="clear" w:color="000000" w:fill="F2F2F2"/>
            <w:noWrap/>
            <w:vAlign w:val="center"/>
            <w:hideMark/>
          </w:tcPr>
          <w:p w14:paraId="55C9961A"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Vida Útil</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1904CF3"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07E4C72B"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No se evalúan los beneficios a largo plazo para la comunidad.</w:t>
            </w:r>
          </w:p>
        </w:tc>
        <w:tc>
          <w:tcPr>
            <w:tcW w:w="2138" w:type="dxa"/>
            <w:tcBorders>
              <w:top w:val="nil"/>
              <w:left w:val="nil"/>
              <w:bottom w:val="single" w:sz="4" w:space="0" w:color="auto"/>
              <w:right w:val="single" w:sz="4" w:space="0" w:color="auto"/>
            </w:tcBorders>
            <w:hideMark/>
          </w:tcPr>
          <w:p w14:paraId="6EB97BA2"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Se subestima el valor de impacto duradero.</w:t>
            </w:r>
          </w:p>
        </w:tc>
        <w:tc>
          <w:tcPr>
            <w:tcW w:w="2953" w:type="dxa"/>
            <w:gridSpan w:val="3"/>
            <w:tcBorders>
              <w:top w:val="nil"/>
              <w:left w:val="nil"/>
              <w:bottom w:val="single" w:sz="4" w:space="0" w:color="auto"/>
              <w:right w:val="single" w:sz="4" w:space="0" w:color="auto"/>
            </w:tcBorders>
            <w:noWrap/>
            <w:vAlign w:val="center"/>
            <w:hideMark/>
          </w:tcPr>
          <w:p w14:paraId="5CC8ECD6"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2332B8AB"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Incorporar análisis de valor social residual en el tiempo.</w:t>
            </w:r>
          </w:p>
        </w:tc>
        <w:tc>
          <w:tcPr>
            <w:tcW w:w="1590" w:type="dxa"/>
            <w:gridSpan w:val="2"/>
            <w:tcBorders>
              <w:top w:val="nil"/>
              <w:left w:val="nil"/>
              <w:bottom w:val="single" w:sz="4" w:space="0" w:color="auto"/>
              <w:right w:val="single" w:sz="4" w:space="0" w:color="auto"/>
            </w:tcBorders>
            <w:noWrap/>
            <w:vAlign w:val="center"/>
            <w:hideMark/>
          </w:tcPr>
          <w:p w14:paraId="6BE33350"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063470F0"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24DD57D1"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Mejor planificación de impactos sostenibles.</w:t>
            </w:r>
          </w:p>
        </w:tc>
      </w:tr>
      <w:tr w:rsidR="00F212FE" w:rsidRPr="00E90338" w14:paraId="10F64295" w14:textId="77777777" w:rsidTr="0055381F">
        <w:trPr>
          <w:gridAfter w:val="1"/>
          <w:wAfter w:w="38" w:type="dxa"/>
          <w:trHeight w:val="930"/>
        </w:trPr>
        <w:tc>
          <w:tcPr>
            <w:tcW w:w="1990" w:type="dxa"/>
            <w:vMerge/>
            <w:tcBorders>
              <w:top w:val="single" w:sz="4" w:space="0" w:color="auto"/>
              <w:left w:val="single" w:sz="4" w:space="0" w:color="auto"/>
              <w:bottom w:val="single" w:sz="4" w:space="0" w:color="auto"/>
              <w:right w:val="nil"/>
            </w:tcBorders>
            <w:shd w:val="clear" w:color="auto" w:fill="227ACB"/>
            <w:vAlign w:val="center"/>
            <w:hideMark/>
          </w:tcPr>
          <w:p w14:paraId="4BF28681"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321EE937"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66E5C177"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Mantenimiento</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73BCDF2"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6C587CFA"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No se identifican mecanismos para sostener los beneficios sociales.</w:t>
            </w:r>
          </w:p>
        </w:tc>
        <w:tc>
          <w:tcPr>
            <w:tcW w:w="2138" w:type="dxa"/>
            <w:tcBorders>
              <w:top w:val="nil"/>
              <w:left w:val="nil"/>
              <w:bottom w:val="single" w:sz="4" w:space="0" w:color="auto"/>
              <w:right w:val="single" w:sz="4" w:space="0" w:color="auto"/>
            </w:tcBorders>
            <w:hideMark/>
          </w:tcPr>
          <w:p w14:paraId="19BF6847"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Riesgo de pérdida del impacto una vez finalizado el proyecto.</w:t>
            </w:r>
          </w:p>
        </w:tc>
        <w:tc>
          <w:tcPr>
            <w:tcW w:w="2953" w:type="dxa"/>
            <w:gridSpan w:val="3"/>
            <w:tcBorders>
              <w:top w:val="nil"/>
              <w:left w:val="nil"/>
              <w:bottom w:val="single" w:sz="4" w:space="0" w:color="auto"/>
              <w:right w:val="single" w:sz="4" w:space="0" w:color="auto"/>
            </w:tcBorders>
            <w:noWrap/>
            <w:vAlign w:val="center"/>
            <w:hideMark/>
          </w:tcPr>
          <w:p w14:paraId="5F101D2B"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083BEF5D"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Diseñar estrategias de sostenibilidad post-proyecto.</w:t>
            </w:r>
          </w:p>
        </w:tc>
        <w:tc>
          <w:tcPr>
            <w:tcW w:w="1590" w:type="dxa"/>
            <w:gridSpan w:val="2"/>
            <w:tcBorders>
              <w:top w:val="nil"/>
              <w:left w:val="nil"/>
              <w:bottom w:val="single" w:sz="4" w:space="0" w:color="auto"/>
              <w:right w:val="single" w:sz="4" w:space="0" w:color="auto"/>
            </w:tcBorders>
            <w:noWrap/>
            <w:vAlign w:val="center"/>
            <w:hideMark/>
          </w:tcPr>
          <w:p w14:paraId="7E5A761C"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6F71FA45"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029B0AB4"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Retorno social mantenido y potenciado en el tiempo.</w:t>
            </w:r>
          </w:p>
        </w:tc>
      </w:tr>
      <w:tr w:rsidR="00F212FE" w:rsidRPr="00E90338" w14:paraId="268232E5" w14:textId="77777777" w:rsidTr="0055381F">
        <w:trPr>
          <w:gridAfter w:val="1"/>
          <w:wAfter w:w="38" w:type="dxa"/>
          <w:trHeight w:val="930"/>
        </w:trPr>
        <w:tc>
          <w:tcPr>
            <w:tcW w:w="1990" w:type="dxa"/>
            <w:vMerge/>
            <w:tcBorders>
              <w:top w:val="single" w:sz="4" w:space="0" w:color="auto"/>
              <w:left w:val="single" w:sz="4" w:space="0" w:color="auto"/>
              <w:bottom w:val="single" w:sz="4" w:space="0" w:color="auto"/>
              <w:right w:val="nil"/>
            </w:tcBorders>
            <w:shd w:val="clear" w:color="auto" w:fill="227ACB"/>
            <w:vAlign w:val="center"/>
            <w:hideMark/>
          </w:tcPr>
          <w:p w14:paraId="52650188"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07F8A01E"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68234CFA"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Eficacia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D4D07DC"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7F33521E"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Evaluación centrada en outputs, no en outcomes.</w:t>
            </w:r>
          </w:p>
        </w:tc>
        <w:tc>
          <w:tcPr>
            <w:tcW w:w="2138" w:type="dxa"/>
            <w:tcBorders>
              <w:top w:val="nil"/>
              <w:left w:val="nil"/>
              <w:bottom w:val="single" w:sz="4" w:space="0" w:color="auto"/>
              <w:right w:val="single" w:sz="4" w:space="0" w:color="auto"/>
            </w:tcBorders>
            <w:hideMark/>
          </w:tcPr>
          <w:p w14:paraId="6EE248E0"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El valor real para las partes interesadas no se mide</w:t>
            </w:r>
          </w:p>
        </w:tc>
        <w:tc>
          <w:tcPr>
            <w:tcW w:w="2953" w:type="dxa"/>
            <w:gridSpan w:val="3"/>
            <w:tcBorders>
              <w:top w:val="nil"/>
              <w:left w:val="nil"/>
              <w:bottom w:val="single" w:sz="4" w:space="0" w:color="auto"/>
              <w:right w:val="single" w:sz="4" w:space="0" w:color="auto"/>
            </w:tcBorders>
            <w:noWrap/>
            <w:vAlign w:val="center"/>
            <w:hideMark/>
          </w:tcPr>
          <w:p w14:paraId="7A129C80"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370AE6B1"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Adoptar metodología SROI basada en resultados de impacto.</w:t>
            </w:r>
          </w:p>
        </w:tc>
        <w:tc>
          <w:tcPr>
            <w:tcW w:w="1590" w:type="dxa"/>
            <w:gridSpan w:val="2"/>
            <w:tcBorders>
              <w:top w:val="nil"/>
              <w:left w:val="nil"/>
              <w:bottom w:val="single" w:sz="4" w:space="0" w:color="auto"/>
              <w:right w:val="single" w:sz="4" w:space="0" w:color="auto"/>
            </w:tcBorders>
            <w:noWrap/>
            <w:vAlign w:val="center"/>
            <w:hideMark/>
          </w:tcPr>
          <w:p w14:paraId="3840E872"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2D223695"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1494AB74"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Mayor alineación con necesidades reales de la comunidad.</w:t>
            </w:r>
          </w:p>
        </w:tc>
      </w:tr>
      <w:tr w:rsidR="00F212FE" w:rsidRPr="00E90338" w14:paraId="5EBAFE51" w14:textId="77777777" w:rsidTr="0055381F">
        <w:trPr>
          <w:gridAfter w:val="1"/>
          <w:wAfter w:w="38" w:type="dxa"/>
          <w:trHeight w:val="930"/>
        </w:trPr>
        <w:tc>
          <w:tcPr>
            <w:tcW w:w="1990" w:type="dxa"/>
            <w:vMerge/>
            <w:tcBorders>
              <w:top w:val="single" w:sz="4" w:space="0" w:color="auto"/>
              <w:left w:val="single" w:sz="4" w:space="0" w:color="auto"/>
              <w:bottom w:val="single" w:sz="4" w:space="0" w:color="auto"/>
              <w:right w:val="nil"/>
            </w:tcBorders>
            <w:shd w:val="clear" w:color="auto" w:fill="227ACB"/>
            <w:vAlign w:val="center"/>
            <w:hideMark/>
          </w:tcPr>
          <w:p w14:paraId="6BE7460B"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2276FF72"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4A327E2C"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Eficiencia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E1F3BF3"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5F4B8436"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 xml:space="preserve"> No se relaciona inversión con beneficios sociales cuantificables.</w:t>
            </w:r>
          </w:p>
        </w:tc>
        <w:tc>
          <w:tcPr>
            <w:tcW w:w="2138" w:type="dxa"/>
            <w:tcBorders>
              <w:top w:val="nil"/>
              <w:left w:val="nil"/>
              <w:bottom w:val="single" w:sz="4" w:space="0" w:color="auto"/>
              <w:right w:val="single" w:sz="4" w:space="0" w:color="auto"/>
            </w:tcBorders>
            <w:hideMark/>
          </w:tcPr>
          <w:p w14:paraId="6F1BE887"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Ineficiencia en la asignación de recursos.</w:t>
            </w:r>
          </w:p>
        </w:tc>
        <w:tc>
          <w:tcPr>
            <w:tcW w:w="2953" w:type="dxa"/>
            <w:gridSpan w:val="3"/>
            <w:tcBorders>
              <w:top w:val="nil"/>
              <w:left w:val="nil"/>
              <w:bottom w:val="single" w:sz="4" w:space="0" w:color="auto"/>
              <w:right w:val="single" w:sz="4" w:space="0" w:color="auto"/>
            </w:tcBorders>
            <w:noWrap/>
            <w:vAlign w:val="center"/>
            <w:hideMark/>
          </w:tcPr>
          <w:p w14:paraId="1CB465E0"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4FB50C54"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Aplicar ratios de retorno social</w:t>
            </w:r>
          </w:p>
        </w:tc>
        <w:tc>
          <w:tcPr>
            <w:tcW w:w="1590" w:type="dxa"/>
            <w:gridSpan w:val="2"/>
            <w:tcBorders>
              <w:top w:val="nil"/>
              <w:left w:val="nil"/>
              <w:bottom w:val="single" w:sz="4" w:space="0" w:color="auto"/>
              <w:right w:val="single" w:sz="4" w:space="0" w:color="auto"/>
            </w:tcBorders>
            <w:noWrap/>
            <w:vAlign w:val="center"/>
            <w:hideMark/>
          </w:tcPr>
          <w:p w14:paraId="6FA6D711"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6E959E3C"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7CE455C2"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Uso eficiente de los recursos con métricas claras.</w:t>
            </w:r>
          </w:p>
        </w:tc>
      </w:tr>
      <w:tr w:rsidR="00F212FE" w:rsidRPr="00E90338" w14:paraId="6718D8AA" w14:textId="77777777" w:rsidTr="0055381F">
        <w:trPr>
          <w:gridAfter w:val="1"/>
          <w:wAfter w:w="38" w:type="dxa"/>
          <w:trHeight w:val="620"/>
        </w:trPr>
        <w:tc>
          <w:tcPr>
            <w:tcW w:w="1990" w:type="dxa"/>
            <w:vMerge/>
            <w:tcBorders>
              <w:top w:val="single" w:sz="4" w:space="0" w:color="auto"/>
              <w:left w:val="single" w:sz="4" w:space="0" w:color="auto"/>
              <w:bottom w:val="single" w:sz="4" w:space="0" w:color="auto"/>
              <w:right w:val="nil"/>
            </w:tcBorders>
            <w:shd w:val="clear" w:color="auto" w:fill="227ACB"/>
            <w:vAlign w:val="center"/>
            <w:hideMark/>
          </w:tcPr>
          <w:p w14:paraId="46BB5998"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1C68F2D7"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0138D4B0"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Imparcialidad</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C440859"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5901492D"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Se omiten impactos diferenciales entre grupos.</w:t>
            </w:r>
          </w:p>
        </w:tc>
        <w:tc>
          <w:tcPr>
            <w:tcW w:w="2138" w:type="dxa"/>
            <w:tcBorders>
              <w:top w:val="nil"/>
              <w:left w:val="nil"/>
              <w:bottom w:val="single" w:sz="4" w:space="0" w:color="auto"/>
              <w:right w:val="single" w:sz="4" w:space="0" w:color="auto"/>
            </w:tcBorders>
            <w:hideMark/>
          </w:tcPr>
          <w:p w14:paraId="216118B1"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Reproducción de desigualdades.</w:t>
            </w:r>
          </w:p>
        </w:tc>
        <w:tc>
          <w:tcPr>
            <w:tcW w:w="2953" w:type="dxa"/>
            <w:gridSpan w:val="3"/>
            <w:tcBorders>
              <w:top w:val="nil"/>
              <w:left w:val="nil"/>
              <w:bottom w:val="single" w:sz="4" w:space="0" w:color="auto"/>
              <w:right w:val="single" w:sz="4" w:space="0" w:color="auto"/>
            </w:tcBorders>
            <w:noWrap/>
            <w:vAlign w:val="center"/>
            <w:hideMark/>
          </w:tcPr>
          <w:p w14:paraId="24FD13DF"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1BF01620"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Incorporar análisis de equidad y distribución de beneficios.</w:t>
            </w:r>
          </w:p>
        </w:tc>
        <w:tc>
          <w:tcPr>
            <w:tcW w:w="1590" w:type="dxa"/>
            <w:gridSpan w:val="2"/>
            <w:tcBorders>
              <w:top w:val="nil"/>
              <w:left w:val="nil"/>
              <w:bottom w:val="single" w:sz="4" w:space="0" w:color="auto"/>
              <w:right w:val="single" w:sz="4" w:space="0" w:color="auto"/>
            </w:tcBorders>
            <w:noWrap/>
            <w:vAlign w:val="center"/>
            <w:hideMark/>
          </w:tcPr>
          <w:p w14:paraId="648D815F"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23A8F8BF"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245B8C0F"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Uso eficiente de los recursos con métricas claras.</w:t>
            </w:r>
          </w:p>
        </w:tc>
      </w:tr>
      <w:tr w:rsidR="00F212FE" w:rsidRPr="00E90338" w14:paraId="7BF67B4E" w14:textId="77777777" w:rsidTr="0055381F">
        <w:trPr>
          <w:gridAfter w:val="1"/>
          <w:wAfter w:w="38" w:type="dxa"/>
          <w:trHeight w:val="1240"/>
        </w:trPr>
        <w:tc>
          <w:tcPr>
            <w:tcW w:w="1990" w:type="dxa"/>
            <w:vMerge w:val="restart"/>
            <w:tcBorders>
              <w:top w:val="single" w:sz="4" w:space="0" w:color="auto"/>
              <w:left w:val="single" w:sz="4" w:space="0" w:color="auto"/>
              <w:bottom w:val="single" w:sz="4" w:space="0" w:color="auto"/>
              <w:right w:val="nil"/>
            </w:tcBorders>
            <w:shd w:val="clear" w:color="auto" w:fill="227ACB"/>
            <w:noWrap/>
            <w:vAlign w:val="bottom"/>
            <w:hideMark/>
          </w:tcPr>
          <w:p w14:paraId="3F3CDAF5"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noProof/>
                <w:color w:val="000000"/>
                <w:sz w:val="24"/>
                <w:lang w:val="es-CR" w:eastAsia="es-CR"/>
              </w:rPr>
              <w:lastRenderedPageBreak/>
              <w:drawing>
                <wp:anchor distT="0" distB="0" distL="114300" distR="114300" simplePos="0" relativeHeight="251703296" behindDoc="0" locked="0" layoutInCell="1" allowOverlap="1" wp14:anchorId="01731515" wp14:editId="36FC7054">
                  <wp:simplePos x="0" y="0"/>
                  <wp:positionH relativeFrom="column">
                    <wp:posOffset>206375</wp:posOffset>
                  </wp:positionH>
                  <wp:positionV relativeFrom="paragraph">
                    <wp:posOffset>-1359535</wp:posOffset>
                  </wp:positionV>
                  <wp:extent cx="800100" cy="939800"/>
                  <wp:effectExtent l="0" t="0" r="0" b="0"/>
                  <wp:wrapNone/>
                  <wp:docPr id="1894180433" name="Imagen 47">
                    <a:extLst xmlns:a="http://schemas.openxmlformats.org/drawingml/2006/main">
                      <a:ext uri="{FF2B5EF4-FFF2-40B4-BE49-F238E27FC236}">
                        <a16:creationId xmlns:a16="http://schemas.microsoft.com/office/drawing/2014/main" id="{00000000-0008-0000-0500-00000E000000}"/>
                      </a:ext>
                    </a:extLst>
                  </wp:docPr>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00000000-0008-0000-0500-00000E000000}"/>
                              </a:ext>
                            </a:extLst>
                          </pic:cNvPr>
                          <pic:cNvPicPr>
                            <a:picLocks noChangeAspect="1"/>
                          </pic:cNvPicPr>
                        </pic:nvPicPr>
                        <pic:blipFill>
                          <a:blip r:embed="rId69"/>
                          <a:stretch>
                            <a:fillRect/>
                          </a:stretch>
                        </pic:blipFill>
                        <pic:spPr>
                          <a:xfrm>
                            <a:off x="0" y="0"/>
                            <a:ext cx="800100" cy="939800"/>
                          </a:xfrm>
                          <a:prstGeom prst="rect">
                            <a:avLst/>
                          </a:prstGeom>
                        </pic:spPr>
                      </pic:pic>
                    </a:graphicData>
                  </a:graphic>
                  <wp14:sizeRelH relativeFrom="page">
                    <wp14:pctWidth>0</wp14:pctWidth>
                  </wp14:sizeRelH>
                  <wp14:sizeRelV relativeFrom="page">
                    <wp14:pctHeight>0</wp14:pctHeight>
                  </wp14:sizeRelV>
                </wp:anchor>
              </w:drawing>
            </w:r>
          </w:p>
          <w:p w14:paraId="1CA8C3BF"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val="restart"/>
            <w:tcBorders>
              <w:top w:val="nil"/>
              <w:left w:val="single" w:sz="4" w:space="0" w:color="auto"/>
              <w:bottom w:val="single" w:sz="4" w:space="0" w:color="auto"/>
              <w:right w:val="single" w:sz="4" w:space="0" w:color="auto"/>
            </w:tcBorders>
            <w:shd w:val="clear" w:color="000000" w:fill="F2F2F2"/>
            <w:vAlign w:val="center"/>
            <w:hideMark/>
          </w:tcPr>
          <w:p w14:paraId="116A2898"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r w:rsidRPr="00E90338">
              <w:rPr>
                <w:rFonts w:ascii="Calibri" w:eastAsia="Times New Roman" w:hAnsi="Calibri" w:cs="Calibri"/>
                <w:color w:val="000000"/>
                <w:sz w:val="18"/>
                <w:szCs w:val="18"/>
                <w:lang w:val="es-CR" w:eastAsia="es-CR"/>
              </w:rPr>
              <w:t>Modelado es la creación de una representación física, matemática o lógica del proyecto utilizando sus características representativas.</w:t>
            </w:r>
            <w:r w:rsidRPr="00E90338">
              <w:rPr>
                <w:rFonts w:ascii="Calibri" w:eastAsia="Times New Roman" w:hAnsi="Calibri" w:cs="Calibri"/>
                <w:color w:val="000000"/>
                <w:sz w:val="18"/>
                <w:szCs w:val="18"/>
                <w:lang w:val="es-CR" w:eastAsia="es-CR"/>
              </w:rPr>
              <w:br/>
              <w:t>Simulación es el uso de un modelo para comprender los efectos potenciales de condiciones y elecciones alternativas dada la incertidumbre en las variables de entrada. Puede ser especialmente útil en el contexto del proyecto donde sus características a menudo interactúan de manera impredecible</w:t>
            </w:r>
          </w:p>
        </w:tc>
        <w:tc>
          <w:tcPr>
            <w:tcW w:w="1667" w:type="dxa"/>
            <w:tcBorders>
              <w:top w:val="nil"/>
              <w:left w:val="nil"/>
              <w:bottom w:val="single" w:sz="4" w:space="0" w:color="auto"/>
              <w:right w:val="single" w:sz="4" w:space="0" w:color="auto"/>
            </w:tcBorders>
            <w:shd w:val="clear" w:color="000000" w:fill="F2F2F2"/>
            <w:noWrap/>
            <w:vAlign w:val="center"/>
            <w:hideMark/>
          </w:tcPr>
          <w:p w14:paraId="30A3F728"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Vida Útil</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D4D8C41"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430A6178"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No se representa adecuadamente el comportamiento del proyecto a lo largo del tiempo.</w:t>
            </w:r>
          </w:p>
        </w:tc>
        <w:tc>
          <w:tcPr>
            <w:tcW w:w="2138" w:type="dxa"/>
            <w:tcBorders>
              <w:top w:val="nil"/>
              <w:left w:val="nil"/>
              <w:bottom w:val="single" w:sz="4" w:space="0" w:color="auto"/>
              <w:right w:val="single" w:sz="4" w:space="0" w:color="auto"/>
            </w:tcBorders>
            <w:hideMark/>
          </w:tcPr>
          <w:p w14:paraId="004A19DB"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Proyectos diseñados sin proyección de impacto futuro.</w:t>
            </w:r>
          </w:p>
        </w:tc>
        <w:tc>
          <w:tcPr>
            <w:tcW w:w="2953" w:type="dxa"/>
            <w:gridSpan w:val="3"/>
            <w:tcBorders>
              <w:top w:val="nil"/>
              <w:left w:val="nil"/>
              <w:bottom w:val="single" w:sz="4" w:space="0" w:color="auto"/>
              <w:right w:val="single" w:sz="4" w:space="0" w:color="auto"/>
            </w:tcBorders>
            <w:noWrap/>
            <w:vAlign w:val="center"/>
            <w:hideMark/>
          </w:tcPr>
          <w:p w14:paraId="35CE9132"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50A4EC34"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Incorporar simulaciones de ciclo de vida completo.</w:t>
            </w:r>
          </w:p>
        </w:tc>
        <w:tc>
          <w:tcPr>
            <w:tcW w:w="1590" w:type="dxa"/>
            <w:gridSpan w:val="2"/>
            <w:tcBorders>
              <w:top w:val="nil"/>
              <w:left w:val="nil"/>
              <w:bottom w:val="single" w:sz="4" w:space="0" w:color="auto"/>
              <w:right w:val="single" w:sz="4" w:space="0" w:color="auto"/>
            </w:tcBorders>
            <w:noWrap/>
            <w:vAlign w:val="center"/>
            <w:hideMark/>
          </w:tcPr>
          <w:p w14:paraId="6206623A"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29F33505"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7245D482"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Mejor proyección de durabilidad y sostenibilidad.</w:t>
            </w:r>
          </w:p>
        </w:tc>
      </w:tr>
      <w:tr w:rsidR="00F212FE" w:rsidRPr="00E90338" w14:paraId="72263F0B" w14:textId="77777777" w:rsidTr="0055381F">
        <w:trPr>
          <w:gridAfter w:val="1"/>
          <w:wAfter w:w="38" w:type="dxa"/>
          <w:trHeight w:val="930"/>
        </w:trPr>
        <w:tc>
          <w:tcPr>
            <w:tcW w:w="1990" w:type="dxa"/>
            <w:vMerge/>
            <w:tcBorders>
              <w:top w:val="single" w:sz="4" w:space="0" w:color="auto"/>
              <w:left w:val="single" w:sz="4" w:space="0" w:color="auto"/>
              <w:bottom w:val="single" w:sz="4" w:space="0" w:color="auto"/>
              <w:right w:val="nil"/>
            </w:tcBorders>
            <w:shd w:val="clear" w:color="auto" w:fill="227ACB"/>
            <w:vAlign w:val="center"/>
            <w:hideMark/>
          </w:tcPr>
          <w:p w14:paraId="39E557BF"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2E641055"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4FD34D77"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Mantenimiento</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84FBE18"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263CA631"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Falta de modelos para prever fallas o necesidades de mantenimiento.</w:t>
            </w:r>
          </w:p>
        </w:tc>
        <w:tc>
          <w:tcPr>
            <w:tcW w:w="2138" w:type="dxa"/>
            <w:tcBorders>
              <w:top w:val="nil"/>
              <w:left w:val="nil"/>
              <w:bottom w:val="single" w:sz="4" w:space="0" w:color="auto"/>
              <w:right w:val="single" w:sz="4" w:space="0" w:color="auto"/>
            </w:tcBorders>
            <w:hideMark/>
          </w:tcPr>
          <w:p w14:paraId="7FC068DC"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Mantenimiento reactivo e ineficiente.</w:t>
            </w:r>
          </w:p>
        </w:tc>
        <w:tc>
          <w:tcPr>
            <w:tcW w:w="2953" w:type="dxa"/>
            <w:gridSpan w:val="3"/>
            <w:tcBorders>
              <w:top w:val="nil"/>
              <w:left w:val="nil"/>
              <w:bottom w:val="single" w:sz="4" w:space="0" w:color="auto"/>
              <w:right w:val="single" w:sz="4" w:space="0" w:color="auto"/>
            </w:tcBorders>
            <w:noWrap/>
            <w:vAlign w:val="center"/>
            <w:hideMark/>
          </w:tcPr>
          <w:p w14:paraId="1383AF91"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3DF31A07"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 xml:space="preserve"> Modelado predictivo de mantenimiento.</w:t>
            </w:r>
          </w:p>
        </w:tc>
        <w:tc>
          <w:tcPr>
            <w:tcW w:w="1590" w:type="dxa"/>
            <w:gridSpan w:val="2"/>
            <w:tcBorders>
              <w:top w:val="nil"/>
              <w:left w:val="nil"/>
              <w:bottom w:val="single" w:sz="4" w:space="0" w:color="auto"/>
              <w:right w:val="single" w:sz="4" w:space="0" w:color="auto"/>
            </w:tcBorders>
            <w:noWrap/>
            <w:vAlign w:val="center"/>
            <w:hideMark/>
          </w:tcPr>
          <w:p w14:paraId="323A5BE8"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03E49333"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72EFBCAD"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Reducción de interrupciones y costos.</w:t>
            </w:r>
          </w:p>
        </w:tc>
      </w:tr>
      <w:tr w:rsidR="00F212FE" w:rsidRPr="00E90338" w14:paraId="7A010929" w14:textId="77777777" w:rsidTr="0055381F">
        <w:trPr>
          <w:gridAfter w:val="1"/>
          <w:wAfter w:w="38" w:type="dxa"/>
          <w:trHeight w:val="620"/>
        </w:trPr>
        <w:tc>
          <w:tcPr>
            <w:tcW w:w="1990" w:type="dxa"/>
            <w:vMerge/>
            <w:tcBorders>
              <w:top w:val="single" w:sz="4" w:space="0" w:color="auto"/>
              <w:left w:val="single" w:sz="4" w:space="0" w:color="auto"/>
              <w:bottom w:val="single" w:sz="4" w:space="0" w:color="auto"/>
              <w:right w:val="nil"/>
            </w:tcBorders>
            <w:shd w:val="clear" w:color="auto" w:fill="227ACB"/>
            <w:vAlign w:val="center"/>
            <w:hideMark/>
          </w:tcPr>
          <w:p w14:paraId="404D6F20"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75ACE847"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0557DAD7"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Eficacia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6732514"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5A6221DE"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No se analizan escenarios alternativos.</w:t>
            </w:r>
          </w:p>
        </w:tc>
        <w:tc>
          <w:tcPr>
            <w:tcW w:w="2138" w:type="dxa"/>
            <w:tcBorders>
              <w:top w:val="nil"/>
              <w:left w:val="nil"/>
              <w:bottom w:val="single" w:sz="4" w:space="0" w:color="auto"/>
              <w:right w:val="single" w:sz="4" w:space="0" w:color="auto"/>
            </w:tcBorders>
            <w:hideMark/>
          </w:tcPr>
          <w:p w14:paraId="01BA24EF"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Pérdida de efectividad frente a incertidumbre.</w:t>
            </w:r>
          </w:p>
        </w:tc>
        <w:tc>
          <w:tcPr>
            <w:tcW w:w="2953" w:type="dxa"/>
            <w:gridSpan w:val="3"/>
            <w:tcBorders>
              <w:top w:val="nil"/>
              <w:left w:val="nil"/>
              <w:bottom w:val="single" w:sz="4" w:space="0" w:color="auto"/>
              <w:right w:val="single" w:sz="4" w:space="0" w:color="auto"/>
            </w:tcBorders>
            <w:noWrap/>
            <w:vAlign w:val="center"/>
            <w:hideMark/>
          </w:tcPr>
          <w:p w14:paraId="5D278BC9"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512A893E"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Simulación de escenarios con variables críticas</w:t>
            </w:r>
          </w:p>
        </w:tc>
        <w:tc>
          <w:tcPr>
            <w:tcW w:w="1590" w:type="dxa"/>
            <w:gridSpan w:val="2"/>
            <w:tcBorders>
              <w:top w:val="nil"/>
              <w:left w:val="nil"/>
              <w:bottom w:val="single" w:sz="4" w:space="0" w:color="auto"/>
              <w:right w:val="single" w:sz="4" w:space="0" w:color="auto"/>
            </w:tcBorders>
            <w:noWrap/>
            <w:vAlign w:val="center"/>
            <w:hideMark/>
          </w:tcPr>
          <w:p w14:paraId="67DFFD97"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1710838B"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6F931E5F"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Mayor capacidad de respuesta y planificación.</w:t>
            </w:r>
          </w:p>
        </w:tc>
      </w:tr>
      <w:tr w:rsidR="00F212FE" w:rsidRPr="00E90338" w14:paraId="2DA688BB" w14:textId="77777777" w:rsidTr="0055381F">
        <w:trPr>
          <w:gridAfter w:val="1"/>
          <w:wAfter w:w="38" w:type="dxa"/>
          <w:trHeight w:val="620"/>
        </w:trPr>
        <w:tc>
          <w:tcPr>
            <w:tcW w:w="1990" w:type="dxa"/>
            <w:vMerge/>
            <w:tcBorders>
              <w:top w:val="single" w:sz="4" w:space="0" w:color="auto"/>
              <w:left w:val="single" w:sz="4" w:space="0" w:color="auto"/>
              <w:bottom w:val="single" w:sz="4" w:space="0" w:color="auto"/>
              <w:right w:val="nil"/>
            </w:tcBorders>
            <w:shd w:val="clear" w:color="auto" w:fill="227ACB"/>
            <w:vAlign w:val="center"/>
            <w:hideMark/>
          </w:tcPr>
          <w:p w14:paraId="14C96468"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0D1D9CA9"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440FBFAF"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Eficiencia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B397092"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55A05C44"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Uso ineficiente de recursos por falta de simulaciones.</w:t>
            </w:r>
          </w:p>
        </w:tc>
        <w:tc>
          <w:tcPr>
            <w:tcW w:w="2138" w:type="dxa"/>
            <w:tcBorders>
              <w:top w:val="nil"/>
              <w:left w:val="nil"/>
              <w:bottom w:val="single" w:sz="4" w:space="0" w:color="auto"/>
              <w:right w:val="single" w:sz="4" w:space="0" w:color="auto"/>
            </w:tcBorders>
            <w:hideMark/>
          </w:tcPr>
          <w:p w14:paraId="040084A2"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Costos elevados e impactos innecesarios.</w:t>
            </w:r>
          </w:p>
        </w:tc>
        <w:tc>
          <w:tcPr>
            <w:tcW w:w="2953" w:type="dxa"/>
            <w:gridSpan w:val="3"/>
            <w:tcBorders>
              <w:top w:val="nil"/>
              <w:left w:val="nil"/>
              <w:bottom w:val="single" w:sz="4" w:space="0" w:color="auto"/>
              <w:right w:val="single" w:sz="4" w:space="0" w:color="auto"/>
            </w:tcBorders>
            <w:noWrap/>
            <w:vAlign w:val="center"/>
            <w:hideMark/>
          </w:tcPr>
          <w:p w14:paraId="22ECEBDB"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76210274"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Modelos de optimización de recursos.</w:t>
            </w:r>
          </w:p>
        </w:tc>
        <w:tc>
          <w:tcPr>
            <w:tcW w:w="1590" w:type="dxa"/>
            <w:gridSpan w:val="2"/>
            <w:tcBorders>
              <w:top w:val="nil"/>
              <w:left w:val="nil"/>
              <w:bottom w:val="single" w:sz="4" w:space="0" w:color="auto"/>
              <w:right w:val="single" w:sz="4" w:space="0" w:color="auto"/>
            </w:tcBorders>
            <w:noWrap/>
            <w:vAlign w:val="center"/>
            <w:hideMark/>
          </w:tcPr>
          <w:p w14:paraId="6B680A6F"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11652C8D"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716AEA2C"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Uso racional y sostenible de insumos.</w:t>
            </w:r>
          </w:p>
        </w:tc>
      </w:tr>
      <w:tr w:rsidR="00F212FE" w:rsidRPr="00E90338" w14:paraId="4FD61EAC" w14:textId="77777777" w:rsidTr="0055381F">
        <w:trPr>
          <w:gridAfter w:val="1"/>
          <w:wAfter w:w="38" w:type="dxa"/>
          <w:trHeight w:val="930"/>
        </w:trPr>
        <w:tc>
          <w:tcPr>
            <w:tcW w:w="1990" w:type="dxa"/>
            <w:vMerge/>
            <w:tcBorders>
              <w:top w:val="single" w:sz="4" w:space="0" w:color="auto"/>
              <w:left w:val="single" w:sz="4" w:space="0" w:color="auto"/>
              <w:bottom w:val="single" w:sz="4" w:space="0" w:color="auto"/>
              <w:right w:val="nil"/>
            </w:tcBorders>
            <w:shd w:val="clear" w:color="auto" w:fill="227ACB"/>
            <w:vAlign w:val="center"/>
            <w:hideMark/>
          </w:tcPr>
          <w:p w14:paraId="68D83364"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49386BC7"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148B9314"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Imparcialidad</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9961B51"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1EA2BCFB"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Los modelos no consideran equidad o efectos diferenciados.</w:t>
            </w:r>
          </w:p>
        </w:tc>
        <w:tc>
          <w:tcPr>
            <w:tcW w:w="2138" w:type="dxa"/>
            <w:tcBorders>
              <w:top w:val="nil"/>
              <w:left w:val="nil"/>
              <w:bottom w:val="single" w:sz="4" w:space="0" w:color="auto"/>
              <w:right w:val="single" w:sz="4" w:space="0" w:color="auto"/>
            </w:tcBorders>
            <w:hideMark/>
          </w:tcPr>
          <w:p w14:paraId="6438B8C1"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Riesgo de favorecer a unos actores sobre otros.</w:t>
            </w:r>
          </w:p>
        </w:tc>
        <w:tc>
          <w:tcPr>
            <w:tcW w:w="2953" w:type="dxa"/>
            <w:gridSpan w:val="3"/>
            <w:tcBorders>
              <w:top w:val="nil"/>
              <w:left w:val="nil"/>
              <w:bottom w:val="single" w:sz="4" w:space="0" w:color="auto"/>
              <w:right w:val="single" w:sz="4" w:space="0" w:color="auto"/>
            </w:tcBorders>
            <w:noWrap/>
            <w:vAlign w:val="center"/>
            <w:hideMark/>
          </w:tcPr>
          <w:p w14:paraId="6F14C091"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0A2C6F91"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Incluir variables sociales y demográficas en simulación.</w:t>
            </w:r>
          </w:p>
        </w:tc>
        <w:tc>
          <w:tcPr>
            <w:tcW w:w="1590" w:type="dxa"/>
            <w:gridSpan w:val="2"/>
            <w:tcBorders>
              <w:top w:val="nil"/>
              <w:left w:val="nil"/>
              <w:bottom w:val="single" w:sz="4" w:space="0" w:color="auto"/>
              <w:right w:val="single" w:sz="4" w:space="0" w:color="auto"/>
            </w:tcBorders>
            <w:noWrap/>
            <w:vAlign w:val="center"/>
            <w:hideMark/>
          </w:tcPr>
          <w:p w14:paraId="65C0CEF0"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30CFAF0C"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2A7B1B61"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Resultados más justos e inclusivos.</w:t>
            </w:r>
          </w:p>
        </w:tc>
      </w:tr>
      <w:tr w:rsidR="00F212FE" w:rsidRPr="00E90338" w14:paraId="688FF6AD" w14:textId="77777777" w:rsidTr="0055381F">
        <w:trPr>
          <w:gridAfter w:val="1"/>
          <w:wAfter w:w="38" w:type="dxa"/>
          <w:trHeight w:val="320"/>
        </w:trPr>
        <w:tc>
          <w:tcPr>
            <w:tcW w:w="1990" w:type="dxa"/>
            <w:tcBorders>
              <w:top w:val="single" w:sz="4" w:space="0" w:color="auto"/>
              <w:left w:val="single" w:sz="4" w:space="0" w:color="auto"/>
              <w:bottom w:val="single" w:sz="4" w:space="0" w:color="auto"/>
              <w:right w:val="single" w:sz="4" w:space="0" w:color="auto"/>
            </w:tcBorders>
            <w:shd w:val="clear" w:color="000000" w:fill="4CA7DA"/>
            <w:noWrap/>
            <w:vAlign w:val="bottom"/>
            <w:hideMark/>
          </w:tcPr>
          <w:p w14:paraId="64637C6E"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Category</w:t>
            </w:r>
          </w:p>
        </w:tc>
        <w:tc>
          <w:tcPr>
            <w:tcW w:w="1979" w:type="dxa"/>
            <w:tcBorders>
              <w:top w:val="nil"/>
              <w:left w:val="nil"/>
              <w:bottom w:val="single" w:sz="4" w:space="0" w:color="auto"/>
              <w:right w:val="nil"/>
            </w:tcBorders>
            <w:shd w:val="clear" w:color="000000" w:fill="4CA7DA"/>
            <w:noWrap/>
            <w:vAlign w:val="center"/>
            <w:hideMark/>
          </w:tcPr>
          <w:p w14:paraId="57A980E5"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Agilidad Empresarial</w:t>
            </w:r>
          </w:p>
        </w:tc>
        <w:tc>
          <w:tcPr>
            <w:tcW w:w="1667" w:type="dxa"/>
            <w:vMerge w:val="restart"/>
            <w:tcBorders>
              <w:top w:val="nil"/>
              <w:left w:val="single" w:sz="4" w:space="0" w:color="auto"/>
              <w:bottom w:val="single" w:sz="4" w:space="0" w:color="auto"/>
              <w:right w:val="single" w:sz="4" w:space="0" w:color="auto"/>
            </w:tcBorders>
            <w:shd w:val="clear" w:color="000000" w:fill="4CA7DA"/>
            <w:noWrap/>
            <w:vAlign w:val="center"/>
            <w:hideMark/>
          </w:tcPr>
          <w:p w14:paraId="1CC2B17A"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Lente</w:t>
            </w:r>
          </w:p>
        </w:tc>
        <w:tc>
          <w:tcPr>
            <w:tcW w:w="1452" w:type="dxa"/>
            <w:vMerge w:val="restart"/>
            <w:tcBorders>
              <w:top w:val="nil"/>
              <w:left w:val="single" w:sz="4" w:space="0" w:color="auto"/>
              <w:bottom w:val="single" w:sz="4" w:space="0" w:color="auto"/>
              <w:right w:val="single" w:sz="4" w:space="0" w:color="auto"/>
            </w:tcBorders>
            <w:shd w:val="clear" w:color="000000" w:fill="4CA7DA"/>
            <w:noWrap/>
            <w:vAlign w:val="center"/>
            <w:hideMark/>
          </w:tcPr>
          <w:p w14:paraId="741F5874"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¿Calificado?</w:t>
            </w:r>
          </w:p>
        </w:tc>
        <w:tc>
          <w:tcPr>
            <w:tcW w:w="2681" w:type="dxa"/>
            <w:gridSpan w:val="2"/>
            <w:vMerge w:val="restart"/>
            <w:tcBorders>
              <w:top w:val="nil"/>
              <w:left w:val="single" w:sz="4" w:space="0" w:color="auto"/>
              <w:bottom w:val="single" w:sz="4" w:space="0" w:color="auto"/>
              <w:right w:val="single" w:sz="4" w:space="0" w:color="auto"/>
            </w:tcBorders>
            <w:shd w:val="clear" w:color="000000" w:fill="4CA7DA"/>
            <w:vAlign w:val="center"/>
            <w:hideMark/>
          </w:tcPr>
          <w:p w14:paraId="719150C0"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Descripción (Causa)</w:t>
            </w:r>
          </w:p>
        </w:tc>
        <w:tc>
          <w:tcPr>
            <w:tcW w:w="2138" w:type="dxa"/>
            <w:vMerge w:val="restart"/>
            <w:tcBorders>
              <w:top w:val="nil"/>
              <w:left w:val="single" w:sz="4" w:space="0" w:color="auto"/>
              <w:bottom w:val="single" w:sz="4" w:space="0" w:color="auto"/>
              <w:right w:val="single" w:sz="4" w:space="0" w:color="auto"/>
            </w:tcBorders>
            <w:shd w:val="clear" w:color="000000" w:fill="4CA7DA"/>
            <w:vAlign w:val="center"/>
            <w:hideMark/>
          </w:tcPr>
          <w:p w14:paraId="6ED3C444"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Impacto Potencial en la Sostenibilidad</w:t>
            </w:r>
          </w:p>
        </w:tc>
        <w:tc>
          <w:tcPr>
            <w:tcW w:w="2953" w:type="dxa"/>
            <w:gridSpan w:val="3"/>
            <w:vMerge w:val="restart"/>
            <w:tcBorders>
              <w:top w:val="nil"/>
              <w:left w:val="single" w:sz="4" w:space="0" w:color="auto"/>
              <w:bottom w:val="single" w:sz="4" w:space="0" w:color="auto"/>
              <w:right w:val="single" w:sz="4" w:space="0" w:color="auto"/>
            </w:tcBorders>
            <w:shd w:val="clear" w:color="000000" w:fill="4CA7DA"/>
            <w:vAlign w:val="center"/>
            <w:hideMark/>
          </w:tcPr>
          <w:p w14:paraId="4D1D61E8"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 xml:space="preserve">Puntaje Inicial del Impacto (Antes) </w:t>
            </w:r>
          </w:p>
        </w:tc>
        <w:tc>
          <w:tcPr>
            <w:tcW w:w="3817" w:type="dxa"/>
            <w:gridSpan w:val="4"/>
            <w:vMerge w:val="restart"/>
            <w:tcBorders>
              <w:top w:val="nil"/>
              <w:left w:val="single" w:sz="4" w:space="0" w:color="auto"/>
              <w:bottom w:val="single" w:sz="4" w:space="0" w:color="auto"/>
              <w:right w:val="single" w:sz="4" w:space="0" w:color="auto"/>
            </w:tcBorders>
            <w:shd w:val="clear" w:color="000000" w:fill="4CA7DA"/>
            <w:vAlign w:val="center"/>
            <w:hideMark/>
          </w:tcPr>
          <w:p w14:paraId="7B41EF33"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Respuesta Propuesta</w:t>
            </w:r>
          </w:p>
        </w:tc>
        <w:tc>
          <w:tcPr>
            <w:tcW w:w="1590" w:type="dxa"/>
            <w:gridSpan w:val="2"/>
            <w:vMerge w:val="restart"/>
            <w:tcBorders>
              <w:top w:val="nil"/>
              <w:left w:val="single" w:sz="4" w:space="0" w:color="auto"/>
              <w:bottom w:val="single" w:sz="4" w:space="0" w:color="auto"/>
              <w:right w:val="single" w:sz="4" w:space="0" w:color="auto"/>
            </w:tcBorders>
            <w:shd w:val="clear" w:color="000000" w:fill="4CA7DA"/>
            <w:vAlign w:val="center"/>
            <w:hideMark/>
          </w:tcPr>
          <w:p w14:paraId="2B826347"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Nuevo Puntaje del Impacto (Después)</w:t>
            </w:r>
          </w:p>
        </w:tc>
        <w:tc>
          <w:tcPr>
            <w:tcW w:w="975" w:type="dxa"/>
            <w:vMerge w:val="restart"/>
            <w:tcBorders>
              <w:top w:val="nil"/>
              <w:left w:val="single" w:sz="4" w:space="0" w:color="auto"/>
              <w:bottom w:val="single" w:sz="4" w:space="0" w:color="auto"/>
              <w:right w:val="single" w:sz="4" w:space="0" w:color="auto"/>
            </w:tcBorders>
            <w:shd w:val="clear" w:color="000000" w:fill="4CA7DA"/>
            <w:noWrap/>
            <w:vAlign w:val="center"/>
            <w:hideMark/>
          </w:tcPr>
          <w:p w14:paraId="44275610"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Cambio</w:t>
            </w:r>
          </w:p>
        </w:tc>
        <w:tc>
          <w:tcPr>
            <w:tcW w:w="1699" w:type="dxa"/>
            <w:vMerge w:val="restart"/>
            <w:tcBorders>
              <w:top w:val="nil"/>
              <w:left w:val="single" w:sz="4" w:space="0" w:color="auto"/>
              <w:bottom w:val="single" w:sz="4" w:space="0" w:color="auto"/>
              <w:right w:val="single" w:sz="4" w:space="0" w:color="auto"/>
            </w:tcBorders>
            <w:shd w:val="clear" w:color="000000" w:fill="4CA7DA"/>
            <w:vAlign w:val="center"/>
            <w:hideMark/>
          </w:tcPr>
          <w:p w14:paraId="341D714A"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Resultado</w:t>
            </w:r>
          </w:p>
        </w:tc>
      </w:tr>
      <w:tr w:rsidR="00F212FE" w:rsidRPr="00E90338" w14:paraId="3C883F27" w14:textId="77777777" w:rsidTr="0055381F">
        <w:trPr>
          <w:gridAfter w:val="1"/>
          <w:wAfter w:w="38" w:type="dxa"/>
          <w:trHeight w:val="310"/>
        </w:trPr>
        <w:tc>
          <w:tcPr>
            <w:tcW w:w="1990" w:type="dxa"/>
            <w:tcBorders>
              <w:top w:val="nil"/>
              <w:left w:val="single" w:sz="4" w:space="0" w:color="auto"/>
              <w:bottom w:val="single" w:sz="4" w:space="0" w:color="auto"/>
              <w:right w:val="single" w:sz="4" w:space="0" w:color="auto"/>
            </w:tcBorders>
            <w:shd w:val="clear" w:color="000000" w:fill="C3E2F3"/>
            <w:noWrap/>
            <w:vAlign w:val="bottom"/>
            <w:hideMark/>
          </w:tcPr>
          <w:p w14:paraId="75F74008"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Elemento</w:t>
            </w:r>
          </w:p>
        </w:tc>
        <w:tc>
          <w:tcPr>
            <w:tcW w:w="1979" w:type="dxa"/>
            <w:tcBorders>
              <w:top w:val="nil"/>
              <w:left w:val="nil"/>
              <w:bottom w:val="single" w:sz="4" w:space="0" w:color="auto"/>
              <w:right w:val="single" w:sz="4" w:space="0" w:color="auto"/>
            </w:tcBorders>
            <w:shd w:val="clear" w:color="000000" w:fill="C3E2F3"/>
            <w:noWrap/>
            <w:vAlign w:val="center"/>
            <w:hideMark/>
          </w:tcPr>
          <w:p w14:paraId="29607668"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Descripción</w:t>
            </w:r>
          </w:p>
        </w:tc>
        <w:tc>
          <w:tcPr>
            <w:tcW w:w="1667" w:type="dxa"/>
            <w:vMerge/>
            <w:tcBorders>
              <w:top w:val="nil"/>
              <w:left w:val="single" w:sz="4" w:space="0" w:color="auto"/>
              <w:bottom w:val="single" w:sz="4" w:space="0" w:color="auto"/>
              <w:right w:val="single" w:sz="4" w:space="0" w:color="auto"/>
            </w:tcBorders>
            <w:vAlign w:val="center"/>
            <w:hideMark/>
          </w:tcPr>
          <w:p w14:paraId="74AB453A"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452" w:type="dxa"/>
            <w:vMerge/>
            <w:tcBorders>
              <w:top w:val="nil"/>
              <w:left w:val="single" w:sz="4" w:space="0" w:color="auto"/>
              <w:bottom w:val="single" w:sz="4" w:space="0" w:color="auto"/>
              <w:right w:val="single" w:sz="4" w:space="0" w:color="auto"/>
            </w:tcBorders>
            <w:vAlign w:val="center"/>
            <w:hideMark/>
          </w:tcPr>
          <w:p w14:paraId="698BACEA"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2681" w:type="dxa"/>
            <w:gridSpan w:val="2"/>
            <w:vMerge/>
            <w:tcBorders>
              <w:top w:val="nil"/>
              <w:left w:val="single" w:sz="4" w:space="0" w:color="auto"/>
              <w:bottom w:val="single" w:sz="4" w:space="0" w:color="auto"/>
              <w:right w:val="single" w:sz="4" w:space="0" w:color="auto"/>
            </w:tcBorders>
            <w:vAlign w:val="center"/>
            <w:hideMark/>
          </w:tcPr>
          <w:p w14:paraId="2E758E1C"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2138" w:type="dxa"/>
            <w:vMerge/>
            <w:tcBorders>
              <w:top w:val="nil"/>
              <w:left w:val="single" w:sz="4" w:space="0" w:color="auto"/>
              <w:bottom w:val="single" w:sz="4" w:space="0" w:color="auto"/>
              <w:right w:val="single" w:sz="4" w:space="0" w:color="auto"/>
            </w:tcBorders>
            <w:vAlign w:val="center"/>
            <w:hideMark/>
          </w:tcPr>
          <w:p w14:paraId="6ED9A0BC"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2953" w:type="dxa"/>
            <w:gridSpan w:val="3"/>
            <w:vMerge/>
            <w:tcBorders>
              <w:top w:val="nil"/>
              <w:left w:val="single" w:sz="4" w:space="0" w:color="auto"/>
              <w:bottom w:val="single" w:sz="4" w:space="0" w:color="auto"/>
              <w:right w:val="single" w:sz="4" w:space="0" w:color="auto"/>
            </w:tcBorders>
            <w:vAlign w:val="center"/>
            <w:hideMark/>
          </w:tcPr>
          <w:p w14:paraId="2DF840F6"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3817" w:type="dxa"/>
            <w:gridSpan w:val="4"/>
            <w:vMerge/>
            <w:tcBorders>
              <w:top w:val="nil"/>
              <w:left w:val="single" w:sz="4" w:space="0" w:color="auto"/>
              <w:bottom w:val="single" w:sz="4" w:space="0" w:color="auto"/>
              <w:right w:val="single" w:sz="4" w:space="0" w:color="auto"/>
            </w:tcBorders>
            <w:vAlign w:val="center"/>
            <w:hideMark/>
          </w:tcPr>
          <w:p w14:paraId="27E0F02A"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590" w:type="dxa"/>
            <w:gridSpan w:val="2"/>
            <w:vMerge/>
            <w:tcBorders>
              <w:top w:val="nil"/>
              <w:left w:val="single" w:sz="4" w:space="0" w:color="auto"/>
              <w:bottom w:val="single" w:sz="4" w:space="0" w:color="auto"/>
              <w:right w:val="single" w:sz="4" w:space="0" w:color="auto"/>
            </w:tcBorders>
            <w:vAlign w:val="center"/>
            <w:hideMark/>
          </w:tcPr>
          <w:p w14:paraId="7B6A4A14"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975" w:type="dxa"/>
            <w:vMerge/>
            <w:tcBorders>
              <w:top w:val="nil"/>
              <w:left w:val="single" w:sz="4" w:space="0" w:color="auto"/>
              <w:bottom w:val="single" w:sz="4" w:space="0" w:color="auto"/>
              <w:right w:val="single" w:sz="4" w:space="0" w:color="auto"/>
            </w:tcBorders>
            <w:vAlign w:val="center"/>
            <w:hideMark/>
          </w:tcPr>
          <w:p w14:paraId="37A8E4C4"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699" w:type="dxa"/>
            <w:vMerge/>
            <w:tcBorders>
              <w:top w:val="nil"/>
              <w:left w:val="single" w:sz="4" w:space="0" w:color="auto"/>
              <w:bottom w:val="single" w:sz="4" w:space="0" w:color="auto"/>
              <w:right w:val="single" w:sz="4" w:space="0" w:color="auto"/>
            </w:tcBorders>
            <w:vAlign w:val="center"/>
            <w:hideMark/>
          </w:tcPr>
          <w:p w14:paraId="655D04A6"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r>
      <w:tr w:rsidR="00F212FE" w:rsidRPr="00E90338" w14:paraId="643577A6" w14:textId="77777777" w:rsidTr="0055381F">
        <w:trPr>
          <w:gridAfter w:val="1"/>
          <w:wAfter w:w="38" w:type="dxa"/>
          <w:trHeight w:val="930"/>
        </w:trPr>
        <w:tc>
          <w:tcPr>
            <w:tcW w:w="1990" w:type="dxa"/>
            <w:vMerge w:val="restart"/>
            <w:tcBorders>
              <w:top w:val="single" w:sz="4" w:space="0" w:color="auto"/>
              <w:left w:val="single" w:sz="4" w:space="0" w:color="auto"/>
              <w:bottom w:val="single" w:sz="4" w:space="0" w:color="auto"/>
              <w:right w:val="nil"/>
            </w:tcBorders>
            <w:shd w:val="clear" w:color="auto" w:fill="227ACB"/>
            <w:noWrap/>
            <w:vAlign w:val="bottom"/>
            <w:hideMark/>
          </w:tcPr>
          <w:p w14:paraId="51EB95C1"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noProof/>
                <w:color w:val="000000"/>
                <w:sz w:val="24"/>
                <w:lang w:val="es-CR" w:eastAsia="es-CR"/>
              </w:rPr>
              <w:drawing>
                <wp:anchor distT="0" distB="0" distL="114300" distR="114300" simplePos="0" relativeHeight="251704320" behindDoc="0" locked="0" layoutInCell="1" allowOverlap="1" wp14:anchorId="0D6E105D" wp14:editId="52766BD8">
                  <wp:simplePos x="0" y="0"/>
                  <wp:positionH relativeFrom="column">
                    <wp:posOffset>212725</wp:posOffset>
                  </wp:positionH>
                  <wp:positionV relativeFrom="paragraph">
                    <wp:posOffset>-1847850</wp:posOffset>
                  </wp:positionV>
                  <wp:extent cx="742950" cy="889000"/>
                  <wp:effectExtent l="0" t="0" r="0" b="0"/>
                  <wp:wrapNone/>
                  <wp:docPr id="16" name="Imagen 46">
                    <a:extLst xmlns:a="http://schemas.openxmlformats.org/drawingml/2006/main">
                      <a:ext uri="{FF2B5EF4-FFF2-40B4-BE49-F238E27FC236}">
                        <a16:creationId xmlns:a16="http://schemas.microsoft.com/office/drawing/2014/main" id="{00000000-0008-0000-0500-000010000000}"/>
                      </a:ext>
                    </a:extLst>
                  </wp:docPr>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00000000-0008-0000-0500-000010000000}"/>
                              </a:ext>
                            </a:extLst>
                          </pic:cNvPr>
                          <pic:cNvPicPr>
                            <a:picLocks noChangeAspect="1"/>
                          </pic:cNvPicPr>
                        </pic:nvPicPr>
                        <pic:blipFill>
                          <a:blip r:embed="rId70"/>
                          <a:stretch>
                            <a:fillRect/>
                          </a:stretch>
                        </pic:blipFill>
                        <pic:spPr>
                          <a:xfrm>
                            <a:off x="0" y="0"/>
                            <a:ext cx="742950" cy="889000"/>
                          </a:xfrm>
                          <a:prstGeom prst="rect">
                            <a:avLst/>
                          </a:prstGeom>
                        </pic:spPr>
                      </pic:pic>
                    </a:graphicData>
                  </a:graphic>
                  <wp14:sizeRelH relativeFrom="page">
                    <wp14:pctWidth>0</wp14:pctWidth>
                  </wp14:sizeRelH>
                  <wp14:sizeRelV relativeFrom="page">
                    <wp14:pctHeight>0</wp14:pctHeight>
                  </wp14:sizeRelV>
                </wp:anchor>
              </w:drawing>
            </w:r>
          </w:p>
          <w:p w14:paraId="55DCFE1B"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val="restart"/>
            <w:tcBorders>
              <w:top w:val="nil"/>
              <w:left w:val="single" w:sz="4" w:space="0" w:color="auto"/>
              <w:bottom w:val="single" w:sz="4" w:space="0" w:color="auto"/>
              <w:right w:val="single" w:sz="4" w:space="0" w:color="auto"/>
            </w:tcBorders>
            <w:shd w:val="clear" w:color="000000" w:fill="F2F2F2"/>
            <w:vAlign w:val="center"/>
            <w:hideMark/>
          </w:tcPr>
          <w:p w14:paraId="1A0D285A"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r w:rsidRPr="00E90338">
              <w:rPr>
                <w:rFonts w:ascii="Calibri" w:eastAsia="Times New Roman" w:hAnsi="Calibri" w:cs="Calibri"/>
                <w:color w:val="000000"/>
                <w:sz w:val="18"/>
                <w:szCs w:val="18"/>
                <w:lang w:val="es-CR" w:eastAsia="es-CR"/>
              </w:rPr>
              <w:t>Flexibilidad es la capacidad de adaptarse a circunstancias o situaciones cambiantes. Requiere la capacidad de modificar planes o enfoques ante desafíos inesperados.</w:t>
            </w:r>
            <w:r w:rsidRPr="00E90338">
              <w:rPr>
                <w:rFonts w:ascii="Calibri" w:eastAsia="Times New Roman" w:hAnsi="Calibri" w:cs="Calibri"/>
                <w:color w:val="000000"/>
                <w:sz w:val="18"/>
                <w:szCs w:val="18"/>
                <w:lang w:val="es-CR" w:eastAsia="es-CR"/>
              </w:rPr>
              <w:br/>
            </w:r>
            <w:r w:rsidRPr="00E90338">
              <w:rPr>
                <w:rFonts w:ascii="Calibri" w:eastAsia="Times New Roman" w:hAnsi="Calibri" w:cs="Calibri"/>
                <w:color w:val="000000"/>
                <w:sz w:val="18"/>
                <w:szCs w:val="18"/>
                <w:lang w:val="es-CR" w:eastAsia="es-CR"/>
              </w:rPr>
              <w:br/>
              <w:t>Opcionalidad significa tener múltiples soluciones u opciones disponibles. Significa que el proyecto no está restringido por un solo enfoque. Opcionalidad significa que el proyecto es capaz de soportar diferentes resultados con diferentes productos sin tener que empezar de nuevo.</w:t>
            </w:r>
          </w:p>
        </w:tc>
        <w:tc>
          <w:tcPr>
            <w:tcW w:w="1667" w:type="dxa"/>
            <w:tcBorders>
              <w:top w:val="nil"/>
              <w:left w:val="nil"/>
              <w:bottom w:val="single" w:sz="4" w:space="0" w:color="auto"/>
              <w:right w:val="single" w:sz="4" w:space="0" w:color="auto"/>
            </w:tcBorders>
            <w:shd w:val="clear" w:color="000000" w:fill="F2F2F2"/>
            <w:noWrap/>
            <w:vAlign w:val="center"/>
            <w:hideMark/>
          </w:tcPr>
          <w:p w14:paraId="05D1D6AC"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Vida Útil</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E252D05"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533CFCEB"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Diseño inflexible que no contempla futuros usos o necesidades</w:t>
            </w:r>
          </w:p>
        </w:tc>
        <w:tc>
          <w:tcPr>
            <w:tcW w:w="2138" w:type="dxa"/>
            <w:tcBorders>
              <w:top w:val="nil"/>
              <w:left w:val="nil"/>
              <w:bottom w:val="single" w:sz="4" w:space="0" w:color="auto"/>
              <w:right w:val="single" w:sz="4" w:space="0" w:color="auto"/>
            </w:tcBorders>
            <w:hideMark/>
          </w:tcPr>
          <w:p w14:paraId="65BFB6FC"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Riesgo de obsolescencia temprana.</w:t>
            </w:r>
          </w:p>
        </w:tc>
        <w:tc>
          <w:tcPr>
            <w:tcW w:w="2953" w:type="dxa"/>
            <w:gridSpan w:val="3"/>
            <w:tcBorders>
              <w:top w:val="nil"/>
              <w:left w:val="nil"/>
              <w:bottom w:val="single" w:sz="4" w:space="0" w:color="auto"/>
              <w:right w:val="single" w:sz="4" w:space="0" w:color="auto"/>
            </w:tcBorders>
            <w:noWrap/>
            <w:vAlign w:val="center"/>
            <w:hideMark/>
          </w:tcPr>
          <w:p w14:paraId="06DBC5CE"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384024A9"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Diseñar con principios de adaptabilidad.</w:t>
            </w:r>
          </w:p>
        </w:tc>
        <w:tc>
          <w:tcPr>
            <w:tcW w:w="1590" w:type="dxa"/>
            <w:gridSpan w:val="2"/>
            <w:tcBorders>
              <w:top w:val="nil"/>
              <w:left w:val="nil"/>
              <w:bottom w:val="single" w:sz="4" w:space="0" w:color="auto"/>
              <w:right w:val="single" w:sz="4" w:space="0" w:color="auto"/>
            </w:tcBorders>
            <w:noWrap/>
            <w:vAlign w:val="center"/>
            <w:hideMark/>
          </w:tcPr>
          <w:p w14:paraId="0FCB4369"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03E5C8B9"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21520FD1"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 xml:space="preserve"> Extensión de la vida útil del proyecto.</w:t>
            </w:r>
          </w:p>
        </w:tc>
      </w:tr>
      <w:tr w:rsidR="00F212FE" w:rsidRPr="00E90338" w14:paraId="46E5F505" w14:textId="77777777" w:rsidTr="0055381F">
        <w:trPr>
          <w:gridAfter w:val="1"/>
          <w:wAfter w:w="38" w:type="dxa"/>
          <w:trHeight w:val="930"/>
        </w:trPr>
        <w:tc>
          <w:tcPr>
            <w:tcW w:w="1990" w:type="dxa"/>
            <w:vMerge/>
            <w:tcBorders>
              <w:top w:val="single" w:sz="4" w:space="0" w:color="auto"/>
              <w:left w:val="single" w:sz="4" w:space="0" w:color="auto"/>
              <w:bottom w:val="single" w:sz="4" w:space="0" w:color="auto"/>
              <w:right w:val="nil"/>
            </w:tcBorders>
            <w:shd w:val="clear" w:color="auto" w:fill="227ACB"/>
            <w:vAlign w:val="center"/>
            <w:hideMark/>
          </w:tcPr>
          <w:p w14:paraId="723C1A61"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06CCFDD8"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0132EBAA"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Mantenimiento</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98781F9"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7E91DD2F"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Sin opciones para adaptarse a distintos escenarios operativos.</w:t>
            </w:r>
          </w:p>
        </w:tc>
        <w:tc>
          <w:tcPr>
            <w:tcW w:w="2138" w:type="dxa"/>
            <w:tcBorders>
              <w:top w:val="nil"/>
              <w:left w:val="nil"/>
              <w:bottom w:val="single" w:sz="4" w:space="0" w:color="auto"/>
              <w:right w:val="single" w:sz="4" w:space="0" w:color="auto"/>
            </w:tcBorders>
            <w:hideMark/>
          </w:tcPr>
          <w:p w14:paraId="3CDF5477"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Costos y tiempos de mantenimiento más altos.</w:t>
            </w:r>
          </w:p>
        </w:tc>
        <w:tc>
          <w:tcPr>
            <w:tcW w:w="2953" w:type="dxa"/>
            <w:gridSpan w:val="3"/>
            <w:tcBorders>
              <w:top w:val="nil"/>
              <w:left w:val="nil"/>
              <w:bottom w:val="single" w:sz="4" w:space="0" w:color="auto"/>
              <w:right w:val="single" w:sz="4" w:space="0" w:color="auto"/>
            </w:tcBorders>
            <w:noWrap/>
            <w:vAlign w:val="center"/>
            <w:hideMark/>
          </w:tcPr>
          <w:p w14:paraId="5EB8292D"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5A109C48"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Incorporar componentes modulares o ajustables.</w:t>
            </w:r>
          </w:p>
        </w:tc>
        <w:tc>
          <w:tcPr>
            <w:tcW w:w="1590" w:type="dxa"/>
            <w:gridSpan w:val="2"/>
            <w:tcBorders>
              <w:top w:val="nil"/>
              <w:left w:val="nil"/>
              <w:bottom w:val="single" w:sz="4" w:space="0" w:color="auto"/>
              <w:right w:val="single" w:sz="4" w:space="0" w:color="auto"/>
            </w:tcBorders>
            <w:noWrap/>
            <w:vAlign w:val="center"/>
            <w:hideMark/>
          </w:tcPr>
          <w:p w14:paraId="4A485670"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5428F030"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419331B0"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 xml:space="preserve"> Mantenimiento más ágil y económico.</w:t>
            </w:r>
          </w:p>
        </w:tc>
      </w:tr>
      <w:tr w:rsidR="00F212FE" w:rsidRPr="00E90338" w14:paraId="1EF081BD" w14:textId="77777777" w:rsidTr="0055381F">
        <w:trPr>
          <w:gridAfter w:val="1"/>
          <w:wAfter w:w="38" w:type="dxa"/>
          <w:trHeight w:val="620"/>
        </w:trPr>
        <w:tc>
          <w:tcPr>
            <w:tcW w:w="1990" w:type="dxa"/>
            <w:vMerge/>
            <w:tcBorders>
              <w:top w:val="single" w:sz="4" w:space="0" w:color="auto"/>
              <w:left w:val="single" w:sz="4" w:space="0" w:color="auto"/>
              <w:bottom w:val="single" w:sz="4" w:space="0" w:color="auto"/>
              <w:right w:val="nil"/>
            </w:tcBorders>
            <w:shd w:val="clear" w:color="auto" w:fill="227ACB"/>
            <w:vAlign w:val="center"/>
            <w:hideMark/>
          </w:tcPr>
          <w:p w14:paraId="7EF5909D"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2DB9C209"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4A55956E"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Eficacia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05285B6"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08E06E6A"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Falta de alternativas de acción ante cambios externos.</w:t>
            </w:r>
          </w:p>
        </w:tc>
        <w:tc>
          <w:tcPr>
            <w:tcW w:w="2138" w:type="dxa"/>
            <w:tcBorders>
              <w:top w:val="nil"/>
              <w:left w:val="nil"/>
              <w:bottom w:val="single" w:sz="4" w:space="0" w:color="auto"/>
              <w:right w:val="single" w:sz="4" w:space="0" w:color="auto"/>
            </w:tcBorders>
            <w:hideMark/>
          </w:tcPr>
          <w:p w14:paraId="24F87D13"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Baja capacidad de respuesta ante incertidumbre.</w:t>
            </w:r>
          </w:p>
        </w:tc>
        <w:tc>
          <w:tcPr>
            <w:tcW w:w="2953" w:type="dxa"/>
            <w:gridSpan w:val="3"/>
            <w:tcBorders>
              <w:top w:val="nil"/>
              <w:left w:val="nil"/>
              <w:bottom w:val="single" w:sz="4" w:space="0" w:color="auto"/>
              <w:right w:val="single" w:sz="4" w:space="0" w:color="auto"/>
            </w:tcBorders>
            <w:noWrap/>
            <w:vAlign w:val="center"/>
            <w:hideMark/>
          </w:tcPr>
          <w:p w14:paraId="6BE30DF4"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009B317F"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Planificación basada en escenarios múltiples.</w:t>
            </w:r>
          </w:p>
        </w:tc>
        <w:tc>
          <w:tcPr>
            <w:tcW w:w="1590" w:type="dxa"/>
            <w:gridSpan w:val="2"/>
            <w:tcBorders>
              <w:top w:val="nil"/>
              <w:left w:val="nil"/>
              <w:bottom w:val="single" w:sz="4" w:space="0" w:color="auto"/>
              <w:right w:val="single" w:sz="4" w:space="0" w:color="auto"/>
            </w:tcBorders>
            <w:noWrap/>
            <w:vAlign w:val="center"/>
            <w:hideMark/>
          </w:tcPr>
          <w:p w14:paraId="5CC67F52"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460F50BF"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54997A2A"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Mejora en la toma de decisiones estratégicas.</w:t>
            </w:r>
          </w:p>
        </w:tc>
      </w:tr>
      <w:tr w:rsidR="00F212FE" w:rsidRPr="00E90338" w14:paraId="21B954A3" w14:textId="77777777" w:rsidTr="0055381F">
        <w:trPr>
          <w:gridAfter w:val="1"/>
          <w:wAfter w:w="38" w:type="dxa"/>
          <w:trHeight w:val="620"/>
        </w:trPr>
        <w:tc>
          <w:tcPr>
            <w:tcW w:w="1990" w:type="dxa"/>
            <w:vMerge/>
            <w:tcBorders>
              <w:top w:val="single" w:sz="4" w:space="0" w:color="auto"/>
              <w:left w:val="single" w:sz="4" w:space="0" w:color="auto"/>
              <w:bottom w:val="single" w:sz="4" w:space="0" w:color="auto"/>
              <w:right w:val="nil"/>
            </w:tcBorders>
            <w:shd w:val="clear" w:color="auto" w:fill="227ACB"/>
            <w:vAlign w:val="center"/>
            <w:hideMark/>
          </w:tcPr>
          <w:p w14:paraId="0BADF965"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2C4540FA"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77DA93E1"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Eficiencia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7680F82"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0E27AFF1"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Rediseño constante por falta de opciones previstas.</w:t>
            </w:r>
          </w:p>
        </w:tc>
        <w:tc>
          <w:tcPr>
            <w:tcW w:w="2138" w:type="dxa"/>
            <w:tcBorders>
              <w:top w:val="nil"/>
              <w:left w:val="nil"/>
              <w:bottom w:val="single" w:sz="4" w:space="0" w:color="auto"/>
              <w:right w:val="single" w:sz="4" w:space="0" w:color="auto"/>
            </w:tcBorders>
            <w:hideMark/>
          </w:tcPr>
          <w:p w14:paraId="23956F7E"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Pérdida de recursos y tiempos.</w:t>
            </w:r>
          </w:p>
        </w:tc>
        <w:tc>
          <w:tcPr>
            <w:tcW w:w="2953" w:type="dxa"/>
            <w:gridSpan w:val="3"/>
            <w:tcBorders>
              <w:top w:val="nil"/>
              <w:left w:val="nil"/>
              <w:bottom w:val="single" w:sz="4" w:space="0" w:color="auto"/>
              <w:right w:val="single" w:sz="4" w:space="0" w:color="auto"/>
            </w:tcBorders>
            <w:noWrap/>
            <w:vAlign w:val="center"/>
            <w:hideMark/>
          </w:tcPr>
          <w:p w14:paraId="36E2FE6E"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3D478AA4"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Diseñar rutas críticas flexibles y planes contingentes.</w:t>
            </w:r>
          </w:p>
        </w:tc>
        <w:tc>
          <w:tcPr>
            <w:tcW w:w="1590" w:type="dxa"/>
            <w:gridSpan w:val="2"/>
            <w:tcBorders>
              <w:top w:val="nil"/>
              <w:left w:val="nil"/>
              <w:bottom w:val="single" w:sz="4" w:space="0" w:color="auto"/>
              <w:right w:val="single" w:sz="4" w:space="0" w:color="auto"/>
            </w:tcBorders>
            <w:noWrap/>
            <w:vAlign w:val="center"/>
            <w:hideMark/>
          </w:tcPr>
          <w:p w14:paraId="7C9E96C2"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6B0A80DE"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0CFEB02D"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 xml:space="preserve"> Mayor eficiencia en la ejecución del proyecto.</w:t>
            </w:r>
          </w:p>
        </w:tc>
      </w:tr>
      <w:tr w:rsidR="00F212FE" w:rsidRPr="00E90338" w14:paraId="7033DC11" w14:textId="77777777" w:rsidTr="0055381F">
        <w:trPr>
          <w:gridAfter w:val="1"/>
          <w:wAfter w:w="38" w:type="dxa"/>
          <w:trHeight w:val="930"/>
        </w:trPr>
        <w:tc>
          <w:tcPr>
            <w:tcW w:w="1990" w:type="dxa"/>
            <w:vMerge/>
            <w:tcBorders>
              <w:top w:val="single" w:sz="4" w:space="0" w:color="auto"/>
              <w:left w:val="single" w:sz="4" w:space="0" w:color="auto"/>
              <w:bottom w:val="single" w:sz="4" w:space="0" w:color="auto"/>
              <w:right w:val="nil"/>
            </w:tcBorders>
            <w:shd w:val="clear" w:color="auto" w:fill="227ACB"/>
            <w:vAlign w:val="center"/>
            <w:hideMark/>
          </w:tcPr>
          <w:p w14:paraId="5DF0C416"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789F55C8"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13AAD90A"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Imparcialidad</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C550005"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03EE79D1"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El diseño limita la inclusión de necesidades diversas.</w:t>
            </w:r>
          </w:p>
        </w:tc>
        <w:tc>
          <w:tcPr>
            <w:tcW w:w="2138" w:type="dxa"/>
            <w:tcBorders>
              <w:top w:val="nil"/>
              <w:left w:val="nil"/>
              <w:bottom w:val="single" w:sz="4" w:space="0" w:color="auto"/>
              <w:right w:val="single" w:sz="4" w:space="0" w:color="auto"/>
            </w:tcBorders>
            <w:hideMark/>
          </w:tcPr>
          <w:p w14:paraId="6EC3EAAA"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Riesgo de exclusión de grupos interesados.</w:t>
            </w:r>
          </w:p>
        </w:tc>
        <w:tc>
          <w:tcPr>
            <w:tcW w:w="2953" w:type="dxa"/>
            <w:gridSpan w:val="3"/>
            <w:tcBorders>
              <w:top w:val="nil"/>
              <w:left w:val="nil"/>
              <w:bottom w:val="single" w:sz="4" w:space="0" w:color="auto"/>
              <w:right w:val="single" w:sz="4" w:space="0" w:color="auto"/>
            </w:tcBorders>
            <w:noWrap/>
            <w:vAlign w:val="center"/>
            <w:hideMark/>
          </w:tcPr>
          <w:p w14:paraId="6D0E6E3F"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5DA855B4"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Evaluar diferentes usuarios o beneficiarios al modelar opciones.</w:t>
            </w:r>
          </w:p>
        </w:tc>
        <w:tc>
          <w:tcPr>
            <w:tcW w:w="1590" w:type="dxa"/>
            <w:gridSpan w:val="2"/>
            <w:tcBorders>
              <w:top w:val="nil"/>
              <w:left w:val="nil"/>
              <w:bottom w:val="single" w:sz="4" w:space="0" w:color="auto"/>
              <w:right w:val="single" w:sz="4" w:space="0" w:color="auto"/>
            </w:tcBorders>
            <w:noWrap/>
            <w:vAlign w:val="center"/>
            <w:hideMark/>
          </w:tcPr>
          <w:p w14:paraId="1DECCD1C"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2085622C"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3813F1E6"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Proyecto más inclusivo y equitativo.</w:t>
            </w:r>
          </w:p>
        </w:tc>
      </w:tr>
      <w:tr w:rsidR="00F212FE" w:rsidRPr="00E90338" w14:paraId="679B5834" w14:textId="77777777" w:rsidTr="0055381F">
        <w:trPr>
          <w:gridAfter w:val="1"/>
          <w:wAfter w:w="38" w:type="dxa"/>
          <w:trHeight w:val="930"/>
        </w:trPr>
        <w:tc>
          <w:tcPr>
            <w:tcW w:w="1990" w:type="dxa"/>
            <w:vMerge w:val="restart"/>
            <w:tcBorders>
              <w:top w:val="single" w:sz="4" w:space="0" w:color="auto"/>
              <w:left w:val="single" w:sz="4" w:space="0" w:color="auto"/>
              <w:bottom w:val="single" w:sz="4" w:space="0" w:color="auto"/>
              <w:right w:val="nil"/>
            </w:tcBorders>
            <w:shd w:val="clear" w:color="auto" w:fill="227ACB"/>
            <w:noWrap/>
            <w:vAlign w:val="bottom"/>
            <w:hideMark/>
          </w:tcPr>
          <w:p w14:paraId="108E7E60"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noProof/>
                <w:color w:val="000000"/>
                <w:sz w:val="24"/>
                <w:lang w:val="es-CR" w:eastAsia="es-CR"/>
              </w:rPr>
              <w:lastRenderedPageBreak/>
              <w:drawing>
                <wp:anchor distT="0" distB="0" distL="114300" distR="114300" simplePos="0" relativeHeight="251705344" behindDoc="0" locked="0" layoutInCell="1" allowOverlap="1" wp14:anchorId="24140FD1" wp14:editId="30AF904E">
                  <wp:simplePos x="0" y="0"/>
                  <wp:positionH relativeFrom="column">
                    <wp:posOffset>196850</wp:posOffset>
                  </wp:positionH>
                  <wp:positionV relativeFrom="paragraph">
                    <wp:posOffset>-1461770</wp:posOffset>
                  </wp:positionV>
                  <wp:extent cx="774700" cy="914400"/>
                  <wp:effectExtent l="0" t="0" r="6350" b="0"/>
                  <wp:wrapNone/>
                  <wp:docPr id="1931639463" name="Imagen 45">
                    <a:extLst xmlns:a="http://schemas.openxmlformats.org/drawingml/2006/main">
                      <a:ext uri="{FF2B5EF4-FFF2-40B4-BE49-F238E27FC236}">
                        <a16:creationId xmlns:a16="http://schemas.microsoft.com/office/drawing/2014/main" id="{00000000-0008-0000-0500-000012000000}"/>
                      </a:ext>
                    </a:extLst>
                  </wp:docPr>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00000000-0008-0000-0500-000012000000}"/>
                              </a:ext>
                            </a:extLst>
                          </pic:cNvPr>
                          <pic:cNvPicPr>
                            <a:picLocks noChangeAspect="1"/>
                          </pic:cNvPicPr>
                        </pic:nvPicPr>
                        <pic:blipFill>
                          <a:blip r:embed="rId71"/>
                          <a:stretch>
                            <a:fillRect/>
                          </a:stretch>
                        </pic:blipFill>
                        <pic:spPr>
                          <a:xfrm>
                            <a:off x="0" y="0"/>
                            <a:ext cx="774700" cy="914400"/>
                          </a:xfrm>
                          <a:prstGeom prst="rect">
                            <a:avLst/>
                          </a:prstGeom>
                        </pic:spPr>
                      </pic:pic>
                    </a:graphicData>
                  </a:graphic>
                  <wp14:sizeRelH relativeFrom="page">
                    <wp14:pctWidth>0</wp14:pctWidth>
                  </wp14:sizeRelH>
                  <wp14:sizeRelV relativeFrom="page">
                    <wp14:pctHeight>0</wp14:pctHeight>
                  </wp14:sizeRelV>
                </wp:anchor>
              </w:drawing>
            </w:r>
          </w:p>
          <w:p w14:paraId="4592E8A4"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val="restart"/>
            <w:tcBorders>
              <w:top w:val="nil"/>
              <w:left w:val="single" w:sz="4" w:space="0" w:color="auto"/>
              <w:bottom w:val="single" w:sz="4" w:space="0" w:color="auto"/>
              <w:right w:val="single" w:sz="4" w:space="0" w:color="auto"/>
            </w:tcBorders>
            <w:shd w:val="clear" w:color="000000" w:fill="F2F2F2"/>
            <w:vAlign w:val="center"/>
            <w:hideMark/>
          </w:tcPr>
          <w:p w14:paraId="2FF3A529"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r w:rsidRPr="00E90338">
              <w:rPr>
                <w:rFonts w:ascii="Calibri" w:eastAsia="Times New Roman" w:hAnsi="Calibri" w:cs="Calibri"/>
                <w:color w:val="000000"/>
                <w:sz w:val="18"/>
                <w:szCs w:val="18"/>
                <w:lang w:val="es-CR" w:eastAsia="es-CR"/>
              </w:rPr>
              <w:t>Resiliencia es la capacidad del proyecto para recuperarse o adaptarse fácilmente a condiciones adversas, como fluctuaciones extremas del mercado, inestabilidad política o económica, desastres naturales o emergencias de salud. La resiliencia no hace que los problemas desaparezcan: significa tener la capacidad de hacerles frente a pesar del estrés inesperado.</w:t>
            </w:r>
          </w:p>
        </w:tc>
        <w:tc>
          <w:tcPr>
            <w:tcW w:w="1667" w:type="dxa"/>
            <w:tcBorders>
              <w:top w:val="nil"/>
              <w:left w:val="nil"/>
              <w:bottom w:val="single" w:sz="4" w:space="0" w:color="auto"/>
              <w:right w:val="single" w:sz="4" w:space="0" w:color="auto"/>
            </w:tcBorders>
            <w:shd w:val="clear" w:color="000000" w:fill="F2F2F2"/>
            <w:noWrap/>
            <w:vAlign w:val="center"/>
            <w:hideMark/>
          </w:tcPr>
          <w:p w14:paraId="3113D79C"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Vida Útil</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1433A9C"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6B2C62B0"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El proyecto no resiste cambios bruscos o crisis externas.</w:t>
            </w:r>
          </w:p>
        </w:tc>
        <w:tc>
          <w:tcPr>
            <w:tcW w:w="2138" w:type="dxa"/>
            <w:tcBorders>
              <w:top w:val="nil"/>
              <w:left w:val="nil"/>
              <w:bottom w:val="single" w:sz="4" w:space="0" w:color="auto"/>
              <w:right w:val="single" w:sz="4" w:space="0" w:color="auto"/>
            </w:tcBorders>
            <w:hideMark/>
          </w:tcPr>
          <w:p w14:paraId="20D2E8FC"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Riesgo de interrupción o cierre prematuro.</w:t>
            </w:r>
          </w:p>
        </w:tc>
        <w:tc>
          <w:tcPr>
            <w:tcW w:w="2953" w:type="dxa"/>
            <w:gridSpan w:val="3"/>
            <w:tcBorders>
              <w:top w:val="nil"/>
              <w:left w:val="nil"/>
              <w:bottom w:val="single" w:sz="4" w:space="0" w:color="auto"/>
              <w:right w:val="single" w:sz="4" w:space="0" w:color="auto"/>
            </w:tcBorders>
            <w:noWrap/>
            <w:vAlign w:val="center"/>
            <w:hideMark/>
          </w:tcPr>
          <w:p w14:paraId="5640C684"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0E0C8DEC"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Incluir análisis de riesgos externos y protocolos de recuperación</w:t>
            </w:r>
          </w:p>
        </w:tc>
        <w:tc>
          <w:tcPr>
            <w:tcW w:w="1590" w:type="dxa"/>
            <w:gridSpan w:val="2"/>
            <w:tcBorders>
              <w:top w:val="nil"/>
              <w:left w:val="nil"/>
              <w:bottom w:val="single" w:sz="4" w:space="0" w:color="auto"/>
              <w:right w:val="single" w:sz="4" w:space="0" w:color="auto"/>
            </w:tcBorders>
            <w:noWrap/>
            <w:vAlign w:val="center"/>
            <w:hideMark/>
          </w:tcPr>
          <w:p w14:paraId="12AD53A7"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1E6EFAFF"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229FCD7F"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Prolongación de la vida útil ante escenarios adversos.</w:t>
            </w:r>
          </w:p>
        </w:tc>
      </w:tr>
      <w:tr w:rsidR="00F212FE" w:rsidRPr="00E90338" w14:paraId="58395216" w14:textId="77777777" w:rsidTr="0055381F">
        <w:trPr>
          <w:gridAfter w:val="1"/>
          <w:wAfter w:w="38" w:type="dxa"/>
          <w:trHeight w:val="930"/>
        </w:trPr>
        <w:tc>
          <w:tcPr>
            <w:tcW w:w="1990" w:type="dxa"/>
            <w:vMerge/>
            <w:tcBorders>
              <w:top w:val="single" w:sz="4" w:space="0" w:color="auto"/>
              <w:left w:val="single" w:sz="4" w:space="0" w:color="auto"/>
              <w:bottom w:val="single" w:sz="4" w:space="0" w:color="auto"/>
              <w:right w:val="nil"/>
            </w:tcBorders>
            <w:shd w:val="clear" w:color="auto" w:fill="227ACB"/>
            <w:vAlign w:val="center"/>
            <w:hideMark/>
          </w:tcPr>
          <w:p w14:paraId="4D939F47"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33523F36"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754FBAFA"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Mantenimiento</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EC50A26"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38231B10"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Falta de planes de contingencia para eventos disruptivos.</w:t>
            </w:r>
          </w:p>
        </w:tc>
        <w:tc>
          <w:tcPr>
            <w:tcW w:w="2138" w:type="dxa"/>
            <w:tcBorders>
              <w:top w:val="nil"/>
              <w:left w:val="nil"/>
              <w:bottom w:val="single" w:sz="4" w:space="0" w:color="auto"/>
              <w:right w:val="single" w:sz="4" w:space="0" w:color="auto"/>
            </w:tcBorders>
            <w:hideMark/>
          </w:tcPr>
          <w:p w14:paraId="35D204B0"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Costos de mantenimiento mayores por improvisación.</w:t>
            </w:r>
          </w:p>
        </w:tc>
        <w:tc>
          <w:tcPr>
            <w:tcW w:w="2953" w:type="dxa"/>
            <w:gridSpan w:val="3"/>
            <w:tcBorders>
              <w:top w:val="nil"/>
              <w:left w:val="nil"/>
              <w:bottom w:val="single" w:sz="4" w:space="0" w:color="auto"/>
              <w:right w:val="single" w:sz="4" w:space="0" w:color="auto"/>
            </w:tcBorders>
            <w:noWrap/>
            <w:vAlign w:val="center"/>
            <w:hideMark/>
          </w:tcPr>
          <w:p w14:paraId="550A9F8A"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1397558A"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Desarrollar planes de continuidad y mantenimiento adaptativo.</w:t>
            </w:r>
          </w:p>
        </w:tc>
        <w:tc>
          <w:tcPr>
            <w:tcW w:w="1590" w:type="dxa"/>
            <w:gridSpan w:val="2"/>
            <w:tcBorders>
              <w:top w:val="nil"/>
              <w:left w:val="nil"/>
              <w:bottom w:val="single" w:sz="4" w:space="0" w:color="auto"/>
              <w:right w:val="single" w:sz="4" w:space="0" w:color="auto"/>
            </w:tcBorders>
            <w:noWrap/>
            <w:vAlign w:val="center"/>
            <w:hideMark/>
          </w:tcPr>
          <w:p w14:paraId="2FB951E5"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738791F5"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32F7670E"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Mayor control y reducción de tiempos de inactividad.</w:t>
            </w:r>
          </w:p>
        </w:tc>
      </w:tr>
      <w:tr w:rsidR="00F212FE" w:rsidRPr="00E90338" w14:paraId="6E99B286" w14:textId="77777777" w:rsidTr="0055381F">
        <w:trPr>
          <w:gridAfter w:val="1"/>
          <w:wAfter w:w="38" w:type="dxa"/>
          <w:trHeight w:val="930"/>
        </w:trPr>
        <w:tc>
          <w:tcPr>
            <w:tcW w:w="1990" w:type="dxa"/>
            <w:vMerge/>
            <w:tcBorders>
              <w:top w:val="single" w:sz="4" w:space="0" w:color="auto"/>
              <w:left w:val="single" w:sz="4" w:space="0" w:color="auto"/>
              <w:bottom w:val="single" w:sz="4" w:space="0" w:color="auto"/>
              <w:right w:val="nil"/>
            </w:tcBorders>
            <w:shd w:val="clear" w:color="auto" w:fill="227ACB"/>
            <w:vAlign w:val="center"/>
            <w:hideMark/>
          </w:tcPr>
          <w:p w14:paraId="2A0EF334"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1A94EA3C"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5DEAB931"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Eficacia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0CF6BE3"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006AAA34"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El proyecto falla al adaptarse ante crisis.</w:t>
            </w:r>
          </w:p>
        </w:tc>
        <w:tc>
          <w:tcPr>
            <w:tcW w:w="2138" w:type="dxa"/>
            <w:tcBorders>
              <w:top w:val="nil"/>
              <w:left w:val="nil"/>
              <w:bottom w:val="single" w:sz="4" w:space="0" w:color="auto"/>
              <w:right w:val="single" w:sz="4" w:space="0" w:color="auto"/>
            </w:tcBorders>
            <w:hideMark/>
          </w:tcPr>
          <w:p w14:paraId="17102BFD"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Incapacidad de cumplir objetivos estratégicos.</w:t>
            </w:r>
          </w:p>
        </w:tc>
        <w:tc>
          <w:tcPr>
            <w:tcW w:w="2953" w:type="dxa"/>
            <w:gridSpan w:val="3"/>
            <w:tcBorders>
              <w:top w:val="nil"/>
              <w:left w:val="nil"/>
              <w:bottom w:val="single" w:sz="4" w:space="0" w:color="auto"/>
              <w:right w:val="single" w:sz="4" w:space="0" w:color="auto"/>
            </w:tcBorders>
            <w:noWrap/>
            <w:vAlign w:val="center"/>
            <w:hideMark/>
          </w:tcPr>
          <w:p w14:paraId="62744AFF"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226E05EC"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Integrar escenarios alternativos en la planificación.</w:t>
            </w:r>
          </w:p>
        </w:tc>
        <w:tc>
          <w:tcPr>
            <w:tcW w:w="1590" w:type="dxa"/>
            <w:gridSpan w:val="2"/>
            <w:tcBorders>
              <w:top w:val="nil"/>
              <w:left w:val="nil"/>
              <w:bottom w:val="single" w:sz="4" w:space="0" w:color="auto"/>
              <w:right w:val="single" w:sz="4" w:space="0" w:color="auto"/>
            </w:tcBorders>
            <w:noWrap/>
            <w:vAlign w:val="center"/>
            <w:hideMark/>
          </w:tcPr>
          <w:p w14:paraId="71E5F278"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1D93C73A"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494EC99F"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 xml:space="preserve"> Aumento de la eficacia operativa ante la incertidumbre.</w:t>
            </w:r>
          </w:p>
        </w:tc>
      </w:tr>
      <w:tr w:rsidR="00F212FE" w:rsidRPr="00E90338" w14:paraId="438F6BEE" w14:textId="77777777" w:rsidTr="0055381F">
        <w:trPr>
          <w:gridAfter w:val="1"/>
          <w:wAfter w:w="38" w:type="dxa"/>
          <w:trHeight w:val="930"/>
        </w:trPr>
        <w:tc>
          <w:tcPr>
            <w:tcW w:w="1990" w:type="dxa"/>
            <w:vMerge/>
            <w:tcBorders>
              <w:top w:val="single" w:sz="4" w:space="0" w:color="auto"/>
              <w:left w:val="single" w:sz="4" w:space="0" w:color="auto"/>
              <w:bottom w:val="single" w:sz="4" w:space="0" w:color="auto"/>
              <w:right w:val="nil"/>
            </w:tcBorders>
            <w:shd w:val="clear" w:color="auto" w:fill="227ACB"/>
            <w:vAlign w:val="center"/>
            <w:hideMark/>
          </w:tcPr>
          <w:p w14:paraId="1962AFC0"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79FD0FF8"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7C5A9846"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Eficiencia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A90A6F2"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5A6172F2"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 xml:space="preserve"> Falta de preparación genera pérdidas de recursos en crisis.</w:t>
            </w:r>
          </w:p>
        </w:tc>
        <w:tc>
          <w:tcPr>
            <w:tcW w:w="2138" w:type="dxa"/>
            <w:tcBorders>
              <w:top w:val="nil"/>
              <w:left w:val="nil"/>
              <w:bottom w:val="single" w:sz="4" w:space="0" w:color="auto"/>
              <w:right w:val="single" w:sz="4" w:space="0" w:color="auto"/>
            </w:tcBorders>
            <w:hideMark/>
          </w:tcPr>
          <w:p w14:paraId="6783905E"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Desperdicio de tiempo y presupuesto.</w:t>
            </w:r>
          </w:p>
        </w:tc>
        <w:tc>
          <w:tcPr>
            <w:tcW w:w="2953" w:type="dxa"/>
            <w:gridSpan w:val="3"/>
            <w:tcBorders>
              <w:top w:val="nil"/>
              <w:left w:val="nil"/>
              <w:bottom w:val="single" w:sz="4" w:space="0" w:color="auto"/>
              <w:right w:val="single" w:sz="4" w:space="0" w:color="auto"/>
            </w:tcBorders>
            <w:noWrap/>
            <w:vAlign w:val="center"/>
            <w:hideMark/>
          </w:tcPr>
          <w:p w14:paraId="3D4659EA"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4EF431D6"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Diseñar mecanismos de respuesta rápida y evaluación de daños.</w:t>
            </w:r>
          </w:p>
        </w:tc>
        <w:tc>
          <w:tcPr>
            <w:tcW w:w="1590" w:type="dxa"/>
            <w:gridSpan w:val="2"/>
            <w:tcBorders>
              <w:top w:val="nil"/>
              <w:left w:val="nil"/>
              <w:bottom w:val="single" w:sz="4" w:space="0" w:color="auto"/>
              <w:right w:val="single" w:sz="4" w:space="0" w:color="auto"/>
            </w:tcBorders>
            <w:noWrap/>
            <w:vAlign w:val="center"/>
            <w:hideMark/>
          </w:tcPr>
          <w:p w14:paraId="0928B1B1"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793589B2"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15F06CED"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Optimización de recursos incluso en crisis.</w:t>
            </w:r>
          </w:p>
        </w:tc>
      </w:tr>
      <w:tr w:rsidR="00F212FE" w:rsidRPr="00E90338" w14:paraId="6FEE45F2" w14:textId="77777777" w:rsidTr="0055381F">
        <w:trPr>
          <w:gridAfter w:val="1"/>
          <w:wAfter w:w="38" w:type="dxa"/>
          <w:trHeight w:val="930"/>
        </w:trPr>
        <w:tc>
          <w:tcPr>
            <w:tcW w:w="1990" w:type="dxa"/>
            <w:vMerge/>
            <w:tcBorders>
              <w:top w:val="single" w:sz="4" w:space="0" w:color="auto"/>
              <w:left w:val="single" w:sz="4" w:space="0" w:color="auto"/>
              <w:bottom w:val="single" w:sz="4" w:space="0" w:color="auto"/>
              <w:right w:val="nil"/>
            </w:tcBorders>
            <w:shd w:val="clear" w:color="auto" w:fill="227ACB"/>
            <w:vAlign w:val="center"/>
            <w:hideMark/>
          </w:tcPr>
          <w:p w14:paraId="702C6D43"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7368A171"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100660DE"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Imparcialidad</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FBEDF04"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387E8966"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 xml:space="preserve"> Grupos vulnerables pueden verse más afectados en crisis.</w:t>
            </w:r>
          </w:p>
        </w:tc>
        <w:tc>
          <w:tcPr>
            <w:tcW w:w="2138" w:type="dxa"/>
            <w:tcBorders>
              <w:top w:val="nil"/>
              <w:left w:val="nil"/>
              <w:bottom w:val="single" w:sz="4" w:space="0" w:color="auto"/>
              <w:right w:val="single" w:sz="4" w:space="0" w:color="auto"/>
            </w:tcBorders>
            <w:hideMark/>
          </w:tcPr>
          <w:p w14:paraId="6969EBF0"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Impactos desiguales sin protocolos inclusivos.</w:t>
            </w:r>
          </w:p>
        </w:tc>
        <w:tc>
          <w:tcPr>
            <w:tcW w:w="2953" w:type="dxa"/>
            <w:gridSpan w:val="3"/>
            <w:tcBorders>
              <w:top w:val="nil"/>
              <w:left w:val="nil"/>
              <w:bottom w:val="single" w:sz="4" w:space="0" w:color="auto"/>
              <w:right w:val="single" w:sz="4" w:space="0" w:color="auto"/>
            </w:tcBorders>
            <w:noWrap/>
            <w:vAlign w:val="center"/>
            <w:hideMark/>
          </w:tcPr>
          <w:p w14:paraId="1F8D46E2"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09E506C6"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Incluir protocolos diferenciados para proteger a todos los involucrados.</w:t>
            </w:r>
          </w:p>
        </w:tc>
        <w:tc>
          <w:tcPr>
            <w:tcW w:w="1590" w:type="dxa"/>
            <w:gridSpan w:val="2"/>
            <w:tcBorders>
              <w:top w:val="nil"/>
              <w:left w:val="nil"/>
              <w:bottom w:val="single" w:sz="4" w:space="0" w:color="auto"/>
              <w:right w:val="single" w:sz="4" w:space="0" w:color="auto"/>
            </w:tcBorders>
            <w:noWrap/>
            <w:vAlign w:val="center"/>
            <w:hideMark/>
          </w:tcPr>
          <w:p w14:paraId="32419606"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19253195"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42EBECF5"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Mejora en la equidad y justicia del proyecto.</w:t>
            </w:r>
          </w:p>
        </w:tc>
      </w:tr>
      <w:tr w:rsidR="00F212FE" w:rsidRPr="00E90338" w14:paraId="599666E3" w14:textId="77777777" w:rsidTr="0055381F">
        <w:trPr>
          <w:gridAfter w:val="1"/>
          <w:wAfter w:w="38" w:type="dxa"/>
          <w:trHeight w:val="320"/>
        </w:trPr>
        <w:tc>
          <w:tcPr>
            <w:tcW w:w="1990" w:type="dxa"/>
            <w:tcBorders>
              <w:top w:val="single" w:sz="4" w:space="0" w:color="auto"/>
              <w:left w:val="single" w:sz="4" w:space="0" w:color="auto"/>
              <w:bottom w:val="single" w:sz="4" w:space="0" w:color="auto"/>
              <w:right w:val="single" w:sz="4" w:space="0" w:color="auto"/>
            </w:tcBorders>
            <w:shd w:val="clear" w:color="000000" w:fill="4CA7DA"/>
            <w:noWrap/>
            <w:vAlign w:val="bottom"/>
            <w:hideMark/>
          </w:tcPr>
          <w:p w14:paraId="22FE580A"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Categoría</w:t>
            </w:r>
          </w:p>
        </w:tc>
        <w:tc>
          <w:tcPr>
            <w:tcW w:w="1979" w:type="dxa"/>
            <w:tcBorders>
              <w:top w:val="nil"/>
              <w:left w:val="nil"/>
              <w:bottom w:val="single" w:sz="4" w:space="0" w:color="auto"/>
              <w:right w:val="nil"/>
            </w:tcBorders>
            <w:shd w:val="clear" w:color="000000" w:fill="4CA7DA"/>
            <w:noWrap/>
            <w:vAlign w:val="center"/>
            <w:hideMark/>
          </w:tcPr>
          <w:p w14:paraId="12844CAE"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Estímulación Económica y del Mercado</w:t>
            </w:r>
          </w:p>
        </w:tc>
        <w:tc>
          <w:tcPr>
            <w:tcW w:w="1667" w:type="dxa"/>
            <w:vMerge w:val="restart"/>
            <w:tcBorders>
              <w:top w:val="nil"/>
              <w:left w:val="single" w:sz="4" w:space="0" w:color="auto"/>
              <w:bottom w:val="single" w:sz="4" w:space="0" w:color="auto"/>
              <w:right w:val="single" w:sz="4" w:space="0" w:color="auto"/>
            </w:tcBorders>
            <w:shd w:val="clear" w:color="000000" w:fill="4CA7DA"/>
            <w:noWrap/>
            <w:vAlign w:val="center"/>
            <w:hideMark/>
          </w:tcPr>
          <w:p w14:paraId="787E68E7"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Lente</w:t>
            </w:r>
          </w:p>
        </w:tc>
        <w:tc>
          <w:tcPr>
            <w:tcW w:w="1452" w:type="dxa"/>
            <w:vMerge w:val="restart"/>
            <w:tcBorders>
              <w:top w:val="nil"/>
              <w:left w:val="single" w:sz="4" w:space="0" w:color="auto"/>
              <w:bottom w:val="single" w:sz="4" w:space="0" w:color="auto"/>
              <w:right w:val="single" w:sz="4" w:space="0" w:color="auto"/>
            </w:tcBorders>
            <w:shd w:val="clear" w:color="000000" w:fill="4CA7DA"/>
            <w:noWrap/>
            <w:vAlign w:val="center"/>
            <w:hideMark/>
          </w:tcPr>
          <w:p w14:paraId="248B60E1"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¿Calificado?</w:t>
            </w:r>
          </w:p>
        </w:tc>
        <w:tc>
          <w:tcPr>
            <w:tcW w:w="2681" w:type="dxa"/>
            <w:gridSpan w:val="2"/>
            <w:vMerge w:val="restart"/>
            <w:tcBorders>
              <w:top w:val="nil"/>
              <w:left w:val="single" w:sz="4" w:space="0" w:color="auto"/>
              <w:bottom w:val="single" w:sz="4" w:space="0" w:color="auto"/>
              <w:right w:val="single" w:sz="4" w:space="0" w:color="auto"/>
            </w:tcBorders>
            <w:shd w:val="clear" w:color="000000" w:fill="4CA7DA"/>
            <w:vAlign w:val="center"/>
            <w:hideMark/>
          </w:tcPr>
          <w:p w14:paraId="12104E10"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Descripción (Causa)</w:t>
            </w:r>
          </w:p>
        </w:tc>
        <w:tc>
          <w:tcPr>
            <w:tcW w:w="2138" w:type="dxa"/>
            <w:vMerge w:val="restart"/>
            <w:tcBorders>
              <w:top w:val="nil"/>
              <w:left w:val="single" w:sz="4" w:space="0" w:color="auto"/>
              <w:bottom w:val="single" w:sz="4" w:space="0" w:color="auto"/>
              <w:right w:val="single" w:sz="4" w:space="0" w:color="auto"/>
            </w:tcBorders>
            <w:shd w:val="clear" w:color="000000" w:fill="4CA7DA"/>
            <w:vAlign w:val="center"/>
            <w:hideMark/>
          </w:tcPr>
          <w:p w14:paraId="168F89BE"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Impacto Potencial en la Sostenibilidad</w:t>
            </w:r>
          </w:p>
        </w:tc>
        <w:tc>
          <w:tcPr>
            <w:tcW w:w="2953" w:type="dxa"/>
            <w:gridSpan w:val="3"/>
            <w:vMerge w:val="restart"/>
            <w:tcBorders>
              <w:top w:val="nil"/>
              <w:left w:val="single" w:sz="4" w:space="0" w:color="auto"/>
              <w:bottom w:val="single" w:sz="4" w:space="0" w:color="auto"/>
              <w:right w:val="single" w:sz="4" w:space="0" w:color="auto"/>
            </w:tcBorders>
            <w:shd w:val="clear" w:color="000000" w:fill="4CA7DA"/>
            <w:vAlign w:val="center"/>
            <w:hideMark/>
          </w:tcPr>
          <w:p w14:paraId="1BA3EDE8"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 xml:space="preserve">Puntaje Inicial del Impacto (Antes) </w:t>
            </w:r>
          </w:p>
        </w:tc>
        <w:tc>
          <w:tcPr>
            <w:tcW w:w="3817" w:type="dxa"/>
            <w:gridSpan w:val="4"/>
            <w:vMerge w:val="restart"/>
            <w:tcBorders>
              <w:top w:val="nil"/>
              <w:left w:val="single" w:sz="4" w:space="0" w:color="auto"/>
              <w:bottom w:val="single" w:sz="4" w:space="0" w:color="auto"/>
              <w:right w:val="single" w:sz="4" w:space="0" w:color="auto"/>
            </w:tcBorders>
            <w:shd w:val="clear" w:color="000000" w:fill="4CA7DA"/>
            <w:vAlign w:val="center"/>
            <w:hideMark/>
          </w:tcPr>
          <w:p w14:paraId="7AEA9360"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Respuesta Propuesta</w:t>
            </w:r>
          </w:p>
        </w:tc>
        <w:tc>
          <w:tcPr>
            <w:tcW w:w="1590" w:type="dxa"/>
            <w:gridSpan w:val="2"/>
            <w:vMerge w:val="restart"/>
            <w:tcBorders>
              <w:top w:val="nil"/>
              <w:left w:val="single" w:sz="4" w:space="0" w:color="auto"/>
              <w:bottom w:val="single" w:sz="4" w:space="0" w:color="auto"/>
              <w:right w:val="single" w:sz="4" w:space="0" w:color="auto"/>
            </w:tcBorders>
            <w:shd w:val="clear" w:color="000000" w:fill="4CA7DA"/>
            <w:vAlign w:val="center"/>
            <w:hideMark/>
          </w:tcPr>
          <w:p w14:paraId="1424CFA0"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Nuevo Puntaje del Impacto (Después)</w:t>
            </w:r>
          </w:p>
        </w:tc>
        <w:tc>
          <w:tcPr>
            <w:tcW w:w="975" w:type="dxa"/>
            <w:vMerge w:val="restart"/>
            <w:tcBorders>
              <w:top w:val="nil"/>
              <w:left w:val="single" w:sz="4" w:space="0" w:color="auto"/>
              <w:bottom w:val="single" w:sz="4" w:space="0" w:color="auto"/>
              <w:right w:val="single" w:sz="4" w:space="0" w:color="auto"/>
            </w:tcBorders>
            <w:shd w:val="clear" w:color="000000" w:fill="4CA7DA"/>
            <w:noWrap/>
            <w:vAlign w:val="center"/>
            <w:hideMark/>
          </w:tcPr>
          <w:p w14:paraId="633DE971"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Cambio</w:t>
            </w:r>
          </w:p>
        </w:tc>
        <w:tc>
          <w:tcPr>
            <w:tcW w:w="1699" w:type="dxa"/>
            <w:vMerge w:val="restart"/>
            <w:tcBorders>
              <w:top w:val="nil"/>
              <w:left w:val="single" w:sz="4" w:space="0" w:color="auto"/>
              <w:bottom w:val="single" w:sz="4" w:space="0" w:color="auto"/>
              <w:right w:val="single" w:sz="4" w:space="0" w:color="auto"/>
            </w:tcBorders>
            <w:shd w:val="clear" w:color="000000" w:fill="4CA7DA"/>
            <w:vAlign w:val="center"/>
            <w:hideMark/>
          </w:tcPr>
          <w:p w14:paraId="5931765B"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Resultado</w:t>
            </w:r>
          </w:p>
        </w:tc>
      </w:tr>
      <w:tr w:rsidR="00F212FE" w:rsidRPr="00E90338" w14:paraId="193DFBAC" w14:textId="77777777" w:rsidTr="0055381F">
        <w:trPr>
          <w:gridAfter w:val="1"/>
          <w:wAfter w:w="38" w:type="dxa"/>
          <w:trHeight w:val="310"/>
        </w:trPr>
        <w:tc>
          <w:tcPr>
            <w:tcW w:w="1990" w:type="dxa"/>
            <w:tcBorders>
              <w:top w:val="nil"/>
              <w:left w:val="single" w:sz="4" w:space="0" w:color="auto"/>
              <w:bottom w:val="single" w:sz="4" w:space="0" w:color="auto"/>
              <w:right w:val="single" w:sz="4" w:space="0" w:color="auto"/>
            </w:tcBorders>
            <w:shd w:val="clear" w:color="000000" w:fill="C3E2F3"/>
            <w:noWrap/>
            <w:vAlign w:val="bottom"/>
            <w:hideMark/>
          </w:tcPr>
          <w:p w14:paraId="79F5E688"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Elemento</w:t>
            </w:r>
          </w:p>
        </w:tc>
        <w:tc>
          <w:tcPr>
            <w:tcW w:w="1979" w:type="dxa"/>
            <w:tcBorders>
              <w:top w:val="nil"/>
              <w:left w:val="nil"/>
              <w:bottom w:val="single" w:sz="4" w:space="0" w:color="auto"/>
              <w:right w:val="single" w:sz="4" w:space="0" w:color="auto"/>
            </w:tcBorders>
            <w:shd w:val="clear" w:color="000000" w:fill="C3E2F3"/>
            <w:noWrap/>
            <w:vAlign w:val="center"/>
            <w:hideMark/>
          </w:tcPr>
          <w:p w14:paraId="6999E7F7"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Descripción</w:t>
            </w:r>
          </w:p>
        </w:tc>
        <w:tc>
          <w:tcPr>
            <w:tcW w:w="1667" w:type="dxa"/>
            <w:vMerge/>
            <w:tcBorders>
              <w:top w:val="nil"/>
              <w:left w:val="single" w:sz="4" w:space="0" w:color="auto"/>
              <w:bottom w:val="single" w:sz="4" w:space="0" w:color="auto"/>
              <w:right w:val="single" w:sz="4" w:space="0" w:color="auto"/>
            </w:tcBorders>
            <w:vAlign w:val="center"/>
            <w:hideMark/>
          </w:tcPr>
          <w:p w14:paraId="5064D29C"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452" w:type="dxa"/>
            <w:vMerge/>
            <w:tcBorders>
              <w:top w:val="nil"/>
              <w:left w:val="single" w:sz="4" w:space="0" w:color="auto"/>
              <w:bottom w:val="single" w:sz="4" w:space="0" w:color="auto"/>
              <w:right w:val="single" w:sz="4" w:space="0" w:color="auto"/>
            </w:tcBorders>
            <w:vAlign w:val="center"/>
            <w:hideMark/>
          </w:tcPr>
          <w:p w14:paraId="46F08962"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2681" w:type="dxa"/>
            <w:gridSpan w:val="2"/>
            <w:vMerge/>
            <w:tcBorders>
              <w:top w:val="nil"/>
              <w:left w:val="single" w:sz="4" w:space="0" w:color="auto"/>
              <w:bottom w:val="single" w:sz="4" w:space="0" w:color="auto"/>
              <w:right w:val="single" w:sz="4" w:space="0" w:color="auto"/>
            </w:tcBorders>
            <w:vAlign w:val="center"/>
            <w:hideMark/>
          </w:tcPr>
          <w:p w14:paraId="14D33EDC"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2138" w:type="dxa"/>
            <w:vMerge/>
            <w:tcBorders>
              <w:top w:val="nil"/>
              <w:left w:val="single" w:sz="4" w:space="0" w:color="auto"/>
              <w:bottom w:val="single" w:sz="4" w:space="0" w:color="auto"/>
              <w:right w:val="single" w:sz="4" w:space="0" w:color="auto"/>
            </w:tcBorders>
            <w:vAlign w:val="center"/>
            <w:hideMark/>
          </w:tcPr>
          <w:p w14:paraId="071F31A0"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2953" w:type="dxa"/>
            <w:gridSpan w:val="3"/>
            <w:vMerge/>
            <w:tcBorders>
              <w:top w:val="nil"/>
              <w:left w:val="single" w:sz="4" w:space="0" w:color="auto"/>
              <w:bottom w:val="single" w:sz="4" w:space="0" w:color="auto"/>
              <w:right w:val="single" w:sz="4" w:space="0" w:color="auto"/>
            </w:tcBorders>
            <w:vAlign w:val="center"/>
            <w:hideMark/>
          </w:tcPr>
          <w:p w14:paraId="52BF8756"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3817" w:type="dxa"/>
            <w:gridSpan w:val="4"/>
            <w:vMerge/>
            <w:tcBorders>
              <w:top w:val="nil"/>
              <w:left w:val="single" w:sz="4" w:space="0" w:color="auto"/>
              <w:bottom w:val="single" w:sz="4" w:space="0" w:color="auto"/>
              <w:right w:val="single" w:sz="4" w:space="0" w:color="auto"/>
            </w:tcBorders>
            <w:vAlign w:val="center"/>
            <w:hideMark/>
          </w:tcPr>
          <w:p w14:paraId="18B7E1A2"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590" w:type="dxa"/>
            <w:gridSpan w:val="2"/>
            <w:vMerge/>
            <w:tcBorders>
              <w:top w:val="nil"/>
              <w:left w:val="single" w:sz="4" w:space="0" w:color="auto"/>
              <w:bottom w:val="single" w:sz="4" w:space="0" w:color="auto"/>
              <w:right w:val="single" w:sz="4" w:space="0" w:color="auto"/>
            </w:tcBorders>
            <w:vAlign w:val="center"/>
            <w:hideMark/>
          </w:tcPr>
          <w:p w14:paraId="6157D333"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975" w:type="dxa"/>
            <w:vMerge/>
            <w:tcBorders>
              <w:top w:val="nil"/>
              <w:left w:val="single" w:sz="4" w:space="0" w:color="auto"/>
              <w:bottom w:val="single" w:sz="4" w:space="0" w:color="auto"/>
              <w:right w:val="single" w:sz="4" w:space="0" w:color="auto"/>
            </w:tcBorders>
            <w:vAlign w:val="center"/>
            <w:hideMark/>
          </w:tcPr>
          <w:p w14:paraId="014E3315"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699" w:type="dxa"/>
            <w:vMerge/>
            <w:tcBorders>
              <w:top w:val="nil"/>
              <w:left w:val="single" w:sz="4" w:space="0" w:color="auto"/>
              <w:bottom w:val="single" w:sz="4" w:space="0" w:color="auto"/>
              <w:right w:val="single" w:sz="4" w:space="0" w:color="auto"/>
            </w:tcBorders>
            <w:vAlign w:val="center"/>
            <w:hideMark/>
          </w:tcPr>
          <w:p w14:paraId="300A6128"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r>
      <w:tr w:rsidR="00F212FE" w:rsidRPr="00E90338" w14:paraId="398D8C58" w14:textId="77777777" w:rsidTr="0055381F">
        <w:trPr>
          <w:gridAfter w:val="1"/>
          <w:wAfter w:w="38" w:type="dxa"/>
          <w:trHeight w:val="930"/>
        </w:trPr>
        <w:tc>
          <w:tcPr>
            <w:tcW w:w="1990" w:type="dxa"/>
            <w:vMerge w:val="restart"/>
            <w:tcBorders>
              <w:top w:val="single" w:sz="4" w:space="0" w:color="auto"/>
              <w:left w:val="single" w:sz="4" w:space="0" w:color="auto"/>
              <w:bottom w:val="single" w:sz="4" w:space="0" w:color="auto"/>
              <w:right w:val="nil"/>
            </w:tcBorders>
            <w:shd w:val="clear" w:color="auto" w:fill="227ACB"/>
            <w:noWrap/>
            <w:vAlign w:val="bottom"/>
            <w:hideMark/>
          </w:tcPr>
          <w:p w14:paraId="79ECC70A"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noProof/>
                <w:color w:val="000000"/>
                <w:sz w:val="24"/>
                <w:lang w:val="es-CR" w:eastAsia="es-CR"/>
              </w:rPr>
              <w:drawing>
                <wp:anchor distT="0" distB="0" distL="114300" distR="114300" simplePos="0" relativeHeight="251706368" behindDoc="0" locked="0" layoutInCell="1" allowOverlap="1" wp14:anchorId="5A3FCFD5" wp14:editId="5D1513DD">
                  <wp:simplePos x="0" y="0"/>
                  <wp:positionH relativeFrom="column">
                    <wp:posOffset>187325</wp:posOffset>
                  </wp:positionH>
                  <wp:positionV relativeFrom="paragraph">
                    <wp:posOffset>-2045335</wp:posOffset>
                  </wp:positionV>
                  <wp:extent cx="825500" cy="946150"/>
                  <wp:effectExtent l="0" t="0" r="0" b="0"/>
                  <wp:wrapNone/>
                  <wp:docPr id="21" name="Imagen 44">
                    <a:extLst xmlns:a="http://schemas.openxmlformats.org/drawingml/2006/main">
                      <a:ext uri="{FF2B5EF4-FFF2-40B4-BE49-F238E27FC236}">
                        <a16:creationId xmlns:a16="http://schemas.microsoft.com/office/drawing/2014/main" id="{00000000-0008-0000-0500-000015000000}"/>
                      </a:ext>
                    </a:extLst>
                  </wp:docPr>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00000000-0008-0000-0500-000015000000}"/>
                              </a:ext>
                            </a:extLst>
                          </pic:cNvPr>
                          <pic:cNvPicPr>
                            <a:picLocks noChangeAspect="1"/>
                          </pic:cNvPicPr>
                        </pic:nvPicPr>
                        <pic:blipFill>
                          <a:blip r:embed="rId72"/>
                          <a:stretch>
                            <a:fillRect/>
                          </a:stretch>
                        </pic:blipFill>
                        <pic:spPr>
                          <a:xfrm>
                            <a:off x="0" y="0"/>
                            <a:ext cx="825500" cy="946150"/>
                          </a:xfrm>
                          <a:prstGeom prst="rect">
                            <a:avLst/>
                          </a:prstGeom>
                        </pic:spPr>
                      </pic:pic>
                    </a:graphicData>
                  </a:graphic>
                  <wp14:sizeRelH relativeFrom="page">
                    <wp14:pctWidth>0</wp14:pctWidth>
                  </wp14:sizeRelH>
                  <wp14:sizeRelV relativeFrom="page">
                    <wp14:pctHeight>0</wp14:pctHeight>
                  </wp14:sizeRelV>
                </wp:anchor>
              </w:drawing>
            </w:r>
          </w:p>
          <w:p w14:paraId="0B9CD31E"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val="restart"/>
            <w:tcBorders>
              <w:top w:val="nil"/>
              <w:left w:val="single" w:sz="4" w:space="0" w:color="auto"/>
              <w:bottom w:val="single" w:sz="4" w:space="0" w:color="auto"/>
              <w:right w:val="single" w:sz="4" w:space="0" w:color="auto"/>
            </w:tcBorders>
            <w:shd w:val="clear" w:color="000000" w:fill="F2F2F2"/>
            <w:vAlign w:val="center"/>
            <w:hideMark/>
          </w:tcPr>
          <w:p w14:paraId="1A5BE72A"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r w:rsidRPr="00E90338">
              <w:rPr>
                <w:rFonts w:ascii="Calibri" w:eastAsia="Times New Roman" w:hAnsi="Calibri" w:cs="Calibri"/>
                <w:color w:val="000000"/>
                <w:sz w:val="18"/>
                <w:szCs w:val="18"/>
                <w:lang w:val="es-CR" w:eastAsia="es-CR"/>
              </w:rPr>
              <w:t>Impacto económico local incluye los efectos directos e indirectos que el proyecto tiene sobre la economía de su área local. Esto puede incluir la creación de empleo, un mayor gasto en la economía local o un mayor desarrollo regional.</w:t>
            </w:r>
          </w:p>
        </w:tc>
        <w:tc>
          <w:tcPr>
            <w:tcW w:w="1667" w:type="dxa"/>
            <w:tcBorders>
              <w:top w:val="nil"/>
              <w:left w:val="nil"/>
              <w:bottom w:val="single" w:sz="4" w:space="0" w:color="auto"/>
              <w:right w:val="single" w:sz="4" w:space="0" w:color="auto"/>
            </w:tcBorders>
            <w:shd w:val="clear" w:color="000000" w:fill="F2F2F2"/>
            <w:noWrap/>
            <w:vAlign w:val="center"/>
            <w:hideMark/>
          </w:tcPr>
          <w:p w14:paraId="52BFF1C0"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Vida Útil</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8AA3522"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24C51FC9"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El proyecto no considera fuentes de empleo sostenibles.</w:t>
            </w:r>
          </w:p>
        </w:tc>
        <w:tc>
          <w:tcPr>
            <w:tcW w:w="2138" w:type="dxa"/>
            <w:tcBorders>
              <w:top w:val="nil"/>
              <w:left w:val="nil"/>
              <w:bottom w:val="single" w:sz="4" w:space="0" w:color="auto"/>
              <w:right w:val="single" w:sz="4" w:space="0" w:color="auto"/>
            </w:tcBorders>
            <w:hideMark/>
          </w:tcPr>
          <w:p w14:paraId="396131F8"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Reducción del beneficio económico a largo plazo.</w:t>
            </w:r>
          </w:p>
        </w:tc>
        <w:tc>
          <w:tcPr>
            <w:tcW w:w="2953" w:type="dxa"/>
            <w:gridSpan w:val="3"/>
            <w:tcBorders>
              <w:top w:val="nil"/>
              <w:left w:val="nil"/>
              <w:bottom w:val="single" w:sz="4" w:space="0" w:color="auto"/>
              <w:right w:val="single" w:sz="4" w:space="0" w:color="auto"/>
            </w:tcBorders>
            <w:noWrap/>
            <w:vAlign w:val="center"/>
            <w:hideMark/>
          </w:tcPr>
          <w:p w14:paraId="60C6C9AA"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45335F0A"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Integrar empleo local y contratos a largo plazo con proveedores regionales.</w:t>
            </w:r>
          </w:p>
        </w:tc>
        <w:tc>
          <w:tcPr>
            <w:tcW w:w="1590" w:type="dxa"/>
            <w:gridSpan w:val="2"/>
            <w:tcBorders>
              <w:top w:val="nil"/>
              <w:left w:val="nil"/>
              <w:bottom w:val="single" w:sz="4" w:space="0" w:color="auto"/>
              <w:right w:val="single" w:sz="4" w:space="0" w:color="auto"/>
            </w:tcBorders>
            <w:noWrap/>
            <w:vAlign w:val="center"/>
            <w:hideMark/>
          </w:tcPr>
          <w:p w14:paraId="5ED1EC21"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365CA49A"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1B237007"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Generación de empleo sostenible y duradero.</w:t>
            </w:r>
          </w:p>
        </w:tc>
      </w:tr>
      <w:tr w:rsidR="00F212FE" w:rsidRPr="00E90338" w14:paraId="1E269E14" w14:textId="77777777" w:rsidTr="0055381F">
        <w:trPr>
          <w:gridAfter w:val="1"/>
          <w:wAfter w:w="38" w:type="dxa"/>
          <w:trHeight w:val="930"/>
        </w:trPr>
        <w:tc>
          <w:tcPr>
            <w:tcW w:w="1990" w:type="dxa"/>
            <w:vMerge/>
            <w:tcBorders>
              <w:top w:val="single" w:sz="4" w:space="0" w:color="auto"/>
              <w:left w:val="single" w:sz="4" w:space="0" w:color="auto"/>
              <w:bottom w:val="single" w:sz="4" w:space="0" w:color="auto"/>
              <w:right w:val="nil"/>
            </w:tcBorders>
            <w:shd w:val="clear" w:color="auto" w:fill="227ACB"/>
            <w:vAlign w:val="center"/>
            <w:hideMark/>
          </w:tcPr>
          <w:p w14:paraId="064DD09B"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72488C78"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6441C057"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Mantenimiento</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97CC769"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52FAE002"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Dependencia de proveedores externos y costos variables.</w:t>
            </w:r>
          </w:p>
        </w:tc>
        <w:tc>
          <w:tcPr>
            <w:tcW w:w="2138" w:type="dxa"/>
            <w:tcBorders>
              <w:top w:val="nil"/>
              <w:left w:val="nil"/>
              <w:bottom w:val="single" w:sz="4" w:space="0" w:color="auto"/>
              <w:right w:val="single" w:sz="4" w:space="0" w:color="auto"/>
            </w:tcBorders>
            <w:hideMark/>
          </w:tcPr>
          <w:p w14:paraId="7D7096E6"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Aumento en el costo de operación a largo plazo.</w:t>
            </w:r>
          </w:p>
        </w:tc>
        <w:tc>
          <w:tcPr>
            <w:tcW w:w="2953" w:type="dxa"/>
            <w:gridSpan w:val="3"/>
            <w:tcBorders>
              <w:top w:val="nil"/>
              <w:left w:val="nil"/>
              <w:bottom w:val="single" w:sz="4" w:space="0" w:color="auto"/>
              <w:right w:val="single" w:sz="4" w:space="0" w:color="auto"/>
            </w:tcBorders>
            <w:noWrap/>
            <w:vAlign w:val="center"/>
            <w:hideMark/>
          </w:tcPr>
          <w:p w14:paraId="6359DE27"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09AC6DE4"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Fomentar compras locales estables y alianzas con empresas locales.</w:t>
            </w:r>
          </w:p>
        </w:tc>
        <w:tc>
          <w:tcPr>
            <w:tcW w:w="1590" w:type="dxa"/>
            <w:gridSpan w:val="2"/>
            <w:tcBorders>
              <w:top w:val="nil"/>
              <w:left w:val="nil"/>
              <w:bottom w:val="single" w:sz="4" w:space="0" w:color="auto"/>
              <w:right w:val="single" w:sz="4" w:space="0" w:color="auto"/>
            </w:tcBorders>
            <w:noWrap/>
            <w:vAlign w:val="center"/>
            <w:hideMark/>
          </w:tcPr>
          <w:p w14:paraId="370070A3"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26EDE885"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0FFDFEDA"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Mayor estabilidad y resiliencia económica.</w:t>
            </w:r>
          </w:p>
        </w:tc>
      </w:tr>
      <w:tr w:rsidR="00F212FE" w:rsidRPr="00E90338" w14:paraId="66B3EE35" w14:textId="77777777" w:rsidTr="0055381F">
        <w:trPr>
          <w:gridAfter w:val="1"/>
          <w:wAfter w:w="38" w:type="dxa"/>
          <w:trHeight w:val="930"/>
        </w:trPr>
        <w:tc>
          <w:tcPr>
            <w:tcW w:w="1990" w:type="dxa"/>
            <w:vMerge/>
            <w:tcBorders>
              <w:top w:val="single" w:sz="4" w:space="0" w:color="auto"/>
              <w:left w:val="single" w:sz="4" w:space="0" w:color="auto"/>
              <w:bottom w:val="single" w:sz="4" w:space="0" w:color="auto"/>
              <w:right w:val="nil"/>
            </w:tcBorders>
            <w:shd w:val="clear" w:color="auto" w:fill="227ACB"/>
            <w:vAlign w:val="center"/>
            <w:hideMark/>
          </w:tcPr>
          <w:p w14:paraId="4A8B3789"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59DE6D8B"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451D411E"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Eficacia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E57EAA7"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5DD1B879"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 xml:space="preserve"> Falta de alineación con objetivos de desarrollo regional.</w:t>
            </w:r>
          </w:p>
        </w:tc>
        <w:tc>
          <w:tcPr>
            <w:tcW w:w="2138" w:type="dxa"/>
            <w:tcBorders>
              <w:top w:val="nil"/>
              <w:left w:val="nil"/>
              <w:bottom w:val="single" w:sz="4" w:space="0" w:color="auto"/>
              <w:right w:val="single" w:sz="4" w:space="0" w:color="auto"/>
            </w:tcBorders>
            <w:hideMark/>
          </w:tcPr>
          <w:p w14:paraId="519ECF73"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Bajo aporte al desarrollo económico esperado.</w:t>
            </w:r>
          </w:p>
        </w:tc>
        <w:tc>
          <w:tcPr>
            <w:tcW w:w="2953" w:type="dxa"/>
            <w:gridSpan w:val="3"/>
            <w:tcBorders>
              <w:top w:val="nil"/>
              <w:left w:val="nil"/>
              <w:bottom w:val="single" w:sz="4" w:space="0" w:color="auto"/>
              <w:right w:val="single" w:sz="4" w:space="0" w:color="auto"/>
            </w:tcBorders>
            <w:noWrap/>
            <w:vAlign w:val="center"/>
            <w:hideMark/>
          </w:tcPr>
          <w:p w14:paraId="54895248"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33267663"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Incluir metas de impacto económico local en los entregables.</w:t>
            </w:r>
          </w:p>
        </w:tc>
        <w:tc>
          <w:tcPr>
            <w:tcW w:w="1590" w:type="dxa"/>
            <w:gridSpan w:val="2"/>
            <w:tcBorders>
              <w:top w:val="nil"/>
              <w:left w:val="nil"/>
              <w:bottom w:val="single" w:sz="4" w:space="0" w:color="auto"/>
              <w:right w:val="single" w:sz="4" w:space="0" w:color="auto"/>
            </w:tcBorders>
            <w:noWrap/>
            <w:vAlign w:val="center"/>
            <w:hideMark/>
          </w:tcPr>
          <w:p w14:paraId="659892D2"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294580D8"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6A6CB04A"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Mejora en el cumplimiento de metas sociales y económicas.</w:t>
            </w:r>
          </w:p>
        </w:tc>
      </w:tr>
      <w:tr w:rsidR="00F212FE" w:rsidRPr="00E90338" w14:paraId="32E98D1E" w14:textId="77777777" w:rsidTr="0055381F">
        <w:trPr>
          <w:gridAfter w:val="1"/>
          <w:wAfter w:w="38" w:type="dxa"/>
          <w:trHeight w:val="930"/>
        </w:trPr>
        <w:tc>
          <w:tcPr>
            <w:tcW w:w="1990" w:type="dxa"/>
            <w:vMerge/>
            <w:tcBorders>
              <w:top w:val="single" w:sz="4" w:space="0" w:color="auto"/>
              <w:left w:val="single" w:sz="4" w:space="0" w:color="auto"/>
              <w:bottom w:val="single" w:sz="4" w:space="0" w:color="auto"/>
              <w:right w:val="nil"/>
            </w:tcBorders>
            <w:shd w:val="clear" w:color="auto" w:fill="227ACB"/>
            <w:vAlign w:val="center"/>
            <w:hideMark/>
          </w:tcPr>
          <w:p w14:paraId="1FC6539A"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16820773"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15648BB7"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Eficiencia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D50A327"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298FE76F"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Recursos económicos mal distribuidos o subutilizados.</w:t>
            </w:r>
          </w:p>
        </w:tc>
        <w:tc>
          <w:tcPr>
            <w:tcW w:w="2138" w:type="dxa"/>
            <w:tcBorders>
              <w:top w:val="nil"/>
              <w:left w:val="nil"/>
              <w:bottom w:val="single" w:sz="4" w:space="0" w:color="auto"/>
              <w:right w:val="single" w:sz="4" w:space="0" w:color="auto"/>
            </w:tcBorders>
            <w:hideMark/>
          </w:tcPr>
          <w:p w14:paraId="10AE661E"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Ineficiencia en el retorno social y económico.</w:t>
            </w:r>
          </w:p>
        </w:tc>
        <w:tc>
          <w:tcPr>
            <w:tcW w:w="2953" w:type="dxa"/>
            <w:gridSpan w:val="3"/>
            <w:tcBorders>
              <w:top w:val="nil"/>
              <w:left w:val="nil"/>
              <w:bottom w:val="single" w:sz="4" w:space="0" w:color="auto"/>
              <w:right w:val="single" w:sz="4" w:space="0" w:color="auto"/>
            </w:tcBorders>
            <w:noWrap/>
            <w:vAlign w:val="center"/>
            <w:hideMark/>
          </w:tcPr>
          <w:p w14:paraId="0D9049BE"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7369C461"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Evaluar impacto económico local mediante KPIs económicos.</w:t>
            </w:r>
          </w:p>
        </w:tc>
        <w:tc>
          <w:tcPr>
            <w:tcW w:w="1590" w:type="dxa"/>
            <w:gridSpan w:val="2"/>
            <w:tcBorders>
              <w:top w:val="nil"/>
              <w:left w:val="nil"/>
              <w:bottom w:val="single" w:sz="4" w:space="0" w:color="auto"/>
              <w:right w:val="single" w:sz="4" w:space="0" w:color="auto"/>
            </w:tcBorders>
            <w:noWrap/>
            <w:vAlign w:val="center"/>
            <w:hideMark/>
          </w:tcPr>
          <w:p w14:paraId="3B9FAC95"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77ACA6F8"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358E65F1"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Optimización del gasto y beneficios para la región.</w:t>
            </w:r>
          </w:p>
        </w:tc>
      </w:tr>
      <w:tr w:rsidR="00F212FE" w:rsidRPr="00E90338" w14:paraId="16E385F6" w14:textId="77777777" w:rsidTr="0055381F">
        <w:trPr>
          <w:gridAfter w:val="1"/>
          <w:wAfter w:w="38" w:type="dxa"/>
          <w:trHeight w:val="930"/>
        </w:trPr>
        <w:tc>
          <w:tcPr>
            <w:tcW w:w="1990" w:type="dxa"/>
            <w:vMerge/>
            <w:tcBorders>
              <w:top w:val="single" w:sz="4" w:space="0" w:color="auto"/>
              <w:left w:val="single" w:sz="4" w:space="0" w:color="auto"/>
              <w:bottom w:val="single" w:sz="4" w:space="0" w:color="auto"/>
              <w:right w:val="nil"/>
            </w:tcBorders>
            <w:shd w:val="clear" w:color="auto" w:fill="227ACB"/>
            <w:vAlign w:val="center"/>
            <w:hideMark/>
          </w:tcPr>
          <w:p w14:paraId="44D78513"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1B190731"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2A359BBF"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Imparcialidad</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5A4CA06"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7DE727A3"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 xml:space="preserve"> La distribución del beneficio económico favorece a grandes actores.</w:t>
            </w:r>
          </w:p>
        </w:tc>
        <w:tc>
          <w:tcPr>
            <w:tcW w:w="2138" w:type="dxa"/>
            <w:tcBorders>
              <w:top w:val="nil"/>
              <w:left w:val="nil"/>
              <w:bottom w:val="single" w:sz="4" w:space="0" w:color="auto"/>
              <w:right w:val="single" w:sz="4" w:space="0" w:color="auto"/>
            </w:tcBorders>
            <w:hideMark/>
          </w:tcPr>
          <w:p w14:paraId="27E881CA"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Inequidad social en el impacto económico.</w:t>
            </w:r>
          </w:p>
        </w:tc>
        <w:tc>
          <w:tcPr>
            <w:tcW w:w="2953" w:type="dxa"/>
            <w:gridSpan w:val="3"/>
            <w:tcBorders>
              <w:top w:val="nil"/>
              <w:left w:val="nil"/>
              <w:bottom w:val="single" w:sz="4" w:space="0" w:color="auto"/>
              <w:right w:val="single" w:sz="4" w:space="0" w:color="auto"/>
            </w:tcBorders>
            <w:noWrap/>
            <w:vAlign w:val="center"/>
            <w:hideMark/>
          </w:tcPr>
          <w:p w14:paraId="1DC7F9AD"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1BC22CC7"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Diseñar políticas de participación para pymes y grupos vulnerables.</w:t>
            </w:r>
          </w:p>
        </w:tc>
        <w:tc>
          <w:tcPr>
            <w:tcW w:w="1590" w:type="dxa"/>
            <w:gridSpan w:val="2"/>
            <w:tcBorders>
              <w:top w:val="nil"/>
              <w:left w:val="nil"/>
              <w:bottom w:val="single" w:sz="4" w:space="0" w:color="auto"/>
              <w:right w:val="single" w:sz="4" w:space="0" w:color="auto"/>
            </w:tcBorders>
            <w:noWrap/>
            <w:vAlign w:val="center"/>
            <w:hideMark/>
          </w:tcPr>
          <w:p w14:paraId="033C9A59"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46FA09D2"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01578DB2"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Promoción de equidad económica en la comunidad.</w:t>
            </w:r>
          </w:p>
        </w:tc>
      </w:tr>
      <w:tr w:rsidR="00F212FE" w:rsidRPr="00E90338" w14:paraId="564DD52B" w14:textId="77777777" w:rsidTr="0055381F">
        <w:trPr>
          <w:gridAfter w:val="1"/>
          <w:wAfter w:w="38" w:type="dxa"/>
          <w:trHeight w:val="930"/>
        </w:trPr>
        <w:tc>
          <w:tcPr>
            <w:tcW w:w="1990" w:type="dxa"/>
            <w:vMerge w:val="restart"/>
            <w:tcBorders>
              <w:top w:val="single" w:sz="4" w:space="0" w:color="auto"/>
              <w:left w:val="single" w:sz="4" w:space="0" w:color="auto"/>
              <w:bottom w:val="single" w:sz="4" w:space="0" w:color="auto"/>
              <w:right w:val="nil"/>
            </w:tcBorders>
            <w:shd w:val="clear" w:color="auto" w:fill="227ACB"/>
            <w:noWrap/>
            <w:vAlign w:val="bottom"/>
            <w:hideMark/>
          </w:tcPr>
          <w:p w14:paraId="3196ECDC"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noProof/>
                <w:color w:val="000000"/>
                <w:sz w:val="24"/>
                <w:lang w:val="es-CR" w:eastAsia="es-CR"/>
              </w:rPr>
              <w:drawing>
                <wp:anchor distT="0" distB="0" distL="114300" distR="114300" simplePos="0" relativeHeight="251707392" behindDoc="0" locked="0" layoutInCell="1" allowOverlap="1" wp14:anchorId="0CA7FE4C" wp14:editId="23D36A80">
                  <wp:simplePos x="0" y="0"/>
                  <wp:positionH relativeFrom="column">
                    <wp:posOffset>225425</wp:posOffset>
                  </wp:positionH>
                  <wp:positionV relativeFrom="paragraph">
                    <wp:posOffset>-1484630</wp:posOffset>
                  </wp:positionV>
                  <wp:extent cx="850900" cy="920750"/>
                  <wp:effectExtent l="0" t="0" r="6350" b="0"/>
                  <wp:wrapNone/>
                  <wp:docPr id="1398133101" name="Imagen 43">
                    <a:extLst xmlns:a="http://schemas.openxmlformats.org/drawingml/2006/main">
                      <a:ext uri="{FF2B5EF4-FFF2-40B4-BE49-F238E27FC236}">
                        <a16:creationId xmlns:a16="http://schemas.microsoft.com/office/drawing/2014/main" id="{00000000-0008-0000-0500-000017000000}"/>
                      </a:ext>
                    </a:extLst>
                  </wp:docPr>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00000000-0008-0000-0500-000017000000}"/>
                              </a:ext>
                            </a:extLst>
                          </pic:cNvPr>
                          <pic:cNvPicPr>
                            <a:picLocks noChangeAspect="1"/>
                          </pic:cNvPicPr>
                        </pic:nvPicPr>
                        <pic:blipFill>
                          <a:blip r:embed="rId73"/>
                          <a:stretch>
                            <a:fillRect/>
                          </a:stretch>
                        </pic:blipFill>
                        <pic:spPr>
                          <a:xfrm>
                            <a:off x="0" y="0"/>
                            <a:ext cx="850900" cy="920750"/>
                          </a:xfrm>
                          <a:prstGeom prst="rect">
                            <a:avLst/>
                          </a:prstGeom>
                        </pic:spPr>
                      </pic:pic>
                    </a:graphicData>
                  </a:graphic>
                  <wp14:sizeRelH relativeFrom="page">
                    <wp14:pctWidth>0</wp14:pctWidth>
                  </wp14:sizeRelH>
                  <wp14:sizeRelV relativeFrom="page">
                    <wp14:pctHeight>0</wp14:pctHeight>
                  </wp14:sizeRelV>
                </wp:anchor>
              </w:drawing>
            </w:r>
          </w:p>
          <w:p w14:paraId="060985A3"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val="restart"/>
            <w:tcBorders>
              <w:top w:val="nil"/>
              <w:left w:val="single" w:sz="4" w:space="0" w:color="auto"/>
              <w:bottom w:val="single" w:sz="4" w:space="0" w:color="auto"/>
              <w:right w:val="single" w:sz="4" w:space="0" w:color="auto"/>
            </w:tcBorders>
            <w:shd w:val="clear" w:color="000000" w:fill="F2F2F2"/>
            <w:vAlign w:val="center"/>
            <w:hideMark/>
          </w:tcPr>
          <w:p w14:paraId="3658618B"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r w:rsidRPr="00E90338">
              <w:rPr>
                <w:rFonts w:ascii="Calibri" w:eastAsia="Times New Roman" w:hAnsi="Calibri" w:cs="Calibri"/>
                <w:color w:val="000000"/>
                <w:sz w:val="18"/>
                <w:szCs w:val="18"/>
                <w:lang w:val="es-CR" w:eastAsia="es-CR"/>
              </w:rPr>
              <w:t>Beneficios indirectos son los impactos positivos que van más allá de los resultados inmediatos del proyecto y pueden no ser siempre visibles inmediatamente. Estos beneficios pueden incluir una mejor calidad de vida, una mayor actividad económica en el área local y mejoras ambientales como aire o agua más limpios.</w:t>
            </w:r>
          </w:p>
        </w:tc>
        <w:tc>
          <w:tcPr>
            <w:tcW w:w="1667" w:type="dxa"/>
            <w:tcBorders>
              <w:top w:val="nil"/>
              <w:left w:val="nil"/>
              <w:bottom w:val="single" w:sz="4" w:space="0" w:color="auto"/>
              <w:right w:val="single" w:sz="4" w:space="0" w:color="auto"/>
            </w:tcBorders>
            <w:shd w:val="clear" w:color="000000" w:fill="F2F2F2"/>
            <w:noWrap/>
            <w:vAlign w:val="center"/>
            <w:hideMark/>
          </w:tcPr>
          <w:p w14:paraId="77A2F0D7"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Vida Útil</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0FE5A72"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78E0A871"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Los beneficios no son medidos ni comunicados.</w:t>
            </w:r>
          </w:p>
        </w:tc>
        <w:tc>
          <w:tcPr>
            <w:tcW w:w="2138" w:type="dxa"/>
            <w:tcBorders>
              <w:top w:val="nil"/>
              <w:left w:val="nil"/>
              <w:bottom w:val="single" w:sz="4" w:space="0" w:color="auto"/>
              <w:right w:val="single" w:sz="4" w:space="0" w:color="auto"/>
            </w:tcBorders>
            <w:hideMark/>
          </w:tcPr>
          <w:p w14:paraId="5DAAFFDE"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Subvaloración del impacto a largo plazo.</w:t>
            </w:r>
          </w:p>
        </w:tc>
        <w:tc>
          <w:tcPr>
            <w:tcW w:w="2953" w:type="dxa"/>
            <w:gridSpan w:val="3"/>
            <w:tcBorders>
              <w:top w:val="nil"/>
              <w:left w:val="nil"/>
              <w:bottom w:val="single" w:sz="4" w:space="0" w:color="auto"/>
              <w:right w:val="single" w:sz="4" w:space="0" w:color="auto"/>
            </w:tcBorders>
            <w:noWrap/>
            <w:vAlign w:val="center"/>
            <w:hideMark/>
          </w:tcPr>
          <w:p w14:paraId="0426DB91"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61C1FD13"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Incluir métricas de beneficios indirectos y trazabilidad en informes.</w:t>
            </w:r>
          </w:p>
        </w:tc>
        <w:tc>
          <w:tcPr>
            <w:tcW w:w="1590" w:type="dxa"/>
            <w:gridSpan w:val="2"/>
            <w:tcBorders>
              <w:top w:val="nil"/>
              <w:left w:val="nil"/>
              <w:bottom w:val="single" w:sz="4" w:space="0" w:color="auto"/>
              <w:right w:val="single" w:sz="4" w:space="0" w:color="auto"/>
            </w:tcBorders>
            <w:noWrap/>
            <w:vAlign w:val="center"/>
            <w:hideMark/>
          </w:tcPr>
          <w:p w14:paraId="6A16B2F8"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03DCB19C"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44965529"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Mayor visibilidad de beneficios sostenibles a largo plazo.</w:t>
            </w:r>
          </w:p>
        </w:tc>
      </w:tr>
      <w:tr w:rsidR="00F212FE" w:rsidRPr="00E90338" w14:paraId="1FA4CD0C" w14:textId="77777777" w:rsidTr="0055381F">
        <w:trPr>
          <w:gridAfter w:val="1"/>
          <w:wAfter w:w="38" w:type="dxa"/>
          <w:trHeight w:val="930"/>
        </w:trPr>
        <w:tc>
          <w:tcPr>
            <w:tcW w:w="1990" w:type="dxa"/>
            <w:vMerge/>
            <w:tcBorders>
              <w:top w:val="single" w:sz="4" w:space="0" w:color="auto"/>
              <w:left w:val="single" w:sz="4" w:space="0" w:color="auto"/>
              <w:bottom w:val="single" w:sz="4" w:space="0" w:color="auto"/>
              <w:right w:val="nil"/>
            </w:tcBorders>
            <w:shd w:val="clear" w:color="auto" w:fill="227ACB"/>
            <w:vAlign w:val="center"/>
            <w:hideMark/>
          </w:tcPr>
          <w:p w14:paraId="02F7B335"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73A2B0E6"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43694DAF"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Mantenimiento</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9D61328"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64A9C48A"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Falta de seguimiento tras la implementación.</w:t>
            </w:r>
          </w:p>
        </w:tc>
        <w:tc>
          <w:tcPr>
            <w:tcW w:w="2138" w:type="dxa"/>
            <w:tcBorders>
              <w:top w:val="nil"/>
              <w:left w:val="nil"/>
              <w:bottom w:val="single" w:sz="4" w:space="0" w:color="auto"/>
              <w:right w:val="single" w:sz="4" w:space="0" w:color="auto"/>
            </w:tcBorders>
            <w:hideMark/>
          </w:tcPr>
          <w:p w14:paraId="5FE5C842"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Riesgo de no sostener impactos positivos.</w:t>
            </w:r>
          </w:p>
        </w:tc>
        <w:tc>
          <w:tcPr>
            <w:tcW w:w="2953" w:type="dxa"/>
            <w:gridSpan w:val="3"/>
            <w:tcBorders>
              <w:top w:val="nil"/>
              <w:left w:val="nil"/>
              <w:bottom w:val="single" w:sz="4" w:space="0" w:color="auto"/>
              <w:right w:val="single" w:sz="4" w:space="0" w:color="auto"/>
            </w:tcBorders>
            <w:noWrap/>
            <w:vAlign w:val="center"/>
            <w:hideMark/>
          </w:tcPr>
          <w:p w14:paraId="0D407BEC"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7DDECE71"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Crear un plan de monitoreo postproyecto para beneficios indirectos.</w:t>
            </w:r>
          </w:p>
        </w:tc>
        <w:tc>
          <w:tcPr>
            <w:tcW w:w="1590" w:type="dxa"/>
            <w:gridSpan w:val="2"/>
            <w:tcBorders>
              <w:top w:val="nil"/>
              <w:left w:val="nil"/>
              <w:bottom w:val="single" w:sz="4" w:space="0" w:color="auto"/>
              <w:right w:val="single" w:sz="4" w:space="0" w:color="auto"/>
            </w:tcBorders>
            <w:noWrap/>
            <w:vAlign w:val="center"/>
            <w:hideMark/>
          </w:tcPr>
          <w:p w14:paraId="67A2D0B7"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6C2DEC7F"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vAlign w:val="center"/>
            <w:hideMark/>
          </w:tcPr>
          <w:p w14:paraId="38D6B32E"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 xml:space="preserve"> Sostenibilidad mejorada en el tiempo.</w:t>
            </w:r>
          </w:p>
        </w:tc>
      </w:tr>
      <w:tr w:rsidR="00F212FE" w:rsidRPr="00E90338" w14:paraId="28006B8E" w14:textId="77777777" w:rsidTr="0055381F">
        <w:trPr>
          <w:gridAfter w:val="1"/>
          <w:wAfter w:w="38" w:type="dxa"/>
          <w:trHeight w:val="930"/>
        </w:trPr>
        <w:tc>
          <w:tcPr>
            <w:tcW w:w="1990" w:type="dxa"/>
            <w:vMerge/>
            <w:tcBorders>
              <w:top w:val="single" w:sz="4" w:space="0" w:color="auto"/>
              <w:left w:val="single" w:sz="4" w:space="0" w:color="auto"/>
              <w:bottom w:val="single" w:sz="4" w:space="0" w:color="auto"/>
              <w:right w:val="nil"/>
            </w:tcBorders>
            <w:shd w:val="clear" w:color="auto" w:fill="227ACB"/>
            <w:vAlign w:val="center"/>
            <w:hideMark/>
          </w:tcPr>
          <w:p w14:paraId="105AF6F7"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0CC11EA7"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67C193A1"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Eficacia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84972B7"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04C28730"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Se priorizan resultados inmediatos sobre impactos extendidos.</w:t>
            </w:r>
          </w:p>
        </w:tc>
        <w:tc>
          <w:tcPr>
            <w:tcW w:w="2138" w:type="dxa"/>
            <w:tcBorders>
              <w:top w:val="nil"/>
              <w:left w:val="nil"/>
              <w:bottom w:val="single" w:sz="4" w:space="0" w:color="auto"/>
              <w:right w:val="single" w:sz="4" w:space="0" w:color="auto"/>
            </w:tcBorders>
            <w:hideMark/>
          </w:tcPr>
          <w:p w14:paraId="35C8F276"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Menor impacto en desarrollo sostenible.</w:t>
            </w:r>
          </w:p>
        </w:tc>
        <w:tc>
          <w:tcPr>
            <w:tcW w:w="2953" w:type="dxa"/>
            <w:gridSpan w:val="3"/>
            <w:tcBorders>
              <w:top w:val="nil"/>
              <w:left w:val="nil"/>
              <w:bottom w:val="single" w:sz="4" w:space="0" w:color="auto"/>
              <w:right w:val="single" w:sz="4" w:space="0" w:color="auto"/>
            </w:tcBorders>
            <w:noWrap/>
            <w:vAlign w:val="center"/>
            <w:hideMark/>
          </w:tcPr>
          <w:p w14:paraId="790A7148"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20A8BDE3"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 xml:space="preserve"> Incorporar objetivos de impacto indirecto en la planificación.</w:t>
            </w:r>
          </w:p>
        </w:tc>
        <w:tc>
          <w:tcPr>
            <w:tcW w:w="1590" w:type="dxa"/>
            <w:gridSpan w:val="2"/>
            <w:tcBorders>
              <w:top w:val="nil"/>
              <w:left w:val="nil"/>
              <w:bottom w:val="single" w:sz="4" w:space="0" w:color="auto"/>
              <w:right w:val="single" w:sz="4" w:space="0" w:color="auto"/>
            </w:tcBorders>
            <w:noWrap/>
            <w:vAlign w:val="center"/>
            <w:hideMark/>
          </w:tcPr>
          <w:p w14:paraId="04896225"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2586CD28"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vAlign w:val="center"/>
            <w:hideMark/>
          </w:tcPr>
          <w:p w14:paraId="3F793559"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Proyectos más alineados</w:t>
            </w:r>
          </w:p>
        </w:tc>
      </w:tr>
      <w:tr w:rsidR="00F212FE" w:rsidRPr="00E90338" w14:paraId="4B54B735" w14:textId="77777777" w:rsidTr="0055381F">
        <w:trPr>
          <w:gridAfter w:val="1"/>
          <w:wAfter w:w="38" w:type="dxa"/>
          <w:trHeight w:val="930"/>
        </w:trPr>
        <w:tc>
          <w:tcPr>
            <w:tcW w:w="1990" w:type="dxa"/>
            <w:vMerge/>
            <w:tcBorders>
              <w:top w:val="single" w:sz="4" w:space="0" w:color="auto"/>
              <w:left w:val="single" w:sz="4" w:space="0" w:color="auto"/>
              <w:bottom w:val="single" w:sz="4" w:space="0" w:color="auto"/>
              <w:right w:val="nil"/>
            </w:tcBorders>
            <w:shd w:val="clear" w:color="auto" w:fill="227ACB"/>
            <w:vAlign w:val="center"/>
            <w:hideMark/>
          </w:tcPr>
          <w:p w14:paraId="332AE05B"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0EEDDEA0"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56825240"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Eficiencia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09A4EF1"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1AD370C2"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No se aprovechan los efectos multiplicadores.</w:t>
            </w:r>
          </w:p>
        </w:tc>
        <w:tc>
          <w:tcPr>
            <w:tcW w:w="2138" w:type="dxa"/>
            <w:tcBorders>
              <w:top w:val="nil"/>
              <w:left w:val="nil"/>
              <w:bottom w:val="single" w:sz="4" w:space="0" w:color="auto"/>
              <w:right w:val="single" w:sz="4" w:space="0" w:color="auto"/>
            </w:tcBorders>
            <w:hideMark/>
          </w:tcPr>
          <w:p w14:paraId="3C9989F5"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Subutilización de recursos con alto potencial.</w:t>
            </w:r>
          </w:p>
        </w:tc>
        <w:tc>
          <w:tcPr>
            <w:tcW w:w="2953" w:type="dxa"/>
            <w:gridSpan w:val="3"/>
            <w:tcBorders>
              <w:top w:val="nil"/>
              <w:left w:val="nil"/>
              <w:bottom w:val="single" w:sz="4" w:space="0" w:color="auto"/>
              <w:right w:val="single" w:sz="4" w:space="0" w:color="auto"/>
            </w:tcBorders>
            <w:noWrap/>
            <w:vAlign w:val="center"/>
            <w:hideMark/>
          </w:tcPr>
          <w:p w14:paraId="694E60C8"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7EE3BE41"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Evaluar y replicar intervenciones con externalidades positivas.</w:t>
            </w:r>
          </w:p>
        </w:tc>
        <w:tc>
          <w:tcPr>
            <w:tcW w:w="1590" w:type="dxa"/>
            <w:gridSpan w:val="2"/>
            <w:tcBorders>
              <w:top w:val="nil"/>
              <w:left w:val="nil"/>
              <w:bottom w:val="single" w:sz="4" w:space="0" w:color="auto"/>
              <w:right w:val="single" w:sz="4" w:space="0" w:color="auto"/>
            </w:tcBorders>
            <w:noWrap/>
            <w:vAlign w:val="center"/>
            <w:hideMark/>
          </w:tcPr>
          <w:p w14:paraId="0206CF82"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5A53667F"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4C8FFFCA"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 xml:space="preserve"> Uso más eficiente del capital invertido.</w:t>
            </w:r>
          </w:p>
        </w:tc>
      </w:tr>
      <w:tr w:rsidR="00F212FE" w:rsidRPr="00E90338" w14:paraId="0ED536C8" w14:textId="77777777" w:rsidTr="0055381F">
        <w:trPr>
          <w:gridAfter w:val="1"/>
          <w:wAfter w:w="38" w:type="dxa"/>
          <w:trHeight w:val="930"/>
        </w:trPr>
        <w:tc>
          <w:tcPr>
            <w:tcW w:w="1990" w:type="dxa"/>
            <w:vMerge/>
            <w:tcBorders>
              <w:top w:val="single" w:sz="4" w:space="0" w:color="auto"/>
              <w:left w:val="single" w:sz="4" w:space="0" w:color="auto"/>
              <w:bottom w:val="single" w:sz="4" w:space="0" w:color="auto"/>
              <w:right w:val="nil"/>
            </w:tcBorders>
            <w:shd w:val="clear" w:color="auto" w:fill="227ACB"/>
            <w:vAlign w:val="center"/>
            <w:hideMark/>
          </w:tcPr>
          <w:p w14:paraId="0C054965"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41DD52B3"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62BA80E8"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Imparcialidad</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7F022FE"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427B3487"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Grupos vulnerables podrían quedar excluidos de los beneficios.</w:t>
            </w:r>
          </w:p>
        </w:tc>
        <w:tc>
          <w:tcPr>
            <w:tcW w:w="2138" w:type="dxa"/>
            <w:tcBorders>
              <w:top w:val="nil"/>
              <w:left w:val="nil"/>
              <w:bottom w:val="single" w:sz="4" w:space="0" w:color="auto"/>
              <w:right w:val="single" w:sz="4" w:space="0" w:color="auto"/>
            </w:tcBorders>
            <w:hideMark/>
          </w:tcPr>
          <w:p w14:paraId="0B9AF91C"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Aumento de desigualdades.</w:t>
            </w:r>
          </w:p>
        </w:tc>
        <w:tc>
          <w:tcPr>
            <w:tcW w:w="2953" w:type="dxa"/>
            <w:gridSpan w:val="3"/>
            <w:tcBorders>
              <w:top w:val="nil"/>
              <w:left w:val="nil"/>
              <w:bottom w:val="single" w:sz="4" w:space="0" w:color="auto"/>
              <w:right w:val="single" w:sz="4" w:space="0" w:color="auto"/>
            </w:tcBorders>
            <w:noWrap/>
            <w:vAlign w:val="center"/>
            <w:hideMark/>
          </w:tcPr>
          <w:p w14:paraId="53536762"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41B20DFE"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Diseñar intervenciones inclusivas con criterios de equidad.</w:t>
            </w:r>
          </w:p>
        </w:tc>
        <w:tc>
          <w:tcPr>
            <w:tcW w:w="1590" w:type="dxa"/>
            <w:gridSpan w:val="2"/>
            <w:tcBorders>
              <w:top w:val="nil"/>
              <w:left w:val="nil"/>
              <w:bottom w:val="single" w:sz="4" w:space="0" w:color="auto"/>
              <w:right w:val="single" w:sz="4" w:space="0" w:color="auto"/>
            </w:tcBorders>
            <w:noWrap/>
            <w:vAlign w:val="center"/>
            <w:hideMark/>
          </w:tcPr>
          <w:p w14:paraId="66CF989F"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451EF350"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4F691EF3"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Mejor distribución de beneficios entre grupos sociales.</w:t>
            </w:r>
          </w:p>
        </w:tc>
      </w:tr>
      <w:tr w:rsidR="00F212FE" w:rsidRPr="00E90338" w14:paraId="73A7C8F2" w14:textId="77777777" w:rsidTr="0055381F">
        <w:trPr>
          <w:gridAfter w:val="1"/>
          <w:wAfter w:w="38" w:type="dxa"/>
          <w:trHeight w:val="500"/>
        </w:trPr>
        <w:tc>
          <w:tcPr>
            <w:tcW w:w="1990" w:type="dxa"/>
            <w:vMerge w:val="restart"/>
            <w:tcBorders>
              <w:top w:val="single" w:sz="4" w:space="0" w:color="auto"/>
              <w:left w:val="nil"/>
              <w:bottom w:val="nil"/>
              <w:right w:val="nil"/>
            </w:tcBorders>
            <w:shd w:val="clear" w:color="auto" w:fill="227ACB"/>
            <w:noWrap/>
            <w:vAlign w:val="bottom"/>
            <w:hideMark/>
          </w:tcPr>
          <w:p w14:paraId="24A35CB7"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noProof/>
                <w:color w:val="000000"/>
                <w:sz w:val="24"/>
                <w:lang w:val="es-CR" w:eastAsia="es-CR"/>
              </w:rPr>
              <w:drawing>
                <wp:anchor distT="0" distB="0" distL="114300" distR="114300" simplePos="0" relativeHeight="251708416" behindDoc="0" locked="0" layoutInCell="1" allowOverlap="1" wp14:anchorId="00A96F85" wp14:editId="7F27EB93">
                  <wp:simplePos x="0" y="0"/>
                  <wp:positionH relativeFrom="column">
                    <wp:posOffset>381000</wp:posOffset>
                  </wp:positionH>
                  <wp:positionV relativeFrom="paragraph">
                    <wp:posOffset>-2656205</wp:posOffset>
                  </wp:positionV>
                  <wp:extent cx="819150" cy="984250"/>
                  <wp:effectExtent l="0" t="0" r="0" b="0"/>
                  <wp:wrapNone/>
                  <wp:docPr id="25" name="Imagen 42">
                    <a:extLst xmlns:a="http://schemas.openxmlformats.org/drawingml/2006/main">
                      <a:ext uri="{FF2B5EF4-FFF2-40B4-BE49-F238E27FC236}">
                        <a16:creationId xmlns:a16="http://schemas.microsoft.com/office/drawing/2014/main" id="{00000000-0008-0000-0500-000019000000}"/>
                      </a:ext>
                    </a:extLst>
                  </wp:docPr>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00000000-0008-0000-0500-000019000000}"/>
                              </a:ext>
                            </a:extLst>
                          </pic:cNvPr>
                          <pic:cNvPicPr>
                            <a:picLocks noChangeAspect="1"/>
                          </pic:cNvPicPr>
                        </pic:nvPicPr>
                        <pic:blipFill>
                          <a:blip r:embed="rId74"/>
                          <a:stretch>
                            <a:fillRect/>
                          </a:stretch>
                        </pic:blipFill>
                        <pic:spPr>
                          <a:xfrm>
                            <a:off x="0" y="0"/>
                            <a:ext cx="819150" cy="984250"/>
                          </a:xfrm>
                          <a:prstGeom prst="rect">
                            <a:avLst/>
                          </a:prstGeom>
                        </pic:spPr>
                      </pic:pic>
                    </a:graphicData>
                  </a:graphic>
                  <wp14:sizeRelH relativeFrom="page">
                    <wp14:pctWidth>0</wp14:pctWidth>
                  </wp14:sizeRelH>
                  <wp14:sizeRelV relativeFrom="page">
                    <wp14:pctHeight>0</wp14:pctHeight>
                  </wp14:sizeRelV>
                </wp:anchor>
              </w:drawing>
            </w:r>
          </w:p>
          <w:p w14:paraId="2A28ABF4"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val="restart"/>
            <w:tcBorders>
              <w:top w:val="nil"/>
              <w:left w:val="single" w:sz="4" w:space="0" w:color="auto"/>
              <w:bottom w:val="single" w:sz="4" w:space="0" w:color="auto"/>
              <w:right w:val="single" w:sz="4" w:space="0" w:color="auto"/>
            </w:tcBorders>
            <w:shd w:val="clear" w:color="000000" w:fill="F2F2F2"/>
            <w:vAlign w:val="center"/>
            <w:hideMark/>
          </w:tcPr>
          <w:p w14:paraId="75597073"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r w:rsidRPr="00E90338">
              <w:rPr>
                <w:rFonts w:ascii="Calibri" w:eastAsia="Times New Roman" w:hAnsi="Calibri" w:cs="Calibri"/>
                <w:color w:val="000000"/>
                <w:sz w:val="18"/>
                <w:szCs w:val="18"/>
                <w:lang w:val="es-CR" w:eastAsia="es-CR"/>
              </w:rPr>
              <w:t>Divulgaciones ESG son información sobre el desempeño y las prácticas de una organización relacionadas con cuestiones ambientales, sociales y de gobierno. La información del proyecto se utiliza como entrada para las divulgaciones ESG de la(s) organización(es) patrocinadora(s)</w:t>
            </w:r>
            <w:r w:rsidRPr="00E90338">
              <w:rPr>
                <w:rFonts w:ascii="Calibri" w:eastAsia="Times New Roman" w:hAnsi="Calibri" w:cs="Calibri"/>
                <w:color w:val="000000"/>
                <w:sz w:val="18"/>
                <w:szCs w:val="18"/>
                <w:lang w:val="es-CR" w:eastAsia="es-CR"/>
              </w:rPr>
              <w:br/>
              <w:t xml:space="preserve">Informes de sostenibilidad proporciona información sobre las políticas, las prácticas y el desempeño de una organización en relación con la sostenibilidad. </w:t>
            </w:r>
            <w:r w:rsidRPr="00E90338">
              <w:rPr>
                <w:rFonts w:ascii="Calibri" w:eastAsia="Times New Roman" w:hAnsi="Calibri" w:cs="Calibri"/>
                <w:color w:val="000000"/>
                <w:sz w:val="18"/>
                <w:szCs w:val="18"/>
                <w:lang w:val="es-CR" w:eastAsia="es-CR"/>
              </w:rPr>
              <w:lastRenderedPageBreak/>
              <w:t>Comprende una amplia gama de temas como la eficiencia energética, las emisiones de carbono, la conservación de recursos, los derechos humanos, las prácticas laborales y la participación comunitaria. La información del proyecto se utiliza como entrada para los informes de sostenibilidad de la(s) organización(es) patrocinadora(s)</w:t>
            </w:r>
          </w:p>
        </w:tc>
        <w:tc>
          <w:tcPr>
            <w:tcW w:w="1667" w:type="dxa"/>
            <w:tcBorders>
              <w:top w:val="nil"/>
              <w:left w:val="nil"/>
              <w:bottom w:val="single" w:sz="4" w:space="0" w:color="auto"/>
              <w:right w:val="single" w:sz="4" w:space="0" w:color="auto"/>
            </w:tcBorders>
            <w:shd w:val="clear" w:color="000000" w:fill="F2F2F2"/>
            <w:noWrap/>
            <w:vAlign w:val="center"/>
            <w:hideMark/>
          </w:tcPr>
          <w:p w14:paraId="033BF08E"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lastRenderedPageBreak/>
              <w:t>Vida Útil</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D8825F8"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5B255F48"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La documentación del desempeño no se integra adecuadamente a los reportes ESG.</w:t>
            </w:r>
          </w:p>
        </w:tc>
        <w:tc>
          <w:tcPr>
            <w:tcW w:w="2138" w:type="dxa"/>
            <w:tcBorders>
              <w:top w:val="nil"/>
              <w:left w:val="nil"/>
              <w:bottom w:val="single" w:sz="4" w:space="0" w:color="auto"/>
              <w:right w:val="single" w:sz="4" w:space="0" w:color="auto"/>
            </w:tcBorders>
            <w:hideMark/>
          </w:tcPr>
          <w:p w14:paraId="43C522E0"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Pérdida de trazabilidad y aprendizaje institucional.</w:t>
            </w:r>
          </w:p>
        </w:tc>
        <w:tc>
          <w:tcPr>
            <w:tcW w:w="2953" w:type="dxa"/>
            <w:gridSpan w:val="3"/>
            <w:tcBorders>
              <w:top w:val="nil"/>
              <w:left w:val="nil"/>
              <w:bottom w:val="single" w:sz="4" w:space="0" w:color="auto"/>
              <w:right w:val="single" w:sz="4" w:space="0" w:color="auto"/>
            </w:tcBorders>
            <w:noWrap/>
            <w:vAlign w:val="center"/>
            <w:hideMark/>
          </w:tcPr>
          <w:p w14:paraId="7CD7BD6B"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7B8AAE19"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Implementar un sistema centralizado de recolección de datos sostenibles por proyecto.</w:t>
            </w:r>
          </w:p>
        </w:tc>
        <w:tc>
          <w:tcPr>
            <w:tcW w:w="1590" w:type="dxa"/>
            <w:gridSpan w:val="2"/>
            <w:tcBorders>
              <w:top w:val="nil"/>
              <w:left w:val="nil"/>
              <w:bottom w:val="single" w:sz="4" w:space="0" w:color="auto"/>
              <w:right w:val="single" w:sz="4" w:space="0" w:color="auto"/>
            </w:tcBorders>
            <w:noWrap/>
            <w:vAlign w:val="center"/>
            <w:hideMark/>
          </w:tcPr>
          <w:p w14:paraId="1245FB95"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21D13868"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726DA6E0"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Mejora en continuidad de políticas sostenibles.</w:t>
            </w:r>
          </w:p>
        </w:tc>
      </w:tr>
      <w:tr w:rsidR="00F212FE" w:rsidRPr="00E90338" w14:paraId="3D377790" w14:textId="77777777" w:rsidTr="0055381F">
        <w:trPr>
          <w:gridAfter w:val="1"/>
          <w:wAfter w:w="38" w:type="dxa"/>
          <w:trHeight w:val="500"/>
        </w:trPr>
        <w:tc>
          <w:tcPr>
            <w:tcW w:w="1990" w:type="dxa"/>
            <w:vMerge/>
            <w:tcBorders>
              <w:top w:val="nil"/>
              <w:left w:val="nil"/>
              <w:bottom w:val="nil"/>
              <w:right w:val="nil"/>
            </w:tcBorders>
            <w:shd w:val="clear" w:color="auto" w:fill="227ACB"/>
            <w:vAlign w:val="center"/>
            <w:hideMark/>
          </w:tcPr>
          <w:p w14:paraId="06D4E993"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3111510B"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005EE605"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Mantenimiento</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3AB0B2F"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63D8DAD9"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No se da seguimiento periódico a la información reportada.</w:t>
            </w:r>
          </w:p>
        </w:tc>
        <w:tc>
          <w:tcPr>
            <w:tcW w:w="2138" w:type="dxa"/>
            <w:tcBorders>
              <w:top w:val="nil"/>
              <w:left w:val="nil"/>
              <w:bottom w:val="single" w:sz="4" w:space="0" w:color="auto"/>
              <w:right w:val="single" w:sz="4" w:space="0" w:color="auto"/>
            </w:tcBorders>
            <w:hideMark/>
          </w:tcPr>
          <w:p w14:paraId="115097B8"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Riesgo de información desactualizada o incompleta.</w:t>
            </w:r>
          </w:p>
        </w:tc>
        <w:tc>
          <w:tcPr>
            <w:tcW w:w="2953" w:type="dxa"/>
            <w:gridSpan w:val="3"/>
            <w:tcBorders>
              <w:top w:val="nil"/>
              <w:left w:val="nil"/>
              <w:bottom w:val="single" w:sz="4" w:space="0" w:color="auto"/>
              <w:right w:val="single" w:sz="4" w:space="0" w:color="auto"/>
            </w:tcBorders>
            <w:noWrap/>
            <w:vAlign w:val="center"/>
            <w:hideMark/>
          </w:tcPr>
          <w:p w14:paraId="5BD91C00"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331401A5"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Establecer actualizaciones trimestrales de indicadores clave de sostenibilidad.</w:t>
            </w:r>
          </w:p>
        </w:tc>
        <w:tc>
          <w:tcPr>
            <w:tcW w:w="1590" w:type="dxa"/>
            <w:gridSpan w:val="2"/>
            <w:tcBorders>
              <w:top w:val="nil"/>
              <w:left w:val="nil"/>
              <w:bottom w:val="single" w:sz="4" w:space="0" w:color="auto"/>
              <w:right w:val="single" w:sz="4" w:space="0" w:color="auto"/>
            </w:tcBorders>
            <w:noWrap/>
            <w:vAlign w:val="center"/>
            <w:hideMark/>
          </w:tcPr>
          <w:p w14:paraId="218FE206"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27DEB3CF"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25A4C572"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Reportes más precisos y alineados con métricas ESG.</w:t>
            </w:r>
          </w:p>
        </w:tc>
      </w:tr>
      <w:tr w:rsidR="00F212FE" w:rsidRPr="00E90338" w14:paraId="472A4BDB" w14:textId="77777777" w:rsidTr="0055381F">
        <w:trPr>
          <w:gridAfter w:val="1"/>
          <w:wAfter w:w="38" w:type="dxa"/>
          <w:trHeight w:val="500"/>
        </w:trPr>
        <w:tc>
          <w:tcPr>
            <w:tcW w:w="1990" w:type="dxa"/>
            <w:vMerge/>
            <w:tcBorders>
              <w:top w:val="nil"/>
              <w:left w:val="nil"/>
              <w:bottom w:val="nil"/>
              <w:right w:val="nil"/>
            </w:tcBorders>
            <w:shd w:val="clear" w:color="auto" w:fill="227ACB"/>
            <w:vAlign w:val="center"/>
            <w:hideMark/>
          </w:tcPr>
          <w:p w14:paraId="13F29E4A"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5DAF4197"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27742D5A"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Eficacia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EFC93F6"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2AC51C09"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No se comunica el valor creado por el proyecto en ámbitos ESG.</w:t>
            </w:r>
          </w:p>
        </w:tc>
        <w:tc>
          <w:tcPr>
            <w:tcW w:w="2138" w:type="dxa"/>
            <w:tcBorders>
              <w:top w:val="nil"/>
              <w:left w:val="nil"/>
              <w:bottom w:val="single" w:sz="4" w:space="0" w:color="auto"/>
              <w:right w:val="single" w:sz="4" w:space="0" w:color="auto"/>
            </w:tcBorders>
            <w:hideMark/>
          </w:tcPr>
          <w:p w14:paraId="66D14CAD"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Baja percepción del impacto real.</w:t>
            </w:r>
          </w:p>
        </w:tc>
        <w:tc>
          <w:tcPr>
            <w:tcW w:w="2953" w:type="dxa"/>
            <w:gridSpan w:val="3"/>
            <w:tcBorders>
              <w:top w:val="nil"/>
              <w:left w:val="nil"/>
              <w:bottom w:val="single" w:sz="4" w:space="0" w:color="auto"/>
              <w:right w:val="single" w:sz="4" w:space="0" w:color="auto"/>
            </w:tcBorders>
            <w:noWrap/>
            <w:vAlign w:val="center"/>
            <w:hideMark/>
          </w:tcPr>
          <w:p w14:paraId="067766A9"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2DAA24C2"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Capacitar al equipo para identificar y documentar impactos ESG durante el proyecto.</w:t>
            </w:r>
          </w:p>
        </w:tc>
        <w:tc>
          <w:tcPr>
            <w:tcW w:w="1590" w:type="dxa"/>
            <w:gridSpan w:val="2"/>
            <w:tcBorders>
              <w:top w:val="nil"/>
              <w:left w:val="nil"/>
              <w:bottom w:val="single" w:sz="4" w:space="0" w:color="auto"/>
              <w:right w:val="single" w:sz="4" w:space="0" w:color="auto"/>
            </w:tcBorders>
            <w:noWrap/>
            <w:vAlign w:val="center"/>
            <w:hideMark/>
          </w:tcPr>
          <w:p w14:paraId="7350E543"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017843CA"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7DCD4703"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Alineación estratégica con estándares internacionales.</w:t>
            </w:r>
          </w:p>
        </w:tc>
      </w:tr>
      <w:tr w:rsidR="00F212FE" w:rsidRPr="00E90338" w14:paraId="576EB8AD" w14:textId="77777777" w:rsidTr="0055381F">
        <w:trPr>
          <w:gridAfter w:val="1"/>
          <w:wAfter w:w="38" w:type="dxa"/>
          <w:trHeight w:val="500"/>
        </w:trPr>
        <w:tc>
          <w:tcPr>
            <w:tcW w:w="1990" w:type="dxa"/>
            <w:vMerge/>
            <w:tcBorders>
              <w:top w:val="nil"/>
              <w:left w:val="nil"/>
              <w:bottom w:val="nil"/>
              <w:right w:val="nil"/>
            </w:tcBorders>
            <w:shd w:val="clear" w:color="auto" w:fill="227ACB"/>
            <w:vAlign w:val="center"/>
            <w:hideMark/>
          </w:tcPr>
          <w:p w14:paraId="3CACE90D"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50755F0E"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41CC72EE"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Eficiencia</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B61DBF1"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543F9154"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Procesos manuales y no estandarizados para informes.</w:t>
            </w:r>
          </w:p>
        </w:tc>
        <w:tc>
          <w:tcPr>
            <w:tcW w:w="2138" w:type="dxa"/>
            <w:tcBorders>
              <w:top w:val="nil"/>
              <w:left w:val="nil"/>
              <w:bottom w:val="single" w:sz="4" w:space="0" w:color="auto"/>
              <w:right w:val="single" w:sz="4" w:space="0" w:color="auto"/>
            </w:tcBorders>
            <w:hideMark/>
          </w:tcPr>
          <w:p w14:paraId="25B7291F"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Tiempo y recursos desperdiciados.</w:t>
            </w:r>
          </w:p>
        </w:tc>
        <w:tc>
          <w:tcPr>
            <w:tcW w:w="2953" w:type="dxa"/>
            <w:gridSpan w:val="3"/>
            <w:tcBorders>
              <w:top w:val="nil"/>
              <w:left w:val="nil"/>
              <w:bottom w:val="single" w:sz="4" w:space="0" w:color="auto"/>
              <w:right w:val="single" w:sz="4" w:space="0" w:color="auto"/>
            </w:tcBorders>
            <w:noWrap/>
            <w:vAlign w:val="center"/>
            <w:hideMark/>
          </w:tcPr>
          <w:p w14:paraId="7EB1496C"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725AB928"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Automatizar parte del proceso de reporte mediante herramientas digitales.</w:t>
            </w:r>
          </w:p>
        </w:tc>
        <w:tc>
          <w:tcPr>
            <w:tcW w:w="1590" w:type="dxa"/>
            <w:gridSpan w:val="2"/>
            <w:tcBorders>
              <w:top w:val="nil"/>
              <w:left w:val="nil"/>
              <w:bottom w:val="single" w:sz="4" w:space="0" w:color="auto"/>
              <w:right w:val="single" w:sz="4" w:space="0" w:color="auto"/>
            </w:tcBorders>
            <w:noWrap/>
            <w:vAlign w:val="center"/>
            <w:hideMark/>
          </w:tcPr>
          <w:p w14:paraId="1D7E165D"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092CB7BE"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1391B238"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Reducción de esfuerzo operativo y mejora en consistencia.</w:t>
            </w:r>
          </w:p>
        </w:tc>
      </w:tr>
      <w:tr w:rsidR="00F212FE" w:rsidRPr="00E90338" w14:paraId="343859D6" w14:textId="77777777" w:rsidTr="0055381F">
        <w:trPr>
          <w:gridAfter w:val="1"/>
          <w:wAfter w:w="38" w:type="dxa"/>
          <w:trHeight w:val="500"/>
        </w:trPr>
        <w:tc>
          <w:tcPr>
            <w:tcW w:w="1990" w:type="dxa"/>
            <w:vMerge/>
            <w:tcBorders>
              <w:top w:val="nil"/>
              <w:left w:val="nil"/>
              <w:bottom w:val="nil"/>
              <w:right w:val="nil"/>
            </w:tcBorders>
            <w:shd w:val="clear" w:color="auto" w:fill="227ACB"/>
            <w:vAlign w:val="center"/>
            <w:hideMark/>
          </w:tcPr>
          <w:p w14:paraId="4DAFB6BD"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p>
        </w:tc>
        <w:tc>
          <w:tcPr>
            <w:tcW w:w="1979" w:type="dxa"/>
            <w:vMerge/>
            <w:tcBorders>
              <w:top w:val="nil"/>
              <w:left w:val="single" w:sz="4" w:space="0" w:color="auto"/>
              <w:bottom w:val="single" w:sz="4" w:space="0" w:color="auto"/>
              <w:right w:val="single" w:sz="4" w:space="0" w:color="auto"/>
            </w:tcBorders>
            <w:vAlign w:val="center"/>
            <w:hideMark/>
          </w:tcPr>
          <w:p w14:paraId="69024E18" w14:textId="77777777" w:rsidR="00F212FE" w:rsidRPr="00E90338" w:rsidRDefault="00F212FE" w:rsidP="0055381F">
            <w:pPr>
              <w:spacing w:line="240" w:lineRule="auto"/>
              <w:ind w:firstLine="0"/>
              <w:rPr>
                <w:rFonts w:ascii="Calibri" w:eastAsia="Times New Roman" w:hAnsi="Calibri" w:cs="Calibri"/>
                <w:color w:val="000000"/>
                <w:sz w:val="18"/>
                <w:szCs w:val="18"/>
                <w:lang w:val="es-CR" w:eastAsia="es-CR"/>
              </w:rPr>
            </w:pPr>
          </w:p>
        </w:tc>
        <w:tc>
          <w:tcPr>
            <w:tcW w:w="1667" w:type="dxa"/>
            <w:tcBorders>
              <w:top w:val="nil"/>
              <w:left w:val="nil"/>
              <w:bottom w:val="single" w:sz="4" w:space="0" w:color="auto"/>
              <w:right w:val="single" w:sz="4" w:space="0" w:color="auto"/>
            </w:tcBorders>
            <w:shd w:val="clear" w:color="000000" w:fill="F2F2F2"/>
            <w:noWrap/>
            <w:vAlign w:val="bottom"/>
            <w:hideMark/>
          </w:tcPr>
          <w:p w14:paraId="187ADBF8"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Imparcialidad</w:t>
            </w:r>
          </w:p>
        </w:tc>
        <w:tc>
          <w:tcPr>
            <w:tcW w:w="14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C556620"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Yes</w:t>
            </w:r>
          </w:p>
        </w:tc>
        <w:tc>
          <w:tcPr>
            <w:tcW w:w="2681" w:type="dxa"/>
            <w:gridSpan w:val="2"/>
            <w:tcBorders>
              <w:top w:val="nil"/>
              <w:left w:val="nil"/>
              <w:bottom w:val="single" w:sz="4" w:space="0" w:color="auto"/>
              <w:right w:val="single" w:sz="4" w:space="0" w:color="auto"/>
            </w:tcBorders>
            <w:vAlign w:val="center"/>
            <w:hideMark/>
          </w:tcPr>
          <w:p w14:paraId="333BB9D6"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Los reportes podrían no representar a todos los grupos de interés.</w:t>
            </w:r>
          </w:p>
        </w:tc>
        <w:tc>
          <w:tcPr>
            <w:tcW w:w="2138" w:type="dxa"/>
            <w:tcBorders>
              <w:top w:val="nil"/>
              <w:left w:val="nil"/>
              <w:bottom w:val="single" w:sz="4" w:space="0" w:color="auto"/>
              <w:right w:val="single" w:sz="4" w:space="0" w:color="auto"/>
            </w:tcBorders>
            <w:hideMark/>
          </w:tcPr>
          <w:p w14:paraId="155502EA"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Falta de representatividad y equidad.</w:t>
            </w:r>
          </w:p>
        </w:tc>
        <w:tc>
          <w:tcPr>
            <w:tcW w:w="2953" w:type="dxa"/>
            <w:gridSpan w:val="3"/>
            <w:tcBorders>
              <w:top w:val="nil"/>
              <w:left w:val="nil"/>
              <w:bottom w:val="single" w:sz="4" w:space="0" w:color="auto"/>
              <w:right w:val="single" w:sz="4" w:space="0" w:color="auto"/>
            </w:tcBorders>
            <w:noWrap/>
            <w:vAlign w:val="center"/>
            <w:hideMark/>
          </w:tcPr>
          <w:p w14:paraId="795D7903"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3817" w:type="dxa"/>
            <w:gridSpan w:val="4"/>
            <w:tcBorders>
              <w:top w:val="nil"/>
              <w:left w:val="nil"/>
              <w:bottom w:val="single" w:sz="4" w:space="0" w:color="auto"/>
              <w:right w:val="single" w:sz="4" w:space="0" w:color="auto"/>
            </w:tcBorders>
            <w:hideMark/>
          </w:tcPr>
          <w:p w14:paraId="11F8562A"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Incluir criterios de participación diversa y validación externa.</w:t>
            </w:r>
          </w:p>
        </w:tc>
        <w:tc>
          <w:tcPr>
            <w:tcW w:w="1590" w:type="dxa"/>
            <w:gridSpan w:val="2"/>
            <w:tcBorders>
              <w:top w:val="nil"/>
              <w:left w:val="nil"/>
              <w:bottom w:val="single" w:sz="4" w:space="0" w:color="auto"/>
              <w:right w:val="single" w:sz="4" w:space="0" w:color="auto"/>
            </w:tcBorders>
            <w:noWrap/>
            <w:vAlign w:val="center"/>
            <w:hideMark/>
          </w:tcPr>
          <w:p w14:paraId="7F0E3649"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4</w:t>
            </w:r>
          </w:p>
        </w:tc>
        <w:tc>
          <w:tcPr>
            <w:tcW w:w="975" w:type="dxa"/>
            <w:tcBorders>
              <w:top w:val="nil"/>
              <w:left w:val="nil"/>
              <w:bottom w:val="single" w:sz="4" w:space="0" w:color="auto"/>
              <w:right w:val="single" w:sz="4" w:space="0" w:color="auto"/>
            </w:tcBorders>
            <w:noWrap/>
            <w:vAlign w:val="center"/>
            <w:hideMark/>
          </w:tcPr>
          <w:p w14:paraId="5F459517" w14:textId="77777777" w:rsidR="00F212FE" w:rsidRPr="00E90338" w:rsidRDefault="00F212FE" w:rsidP="0055381F">
            <w:pPr>
              <w:spacing w:line="240" w:lineRule="auto"/>
              <w:ind w:firstLine="0"/>
              <w:jc w:val="center"/>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2</w:t>
            </w:r>
          </w:p>
        </w:tc>
        <w:tc>
          <w:tcPr>
            <w:tcW w:w="1699" w:type="dxa"/>
            <w:tcBorders>
              <w:top w:val="nil"/>
              <w:left w:val="nil"/>
              <w:bottom w:val="single" w:sz="4" w:space="0" w:color="auto"/>
              <w:right w:val="single" w:sz="4" w:space="0" w:color="auto"/>
            </w:tcBorders>
            <w:hideMark/>
          </w:tcPr>
          <w:p w14:paraId="0B7575E4" w14:textId="77777777" w:rsidR="00F212FE" w:rsidRPr="00E90338" w:rsidRDefault="00F212FE" w:rsidP="0055381F">
            <w:pPr>
              <w:spacing w:line="240" w:lineRule="auto"/>
              <w:ind w:firstLine="0"/>
              <w:rPr>
                <w:rFonts w:ascii="Calibri" w:eastAsia="Times New Roman" w:hAnsi="Calibri" w:cs="Calibri"/>
                <w:color w:val="000000"/>
                <w:sz w:val="24"/>
                <w:lang w:val="es-CR" w:eastAsia="es-CR"/>
              </w:rPr>
            </w:pPr>
            <w:r w:rsidRPr="00E90338">
              <w:rPr>
                <w:rFonts w:ascii="Calibri" w:eastAsia="Times New Roman" w:hAnsi="Calibri" w:cs="Calibri"/>
                <w:color w:val="000000"/>
                <w:sz w:val="24"/>
                <w:lang w:val="es-CR" w:eastAsia="es-CR"/>
              </w:rPr>
              <w:t>Mayor confianza en la transparencia de la información.</w:t>
            </w:r>
          </w:p>
        </w:tc>
      </w:tr>
    </w:tbl>
    <w:p w14:paraId="2391C51A" w14:textId="45BEE160" w:rsidR="00F212FE" w:rsidRDefault="00F212FE" w:rsidP="00B22FCC">
      <w:pPr>
        <w:spacing w:line="240" w:lineRule="auto"/>
        <w:ind w:firstLine="0"/>
        <w:contextualSpacing/>
        <w:rPr>
          <w:b/>
        </w:rPr>
      </w:pPr>
      <w:r w:rsidRPr="0003613B">
        <w:rPr>
          <w:i/>
          <w:iCs/>
          <w:szCs w:val="22"/>
        </w:rPr>
        <w:t>Nota</w:t>
      </w:r>
      <w:r w:rsidRPr="0003613B">
        <w:rPr>
          <w:b/>
          <w:bCs/>
          <w:szCs w:val="22"/>
        </w:rPr>
        <w:t xml:space="preserve">: </w:t>
      </w:r>
      <w:r w:rsidR="00B22FCC">
        <w:rPr>
          <w:bCs/>
          <w:szCs w:val="22"/>
        </w:rPr>
        <w:t>Fuente: Elaboración propia.</w:t>
      </w:r>
    </w:p>
    <w:p w14:paraId="2A432953" w14:textId="77777777" w:rsidR="00F212FE" w:rsidRDefault="00F212FE" w:rsidP="00F212FE">
      <w:pPr>
        <w:pStyle w:val="Ttulo1"/>
        <w:numPr>
          <w:ilvl w:val="0"/>
          <w:numId w:val="0"/>
        </w:numPr>
        <w:ind w:left="502"/>
        <w:rPr>
          <w:b w:val="0"/>
        </w:rPr>
        <w:sectPr w:rsidR="00F212FE" w:rsidSect="00F212FE">
          <w:pgSz w:w="24477" w:h="15842" w:orient="landscape" w:code="3"/>
          <w:pgMar w:top="1440" w:right="1440" w:bottom="1440" w:left="1440" w:header="709" w:footer="709" w:gutter="0"/>
          <w:cols w:space="720"/>
        </w:sectPr>
      </w:pPr>
    </w:p>
    <w:p w14:paraId="6D951570" w14:textId="77777777" w:rsidR="00F212FE" w:rsidRPr="003728AD" w:rsidRDefault="00F212FE" w:rsidP="00F212FE">
      <w:pPr>
        <w:pBdr>
          <w:top w:val="nil"/>
          <w:left w:val="nil"/>
          <w:bottom w:val="nil"/>
          <w:right w:val="nil"/>
          <w:between w:val="nil"/>
        </w:pBdr>
        <w:spacing w:after="200"/>
        <w:ind w:firstLine="0"/>
        <w:rPr>
          <w:b/>
          <w:color w:val="000000"/>
        </w:rPr>
      </w:pPr>
      <w:r w:rsidRPr="003728AD">
        <w:rPr>
          <w:b/>
          <w:color w:val="000000"/>
        </w:rPr>
        <w:lastRenderedPageBreak/>
        <w:t xml:space="preserve">Tabla </w:t>
      </w:r>
      <w:r>
        <w:rPr>
          <w:b/>
          <w:color w:val="000000"/>
        </w:rPr>
        <w:t>7</w:t>
      </w:r>
    </w:p>
    <w:p w14:paraId="0B64640D" w14:textId="77777777" w:rsidR="00F212FE" w:rsidRPr="00D23DCD" w:rsidRDefault="00F212FE" w:rsidP="00F212FE">
      <w:pPr>
        <w:pStyle w:val="Ttulo5"/>
        <w:numPr>
          <w:ilvl w:val="0"/>
          <w:numId w:val="0"/>
        </w:numPr>
        <w:rPr>
          <w:b w:val="0"/>
          <w:i/>
        </w:rPr>
      </w:pPr>
      <w:r>
        <w:rPr>
          <w:b w:val="0"/>
          <w:i/>
        </w:rPr>
        <w:t>Análisis de Impacto - Puntaje</w:t>
      </w:r>
    </w:p>
    <w:tbl>
      <w:tblPr>
        <w:tblW w:w="8360" w:type="dxa"/>
        <w:tblCellMar>
          <w:left w:w="70" w:type="dxa"/>
          <w:right w:w="70" w:type="dxa"/>
        </w:tblCellMar>
        <w:tblLook w:val="04A0" w:firstRow="1" w:lastRow="0" w:firstColumn="1" w:lastColumn="0" w:noHBand="0" w:noVBand="1"/>
      </w:tblPr>
      <w:tblGrid>
        <w:gridCol w:w="3880"/>
        <w:gridCol w:w="1620"/>
        <w:gridCol w:w="1580"/>
        <w:gridCol w:w="1280"/>
      </w:tblGrid>
      <w:tr w:rsidR="00F212FE" w:rsidRPr="000F7B71" w14:paraId="7B85E1BF" w14:textId="77777777" w:rsidTr="0055381F">
        <w:trPr>
          <w:trHeight w:val="310"/>
        </w:trPr>
        <w:tc>
          <w:tcPr>
            <w:tcW w:w="3880" w:type="dxa"/>
            <w:tcBorders>
              <w:top w:val="nil"/>
              <w:left w:val="nil"/>
              <w:bottom w:val="nil"/>
              <w:right w:val="nil"/>
            </w:tcBorders>
            <w:shd w:val="clear" w:color="000000" w:fill="FF6924"/>
            <w:noWrap/>
            <w:vAlign w:val="bottom"/>
            <w:hideMark/>
          </w:tcPr>
          <w:p w14:paraId="255EEBAA" w14:textId="77777777" w:rsidR="00F212FE" w:rsidRPr="000F7B71" w:rsidRDefault="00F212FE" w:rsidP="0055381F">
            <w:pPr>
              <w:spacing w:line="240" w:lineRule="auto"/>
              <w:ind w:firstLine="0"/>
              <w:rPr>
                <w:rFonts w:ascii="Calibri" w:eastAsia="Times New Roman" w:hAnsi="Calibri" w:cs="Calibri"/>
                <w:b/>
                <w:bCs/>
                <w:color w:val="FFFFFF"/>
                <w:sz w:val="24"/>
                <w:lang w:val="es-CR" w:eastAsia="es-CR"/>
              </w:rPr>
            </w:pPr>
            <w:r w:rsidRPr="000F7B71">
              <w:rPr>
                <w:rFonts w:ascii="Calibri" w:eastAsia="Times New Roman" w:hAnsi="Calibri" w:cs="Calibri"/>
                <w:b/>
                <w:bCs/>
                <w:color w:val="FFFFFF"/>
                <w:sz w:val="24"/>
                <w:lang w:val="es-CR" w:eastAsia="es-CR"/>
              </w:rPr>
              <w:t>Impactos a las Personas</w:t>
            </w:r>
          </w:p>
        </w:tc>
        <w:tc>
          <w:tcPr>
            <w:tcW w:w="1620" w:type="dxa"/>
            <w:tcBorders>
              <w:top w:val="nil"/>
              <w:left w:val="nil"/>
              <w:bottom w:val="nil"/>
              <w:right w:val="nil"/>
            </w:tcBorders>
            <w:shd w:val="clear" w:color="000000" w:fill="FF6924"/>
            <w:noWrap/>
            <w:vAlign w:val="bottom"/>
            <w:hideMark/>
          </w:tcPr>
          <w:p w14:paraId="4583A14A" w14:textId="77777777" w:rsidR="00F212FE" w:rsidRPr="000F7B71" w:rsidRDefault="00F212FE" w:rsidP="0055381F">
            <w:pPr>
              <w:spacing w:line="240" w:lineRule="auto"/>
              <w:ind w:firstLine="0"/>
              <w:rPr>
                <w:rFonts w:ascii="Calibri" w:eastAsia="Times New Roman" w:hAnsi="Calibri" w:cs="Calibri"/>
                <w:b/>
                <w:bCs/>
                <w:color w:val="FFFFFF"/>
                <w:sz w:val="24"/>
                <w:lang w:val="es-CR" w:eastAsia="es-CR"/>
              </w:rPr>
            </w:pPr>
            <w:r w:rsidRPr="000F7B71">
              <w:rPr>
                <w:rFonts w:ascii="Calibri" w:eastAsia="Times New Roman" w:hAnsi="Calibri" w:cs="Calibri"/>
                <w:b/>
                <w:bCs/>
                <w:color w:val="FFFFFF"/>
                <w:sz w:val="24"/>
                <w:lang w:val="es-CR" w:eastAsia="es-CR"/>
              </w:rPr>
              <w:t xml:space="preserve">Puntaje Inicial </w:t>
            </w:r>
          </w:p>
        </w:tc>
        <w:tc>
          <w:tcPr>
            <w:tcW w:w="1580" w:type="dxa"/>
            <w:tcBorders>
              <w:top w:val="nil"/>
              <w:left w:val="nil"/>
              <w:bottom w:val="nil"/>
              <w:right w:val="nil"/>
            </w:tcBorders>
            <w:shd w:val="clear" w:color="000000" w:fill="FF6924"/>
            <w:noWrap/>
            <w:vAlign w:val="bottom"/>
            <w:hideMark/>
          </w:tcPr>
          <w:p w14:paraId="65CF6720" w14:textId="77777777" w:rsidR="00F212FE" w:rsidRPr="000F7B71" w:rsidRDefault="00F212FE" w:rsidP="0055381F">
            <w:pPr>
              <w:spacing w:line="240" w:lineRule="auto"/>
              <w:ind w:firstLine="0"/>
              <w:rPr>
                <w:rFonts w:ascii="Calibri" w:eastAsia="Times New Roman" w:hAnsi="Calibri" w:cs="Calibri"/>
                <w:b/>
                <w:bCs/>
                <w:color w:val="FFFFFF"/>
                <w:sz w:val="24"/>
                <w:lang w:val="es-CR" w:eastAsia="es-CR"/>
              </w:rPr>
            </w:pPr>
            <w:r w:rsidRPr="000F7B71">
              <w:rPr>
                <w:rFonts w:ascii="Calibri" w:eastAsia="Times New Roman" w:hAnsi="Calibri" w:cs="Calibri"/>
                <w:b/>
                <w:bCs/>
                <w:color w:val="FFFFFF"/>
                <w:sz w:val="24"/>
                <w:lang w:val="es-CR" w:eastAsia="es-CR"/>
              </w:rPr>
              <w:t>Nuevo Puntaje</w:t>
            </w:r>
          </w:p>
        </w:tc>
        <w:tc>
          <w:tcPr>
            <w:tcW w:w="1280" w:type="dxa"/>
            <w:tcBorders>
              <w:top w:val="nil"/>
              <w:left w:val="nil"/>
              <w:bottom w:val="nil"/>
              <w:right w:val="nil"/>
            </w:tcBorders>
            <w:shd w:val="clear" w:color="000000" w:fill="FF6924"/>
            <w:noWrap/>
            <w:vAlign w:val="bottom"/>
            <w:hideMark/>
          </w:tcPr>
          <w:p w14:paraId="60B42F42" w14:textId="77777777" w:rsidR="00F212FE" w:rsidRPr="000F7B71" w:rsidRDefault="00F212FE" w:rsidP="0055381F">
            <w:pPr>
              <w:spacing w:line="240" w:lineRule="auto"/>
              <w:ind w:firstLine="0"/>
              <w:rPr>
                <w:rFonts w:ascii="Calibri" w:eastAsia="Times New Roman" w:hAnsi="Calibri" w:cs="Calibri"/>
                <w:b/>
                <w:bCs/>
                <w:color w:val="FFFFFF"/>
                <w:sz w:val="24"/>
                <w:lang w:val="es-CR" w:eastAsia="es-CR"/>
              </w:rPr>
            </w:pPr>
            <w:r w:rsidRPr="000F7B71">
              <w:rPr>
                <w:rFonts w:ascii="Calibri" w:eastAsia="Times New Roman" w:hAnsi="Calibri" w:cs="Calibri"/>
                <w:b/>
                <w:bCs/>
                <w:color w:val="FFFFFF"/>
                <w:sz w:val="24"/>
                <w:lang w:val="es-CR" w:eastAsia="es-CR"/>
              </w:rPr>
              <w:t>Cambio</w:t>
            </w:r>
          </w:p>
        </w:tc>
      </w:tr>
      <w:tr w:rsidR="00F212FE" w:rsidRPr="000F7B71" w14:paraId="66ECD359" w14:textId="77777777" w:rsidTr="0055381F">
        <w:trPr>
          <w:trHeight w:val="310"/>
        </w:trPr>
        <w:tc>
          <w:tcPr>
            <w:tcW w:w="3880" w:type="dxa"/>
            <w:tcBorders>
              <w:top w:val="single" w:sz="4" w:space="0" w:color="FFFFFF"/>
              <w:left w:val="single" w:sz="4" w:space="0" w:color="FFFFFF"/>
              <w:bottom w:val="single" w:sz="4" w:space="0" w:color="FFFFFF"/>
              <w:right w:val="single" w:sz="4" w:space="0" w:color="FFFFFF"/>
            </w:tcBorders>
            <w:shd w:val="clear" w:color="000000" w:fill="E99226"/>
            <w:noWrap/>
            <w:vAlign w:val="bottom"/>
            <w:hideMark/>
          </w:tcPr>
          <w:p w14:paraId="5A32565E" w14:textId="77777777" w:rsidR="00F212FE" w:rsidRPr="000F7B71" w:rsidRDefault="00F212FE" w:rsidP="0055381F">
            <w:pPr>
              <w:spacing w:line="240" w:lineRule="auto"/>
              <w:ind w:firstLine="0"/>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Prácticas Laborales y Trabajo Decente</w:t>
            </w:r>
          </w:p>
        </w:tc>
        <w:tc>
          <w:tcPr>
            <w:tcW w:w="1620" w:type="dxa"/>
            <w:tcBorders>
              <w:top w:val="single" w:sz="4" w:space="0" w:color="FFFFFF"/>
              <w:left w:val="nil"/>
              <w:bottom w:val="single" w:sz="4" w:space="0" w:color="FFFFFF"/>
              <w:right w:val="single" w:sz="4" w:space="0" w:color="FFFFFF"/>
            </w:tcBorders>
            <w:shd w:val="clear" w:color="000000" w:fill="E99226"/>
            <w:noWrap/>
            <w:vAlign w:val="bottom"/>
            <w:hideMark/>
          </w:tcPr>
          <w:p w14:paraId="58284943" w14:textId="77777777" w:rsidR="00F212FE" w:rsidRPr="000F7B71" w:rsidRDefault="00F212FE" w:rsidP="0055381F">
            <w:pPr>
              <w:spacing w:line="240" w:lineRule="auto"/>
              <w:ind w:firstLine="0"/>
              <w:jc w:val="center"/>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2,1</w:t>
            </w:r>
          </w:p>
        </w:tc>
        <w:tc>
          <w:tcPr>
            <w:tcW w:w="1580" w:type="dxa"/>
            <w:tcBorders>
              <w:top w:val="single" w:sz="4" w:space="0" w:color="FFFFFF"/>
              <w:left w:val="nil"/>
              <w:bottom w:val="single" w:sz="4" w:space="0" w:color="FFFFFF"/>
              <w:right w:val="single" w:sz="4" w:space="0" w:color="FFFFFF"/>
            </w:tcBorders>
            <w:shd w:val="clear" w:color="000000" w:fill="E99226"/>
            <w:noWrap/>
            <w:vAlign w:val="bottom"/>
            <w:hideMark/>
          </w:tcPr>
          <w:p w14:paraId="1C8F6583" w14:textId="77777777" w:rsidR="00F212FE" w:rsidRPr="000F7B71" w:rsidRDefault="00F212FE" w:rsidP="0055381F">
            <w:pPr>
              <w:spacing w:line="240" w:lineRule="auto"/>
              <w:ind w:firstLine="0"/>
              <w:jc w:val="center"/>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3,9</w:t>
            </w:r>
          </w:p>
        </w:tc>
        <w:tc>
          <w:tcPr>
            <w:tcW w:w="1280" w:type="dxa"/>
            <w:tcBorders>
              <w:top w:val="single" w:sz="4" w:space="0" w:color="FFFFFF"/>
              <w:left w:val="nil"/>
              <w:bottom w:val="single" w:sz="4" w:space="0" w:color="FFFFFF"/>
              <w:right w:val="single" w:sz="4" w:space="0" w:color="FFFFFF"/>
            </w:tcBorders>
            <w:shd w:val="clear" w:color="000000" w:fill="E99226"/>
            <w:noWrap/>
            <w:vAlign w:val="bottom"/>
            <w:hideMark/>
          </w:tcPr>
          <w:p w14:paraId="443601B8" w14:textId="77777777" w:rsidR="00F212FE" w:rsidRPr="000F7B71" w:rsidRDefault="00F212FE" w:rsidP="0055381F">
            <w:pPr>
              <w:spacing w:line="240" w:lineRule="auto"/>
              <w:ind w:firstLine="0"/>
              <w:jc w:val="right"/>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-1,7</w:t>
            </w:r>
          </w:p>
        </w:tc>
      </w:tr>
      <w:tr w:rsidR="00F212FE" w:rsidRPr="000F7B71" w14:paraId="0A2BC6E5" w14:textId="77777777" w:rsidTr="0055381F">
        <w:trPr>
          <w:trHeight w:val="310"/>
        </w:trPr>
        <w:tc>
          <w:tcPr>
            <w:tcW w:w="3880" w:type="dxa"/>
            <w:tcBorders>
              <w:top w:val="nil"/>
              <w:left w:val="single" w:sz="4" w:space="0" w:color="FFFFFF"/>
              <w:bottom w:val="single" w:sz="4" w:space="0" w:color="FFFFFF"/>
              <w:right w:val="single" w:sz="4" w:space="0" w:color="FFFFFF"/>
            </w:tcBorders>
            <w:shd w:val="clear" w:color="000000" w:fill="E99226"/>
            <w:noWrap/>
            <w:vAlign w:val="bottom"/>
            <w:hideMark/>
          </w:tcPr>
          <w:p w14:paraId="2674DF91" w14:textId="77777777" w:rsidR="00F212FE" w:rsidRPr="000F7B71" w:rsidRDefault="00F212FE" w:rsidP="0055381F">
            <w:pPr>
              <w:spacing w:line="240" w:lineRule="auto"/>
              <w:ind w:firstLine="0"/>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Sociedad y Clientes</w:t>
            </w:r>
          </w:p>
        </w:tc>
        <w:tc>
          <w:tcPr>
            <w:tcW w:w="1620" w:type="dxa"/>
            <w:tcBorders>
              <w:top w:val="nil"/>
              <w:left w:val="nil"/>
              <w:bottom w:val="single" w:sz="4" w:space="0" w:color="FFFFFF"/>
              <w:right w:val="single" w:sz="4" w:space="0" w:color="FFFFFF"/>
            </w:tcBorders>
            <w:shd w:val="clear" w:color="000000" w:fill="E99226"/>
            <w:noWrap/>
            <w:vAlign w:val="bottom"/>
            <w:hideMark/>
          </w:tcPr>
          <w:p w14:paraId="6CB1762B" w14:textId="77777777" w:rsidR="00F212FE" w:rsidRPr="000F7B71" w:rsidRDefault="00F212FE" w:rsidP="0055381F">
            <w:pPr>
              <w:spacing w:line="240" w:lineRule="auto"/>
              <w:ind w:firstLine="0"/>
              <w:jc w:val="center"/>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2,4</w:t>
            </w:r>
          </w:p>
        </w:tc>
        <w:tc>
          <w:tcPr>
            <w:tcW w:w="1580" w:type="dxa"/>
            <w:tcBorders>
              <w:top w:val="nil"/>
              <w:left w:val="nil"/>
              <w:bottom w:val="single" w:sz="4" w:space="0" w:color="FFFFFF"/>
              <w:right w:val="single" w:sz="4" w:space="0" w:color="FFFFFF"/>
            </w:tcBorders>
            <w:shd w:val="clear" w:color="000000" w:fill="E99226"/>
            <w:noWrap/>
            <w:vAlign w:val="bottom"/>
            <w:hideMark/>
          </w:tcPr>
          <w:p w14:paraId="6F0F4E2C" w14:textId="77777777" w:rsidR="00F212FE" w:rsidRPr="000F7B71" w:rsidRDefault="00F212FE" w:rsidP="0055381F">
            <w:pPr>
              <w:spacing w:line="240" w:lineRule="auto"/>
              <w:ind w:firstLine="0"/>
              <w:jc w:val="center"/>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4,0</w:t>
            </w:r>
          </w:p>
        </w:tc>
        <w:tc>
          <w:tcPr>
            <w:tcW w:w="1280" w:type="dxa"/>
            <w:tcBorders>
              <w:top w:val="nil"/>
              <w:left w:val="nil"/>
              <w:bottom w:val="single" w:sz="4" w:space="0" w:color="FFFFFF"/>
              <w:right w:val="single" w:sz="4" w:space="0" w:color="FFFFFF"/>
            </w:tcBorders>
            <w:shd w:val="clear" w:color="000000" w:fill="E99226"/>
            <w:noWrap/>
            <w:vAlign w:val="bottom"/>
            <w:hideMark/>
          </w:tcPr>
          <w:p w14:paraId="3936E63F" w14:textId="77777777" w:rsidR="00F212FE" w:rsidRPr="000F7B71" w:rsidRDefault="00F212FE" w:rsidP="0055381F">
            <w:pPr>
              <w:spacing w:line="240" w:lineRule="auto"/>
              <w:ind w:firstLine="0"/>
              <w:jc w:val="right"/>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-1,6</w:t>
            </w:r>
          </w:p>
        </w:tc>
      </w:tr>
      <w:tr w:rsidR="00F212FE" w:rsidRPr="000F7B71" w14:paraId="347608F8" w14:textId="77777777" w:rsidTr="0055381F">
        <w:trPr>
          <w:trHeight w:val="310"/>
        </w:trPr>
        <w:tc>
          <w:tcPr>
            <w:tcW w:w="3880" w:type="dxa"/>
            <w:tcBorders>
              <w:top w:val="nil"/>
              <w:left w:val="single" w:sz="4" w:space="0" w:color="FFFFFF"/>
              <w:bottom w:val="single" w:sz="4" w:space="0" w:color="FFFFFF"/>
              <w:right w:val="single" w:sz="4" w:space="0" w:color="FFFFFF"/>
            </w:tcBorders>
            <w:shd w:val="clear" w:color="000000" w:fill="E99226"/>
            <w:noWrap/>
            <w:vAlign w:val="bottom"/>
            <w:hideMark/>
          </w:tcPr>
          <w:p w14:paraId="4C7A0805" w14:textId="77777777" w:rsidR="00F212FE" w:rsidRPr="000F7B71" w:rsidRDefault="00F212FE" w:rsidP="0055381F">
            <w:pPr>
              <w:spacing w:line="240" w:lineRule="auto"/>
              <w:ind w:firstLine="0"/>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Derechos Humanos</w:t>
            </w:r>
          </w:p>
        </w:tc>
        <w:tc>
          <w:tcPr>
            <w:tcW w:w="1620" w:type="dxa"/>
            <w:tcBorders>
              <w:top w:val="nil"/>
              <w:left w:val="nil"/>
              <w:bottom w:val="single" w:sz="4" w:space="0" w:color="FFFFFF"/>
              <w:right w:val="single" w:sz="4" w:space="0" w:color="FFFFFF"/>
            </w:tcBorders>
            <w:shd w:val="clear" w:color="000000" w:fill="E99226"/>
            <w:noWrap/>
            <w:vAlign w:val="bottom"/>
            <w:hideMark/>
          </w:tcPr>
          <w:p w14:paraId="009296F0" w14:textId="77777777" w:rsidR="00F212FE" w:rsidRPr="000F7B71" w:rsidRDefault="00F212FE" w:rsidP="0055381F">
            <w:pPr>
              <w:spacing w:line="240" w:lineRule="auto"/>
              <w:ind w:firstLine="0"/>
              <w:jc w:val="center"/>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2,7</w:t>
            </w:r>
          </w:p>
        </w:tc>
        <w:tc>
          <w:tcPr>
            <w:tcW w:w="1580" w:type="dxa"/>
            <w:tcBorders>
              <w:top w:val="nil"/>
              <w:left w:val="nil"/>
              <w:bottom w:val="single" w:sz="4" w:space="0" w:color="FFFFFF"/>
              <w:right w:val="single" w:sz="4" w:space="0" w:color="FFFFFF"/>
            </w:tcBorders>
            <w:shd w:val="clear" w:color="000000" w:fill="E99226"/>
            <w:noWrap/>
            <w:vAlign w:val="bottom"/>
            <w:hideMark/>
          </w:tcPr>
          <w:p w14:paraId="12B536FA" w14:textId="77777777" w:rsidR="00F212FE" w:rsidRPr="000F7B71" w:rsidRDefault="00F212FE" w:rsidP="0055381F">
            <w:pPr>
              <w:spacing w:line="240" w:lineRule="auto"/>
              <w:ind w:firstLine="0"/>
              <w:jc w:val="center"/>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4,0</w:t>
            </w:r>
          </w:p>
        </w:tc>
        <w:tc>
          <w:tcPr>
            <w:tcW w:w="1280" w:type="dxa"/>
            <w:tcBorders>
              <w:top w:val="nil"/>
              <w:left w:val="nil"/>
              <w:bottom w:val="single" w:sz="4" w:space="0" w:color="FFFFFF"/>
              <w:right w:val="single" w:sz="4" w:space="0" w:color="FFFFFF"/>
            </w:tcBorders>
            <w:shd w:val="clear" w:color="000000" w:fill="E99226"/>
            <w:noWrap/>
            <w:vAlign w:val="bottom"/>
            <w:hideMark/>
          </w:tcPr>
          <w:p w14:paraId="4D0ADABB" w14:textId="77777777" w:rsidR="00F212FE" w:rsidRPr="000F7B71" w:rsidRDefault="00F212FE" w:rsidP="0055381F">
            <w:pPr>
              <w:spacing w:line="240" w:lineRule="auto"/>
              <w:ind w:firstLine="0"/>
              <w:jc w:val="right"/>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-1,3</w:t>
            </w:r>
          </w:p>
        </w:tc>
      </w:tr>
      <w:tr w:rsidR="00F212FE" w:rsidRPr="000F7B71" w14:paraId="400BB01E" w14:textId="77777777" w:rsidTr="0055381F">
        <w:trPr>
          <w:trHeight w:val="310"/>
        </w:trPr>
        <w:tc>
          <w:tcPr>
            <w:tcW w:w="3880" w:type="dxa"/>
            <w:tcBorders>
              <w:top w:val="nil"/>
              <w:left w:val="single" w:sz="4" w:space="0" w:color="FFFFFF"/>
              <w:bottom w:val="single" w:sz="4" w:space="0" w:color="FFFFFF"/>
              <w:right w:val="single" w:sz="4" w:space="0" w:color="FFFFFF"/>
            </w:tcBorders>
            <w:shd w:val="clear" w:color="000000" w:fill="E99226"/>
            <w:noWrap/>
            <w:vAlign w:val="bottom"/>
            <w:hideMark/>
          </w:tcPr>
          <w:p w14:paraId="2F42E9C3" w14:textId="77777777" w:rsidR="00F212FE" w:rsidRPr="000F7B71" w:rsidRDefault="00F212FE" w:rsidP="0055381F">
            <w:pPr>
              <w:spacing w:line="240" w:lineRule="auto"/>
              <w:ind w:firstLine="0"/>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Comportamiento Ético</w:t>
            </w:r>
          </w:p>
        </w:tc>
        <w:tc>
          <w:tcPr>
            <w:tcW w:w="1620" w:type="dxa"/>
            <w:tcBorders>
              <w:top w:val="nil"/>
              <w:left w:val="nil"/>
              <w:bottom w:val="single" w:sz="4" w:space="0" w:color="FFFFFF"/>
              <w:right w:val="single" w:sz="4" w:space="0" w:color="FFFFFF"/>
            </w:tcBorders>
            <w:shd w:val="clear" w:color="000000" w:fill="E99226"/>
            <w:noWrap/>
            <w:vAlign w:val="bottom"/>
            <w:hideMark/>
          </w:tcPr>
          <w:p w14:paraId="350EA53F" w14:textId="77777777" w:rsidR="00F212FE" w:rsidRPr="000F7B71" w:rsidRDefault="00F212FE" w:rsidP="0055381F">
            <w:pPr>
              <w:spacing w:line="240" w:lineRule="auto"/>
              <w:ind w:firstLine="0"/>
              <w:jc w:val="center"/>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2,4</w:t>
            </w:r>
          </w:p>
        </w:tc>
        <w:tc>
          <w:tcPr>
            <w:tcW w:w="1580" w:type="dxa"/>
            <w:tcBorders>
              <w:top w:val="nil"/>
              <w:left w:val="nil"/>
              <w:bottom w:val="single" w:sz="4" w:space="0" w:color="FFFFFF"/>
              <w:right w:val="single" w:sz="4" w:space="0" w:color="FFFFFF"/>
            </w:tcBorders>
            <w:shd w:val="clear" w:color="000000" w:fill="E99226"/>
            <w:noWrap/>
            <w:vAlign w:val="bottom"/>
            <w:hideMark/>
          </w:tcPr>
          <w:p w14:paraId="0DE63FB3" w14:textId="77777777" w:rsidR="00F212FE" w:rsidRPr="000F7B71" w:rsidRDefault="00F212FE" w:rsidP="0055381F">
            <w:pPr>
              <w:spacing w:line="240" w:lineRule="auto"/>
              <w:ind w:firstLine="0"/>
              <w:jc w:val="center"/>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4,2</w:t>
            </w:r>
          </w:p>
        </w:tc>
        <w:tc>
          <w:tcPr>
            <w:tcW w:w="1280" w:type="dxa"/>
            <w:tcBorders>
              <w:top w:val="nil"/>
              <w:left w:val="nil"/>
              <w:bottom w:val="single" w:sz="4" w:space="0" w:color="FFFFFF"/>
              <w:right w:val="single" w:sz="4" w:space="0" w:color="FFFFFF"/>
            </w:tcBorders>
            <w:shd w:val="clear" w:color="000000" w:fill="E99226"/>
            <w:noWrap/>
            <w:vAlign w:val="bottom"/>
            <w:hideMark/>
          </w:tcPr>
          <w:p w14:paraId="55267963" w14:textId="77777777" w:rsidR="00F212FE" w:rsidRPr="000F7B71" w:rsidRDefault="00F212FE" w:rsidP="0055381F">
            <w:pPr>
              <w:spacing w:line="240" w:lineRule="auto"/>
              <w:ind w:firstLine="0"/>
              <w:jc w:val="right"/>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-1,8</w:t>
            </w:r>
          </w:p>
        </w:tc>
      </w:tr>
      <w:tr w:rsidR="00F212FE" w:rsidRPr="000F7B71" w14:paraId="3B804697" w14:textId="77777777" w:rsidTr="0055381F">
        <w:trPr>
          <w:trHeight w:val="80"/>
        </w:trPr>
        <w:tc>
          <w:tcPr>
            <w:tcW w:w="3880" w:type="dxa"/>
            <w:tcBorders>
              <w:top w:val="nil"/>
              <w:left w:val="single" w:sz="4" w:space="0" w:color="FFFFFF"/>
              <w:bottom w:val="single" w:sz="4" w:space="0" w:color="FFFFFF"/>
              <w:right w:val="single" w:sz="4" w:space="0" w:color="FFFFFF"/>
            </w:tcBorders>
            <w:shd w:val="clear" w:color="000000" w:fill="FFFFFF"/>
            <w:noWrap/>
            <w:vAlign w:val="bottom"/>
            <w:hideMark/>
          </w:tcPr>
          <w:p w14:paraId="1B7050FB" w14:textId="77777777" w:rsidR="00F212FE" w:rsidRPr="000F7B71" w:rsidRDefault="00F212FE" w:rsidP="0055381F">
            <w:pPr>
              <w:spacing w:line="240" w:lineRule="auto"/>
              <w:ind w:firstLine="0"/>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 </w:t>
            </w:r>
          </w:p>
        </w:tc>
        <w:tc>
          <w:tcPr>
            <w:tcW w:w="1620" w:type="dxa"/>
            <w:tcBorders>
              <w:top w:val="nil"/>
              <w:left w:val="nil"/>
              <w:bottom w:val="single" w:sz="4" w:space="0" w:color="FFFFFF"/>
              <w:right w:val="single" w:sz="4" w:space="0" w:color="FFFFFF"/>
            </w:tcBorders>
            <w:shd w:val="clear" w:color="000000" w:fill="FFFFFF"/>
            <w:noWrap/>
            <w:vAlign w:val="bottom"/>
            <w:hideMark/>
          </w:tcPr>
          <w:p w14:paraId="3EDF7E1B" w14:textId="77777777" w:rsidR="00F212FE" w:rsidRPr="000F7B71" w:rsidRDefault="00F212FE" w:rsidP="0055381F">
            <w:pPr>
              <w:spacing w:line="240" w:lineRule="auto"/>
              <w:ind w:firstLine="0"/>
              <w:jc w:val="center"/>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 </w:t>
            </w:r>
          </w:p>
        </w:tc>
        <w:tc>
          <w:tcPr>
            <w:tcW w:w="1580" w:type="dxa"/>
            <w:tcBorders>
              <w:top w:val="nil"/>
              <w:left w:val="nil"/>
              <w:bottom w:val="single" w:sz="4" w:space="0" w:color="FFFFFF"/>
              <w:right w:val="single" w:sz="4" w:space="0" w:color="FFFFFF"/>
            </w:tcBorders>
            <w:shd w:val="clear" w:color="000000" w:fill="FFFFFF"/>
            <w:noWrap/>
            <w:vAlign w:val="bottom"/>
            <w:hideMark/>
          </w:tcPr>
          <w:p w14:paraId="1EF5B23E" w14:textId="77777777" w:rsidR="00F212FE" w:rsidRPr="000F7B71" w:rsidRDefault="00F212FE" w:rsidP="0055381F">
            <w:pPr>
              <w:spacing w:line="240" w:lineRule="auto"/>
              <w:ind w:firstLine="0"/>
              <w:jc w:val="center"/>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 </w:t>
            </w:r>
          </w:p>
        </w:tc>
        <w:tc>
          <w:tcPr>
            <w:tcW w:w="1280" w:type="dxa"/>
            <w:tcBorders>
              <w:top w:val="nil"/>
              <w:left w:val="nil"/>
              <w:bottom w:val="single" w:sz="4" w:space="0" w:color="FFFFFF"/>
              <w:right w:val="single" w:sz="4" w:space="0" w:color="FFFFFF"/>
            </w:tcBorders>
            <w:shd w:val="clear" w:color="000000" w:fill="FFFFFF"/>
            <w:noWrap/>
            <w:vAlign w:val="bottom"/>
            <w:hideMark/>
          </w:tcPr>
          <w:p w14:paraId="52C3C598" w14:textId="77777777" w:rsidR="00F212FE" w:rsidRPr="000F7B71" w:rsidRDefault="00F212FE" w:rsidP="0055381F">
            <w:pPr>
              <w:spacing w:line="240" w:lineRule="auto"/>
              <w:ind w:firstLine="0"/>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 </w:t>
            </w:r>
          </w:p>
        </w:tc>
      </w:tr>
      <w:tr w:rsidR="00F212FE" w:rsidRPr="000F7B71" w14:paraId="24D4C574" w14:textId="77777777" w:rsidTr="0055381F">
        <w:trPr>
          <w:trHeight w:val="620"/>
        </w:trPr>
        <w:tc>
          <w:tcPr>
            <w:tcW w:w="3880" w:type="dxa"/>
            <w:tcBorders>
              <w:top w:val="nil"/>
              <w:left w:val="single" w:sz="4" w:space="0" w:color="FFFFFF"/>
              <w:bottom w:val="single" w:sz="4" w:space="0" w:color="FFFFFF"/>
              <w:right w:val="single" w:sz="4" w:space="0" w:color="FFFFFF"/>
            </w:tcBorders>
            <w:shd w:val="clear" w:color="000000" w:fill="E99226"/>
            <w:vAlign w:val="bottom"/>
            <w:hideMark/>
          </w:tcPr>
          <w:p w14:paraId="4320D7B0" w14:textId="77777777" w:rsidR="00F212FE" w:rsidRPr="000F7B71" w:rsidRDefault="00F212FE" w:rsidP="0055381F">
            <w:pPr>
              <w:spacing w:line="240" w:lineRule="auto"/>
              <w:ind w:firstLine="0"/>
              <w:rPr>
                <w:rFonts w:ascii="Calibri" w:eastAsia="Times New Roman" w:hAnsi="Calibri" w:cs="Calibri"/>
                <w:b/>
                <w:bCs/>
                <w:color w:val="FFFFFF"/>
                <w:sz w:val="24"/>
                <w:lang w:val="es-CR" w:eastAsia="es-CR"/>
              </w:rPr>
            </w:pPr>
            <w:r w:rsidRPr="000F7B71">
              <w:rPr>
                <w:rFonts w:ascii="Calibri" w:eastAsia="Times New Roman" w:hAnsi="Calibri" w:cs="Calibri"/>
                <w:b/>
                <w:bCs/>
                <w:color w:val="FFFFFF"/>
                <w:sz w:val="24"/>
                <w:lang w:val="es-CR" w:eastAsia="es-CR"/>
              </w:rPr>
              <w:t>Puntaje General de los Impactos a las Personas</w:t>
            </w:r>
          </w:p>
        </w:tc>
        <w:tc>
          <w:tcPr>
            <w:tcW w:w="4480" w:type="dxa"/>
            <w:gridSpan w:val="3"/>
            <w:tcBorders>
              <w:top w:val="single" w:sz="4" w:space="0" w:color="FFFFFF"/>
              <w:left w:val="nil"/>
              <w:bottom w:val="single" w:sz="4" w:space="0" w:color="FFFFFF"/>
              <w:right w:val="single" w:sz="4" w:space="0" w:color="FFFFFF"/>
            </w:tcBorders>
            <w:shd w:val="clear" w:color="000000" w:fill="E99226"/>
            <w:noWrap/>
            <w:vAlign w:val="bottom"/>
            <w:hideMark/>
          </w:tcPr>
          <w:p w14:paraId="5DFF43B1" w14:textId="77777777" w:rsidR="00F212FE" w:rsidRPr="000F7B71" w:rsidRDefault="00F212FE" w:rsidP="0055381F">
            <w:pPr>
              <w:spacing w:line="240" w:lineRule="auto"/>
              <w:ind w:firstLine="0"/>
              <w:jc w:val="center"/>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4,0</w:t>
            </w:r>
          </w:p>
        </w:tc>
      </w:tr>
      <w:tr w:rsidR="00F212FE" w:rsidRPr="000F7B71" w14:paraId="4F8BDC76" w14:textId="77777777" w:rsidTr="0055381F">
        <w:trPr>
          <w:trHeight w:val="310"/>
        </w:trPr>
        <w:tc>
          <w:tcPr>
            <w:tcW w:w="3880" w:type="dxa"/>
            <w:tcBorders>
              <w:top w:val="nil"/>
              <w:left w:val="nil"/>
              <w:bottom w:val="nil"/>
              <w:right w:val="nil"/>
            </w:tcBorders>
            <w:noWrap/>
            <w:vAlign w:val="bottom"/>
            <w:hideMark/>
          </w:tcPr>
          <w:p w14:paraId="11A7B90D" w14:textId="77777777" w:rsidR="00F212FE" w:rsidRPr="000F7B71" w:rsidRDefault="00F212FE" w:rsidP="0055381F">
            <w:pPr>
              <w:spacing w:line="240" w:lineRule="auto"/>
              <w:ind w:firstLine="0"/>
              <w:jc w:val="center"/>
              <w:rPr>
                <w:rFonts w:ascii="Calibri" w:eastAsia="Times New Roman" w:hAnsi="Calibri" w:cs="Calibri"/>
                <w:color w:val="FFFFFF"/>
                <w:sz w:val="24"/>
                <w:lang w:val="es-CR" w:eastAsia="es-CR"/>
              </w:rPr>
            </w:pPr>
          </w:p>
        </w:tc>
        <w:tc>
          <w:tcPr>
            <w:tcW w:w="1620" w:type="dxa"/>
            <w:tcBorders>
              <w:top w:val="nil"/>
              <w:left w:val="nil"/>
              <w:bottom w:val="nil"/>
              <w:right w:val="nil"/>
            </w:tcBorders>
            <w:noWrap/>
            <w:vAlign w:val="bottom"/>
            <w:hideMark/>
          </w:tcPr>
          <w:p w14:paraId="6A72ED41" w14:textId="77777777" w:rsidR="00F212FE" w:rsidRPr="000F7B71" w:rsidRDefault="00F212FE" w:rsidP="0055381F">
            <w:pPr>
              <w:spacing w:line="240" w:lineRule="auto"/>
              <w:ind w:firstLine="0"/>
              <w:rPr>
                <w:rFonts w:ascii="Times New Roman" w:eastAsia="Times New Roman" w:hAnsi="Times New Roman" w:cs="Times New Roman"/>
                <w:sz w:val="20"/>
                <w:szCs w:val="20"/>
                <w:lang w:val="es-CR" w:eastAsia="es-CR"/>
              </w:rPr>
            </w:pPr>
          </w:p>
        </w:tc>
        <w:tc>
          <w:tcPr>
            <w:tcW w:w="1580" w:type="dxa"/>
            <w:tcBorders>
              <w:top w:val="nil"/>
              <w:left w:val="nil"/>
              <w:bottom w:val="nil"/>
              <w:right w:val="nil"/>
            </w:tcBorders>
            <w:noWrap/>
            <w:vAlign w:val="bottom"/>
            <w:hideMark/>
          </w:tcPr>
          <w:p w14:paraId="5604C608" w14:textId="77777777" w:rsidR="00F212FE" w:rsidRPr="000F7B71" w:rsidRDefault="00F212FE" w:rsidP="0055381F">
            <w:pPr>
              <w:spacing w:line="240" w:lineRule="auto"/>
              <w:ind w:firstLine="0"/>
              <w:rPr>
                <w:rFonts w:ascii="Times New Roman" w:eastAsia="Times New Roman" w:hAnsi="Times New Roman" w:cs="Times New Roman"/>
                <w:sz w:val="20"/>
                <w:szCs w:val="20"/>
                <w:lang w:val="es-CR" w:eastAsia="es-CR"/>
              </w:rPr>
            </w:pPr>
          </w:p>
        </w:tc>
        <w:tc>
          <w:tcPr>
            <w:tcW w:w="1280" w:type="dxa"/>
            <w:tcBorders>
              <w:top w:val="nil"/>
              <w:left w:val="nil"/>
              <w:bottom w:val="nil"/>
              <w:right w:val="nil"/>
            </w:tcBorders>
            <w:noWrap/>
            <w:vAlign w:val="bottom"/>
            <w:hideMark/>
          </w:tcPr>
          <w:p w14:paraId="102DFE92" w14:textId="77777777" w:rsidR="00F212FE" w:rsidRPr="000F7B71" w:rsidRDefault="00F212FE" w:rsidP="0055381F">
            <w:pPr>
              <w:spacing w:line="240" w:lineRule="auto"/>
              <w:ind w:firstLine="0"/>
              <w:rPr>
                <w:rFonts w:ascii="Times New Roman" w:eastAsia="Times New Roman" w:hAnsi="Times New Roman" w:cs="Times New Roman"/>
                <w:sz w:val="20"/>
                <w:szCs w:val="20"/>
                <w:lang w:val="es-CR" w:eastAsia="es-CR"/>
              </w:rPr>
            </w:pPr>
          </w:p>
        </w:tc>
      </w:tr>
      <w:tr w:rsidR="00F212FE" w:rsidRPr="000F7B71" w14:paraId="1A68FCC7" w14:textId="77777777" w:rsidTr="0055381F">
        <w:trPr>
          <w:trHeight w:val="310"/>
        </w:trPr>
        <w:tc>
          <w:tcPr>
            <w:tcW w:w="3880" w:type="dxa"/>
            <w:tcBorders>
              <w:top w:val="nil"/>
              <w:left w:val="nil"/>
              <w:bottom w:val="nil"/>
              <w:right w:val="nil"/>
            </w:tcBorders>
            <w:shd w:val="clear" w:color="000000" w:fill="3D7E42"/>
            <w:noWrap/>
            <w:vAlign w:val="bottom"/>
            <w:hideMark/>
          </w:tcPr>
          <w:p w14:paraId="43958843" w14:textId="77777777" w:rsidR="00F212FE" w:rsidRPr="000F7B71" w:rsidRDefault="00F212FE" w:rsidP="0055381F">
            <w:pPr>
              <w:spacing w:line="240" w:lineRule="auto"/>
              <w:ind w:firstLine="0"/>
              <w:rPr>
                <w:rFonts w:ascii="Calibri" w:eastAsia="Times New Roman" w:hAnsi="Calibri" w:cs="Calibri"/>
                <w:b/>
                <w:bCs/>
                <w:color w:val="FFFFFF"/>
                <w:sz w:val="24"/>
                <w:lang w:val="es-CR" w:eastAsia="es-CR"/>
              </w:rPr>
            </w:pPr>
            <w:r w:rsidRPr="000F7B71">
              <w:rPr>
                <w:rFonts w:ascii="Calibri" w:eastAsia="Times New Roman" w:hAnsi="Calibri" w:cs="Calibri"/>
                <w:b/>
                <w:bCs/>
                <w:color w:val="FFFFFF"/>
                <w:sz w:val="24"/>
                <w:lang w:val="es-CR" w:eastAsia="es-CR"/>
              </w:rPr>
              <w:t>Impactos al Planeta</w:t>
            </w:r>
          </w:p>
        </w:tc>
        <w:tc>
          <w:tcPr>
            <w:tcW w:w="1620" w:type="dxa"/>
            <w:tcBorders>
              <w:top w:val="nil"/>
              <w:left w:val="nil"/>
              <w:bottom w:val="nil"/>
              <w:right w:val="nil"/>
            </w:tcBorders>
            <w:shd w:val="clear" w:color="000000" w:fill="3D7E42"/>
            <w:noWrap/>
            <w:vAlign w:val="bottom"/>
            <w:hideMark/>
          </w:tcPr>
          <w:p w14:paraId="5A9953AC" w14:textId="77777777" w:rsidR="00F212FE" w:rsidRPr="000F7B71" w:rsidRDefault="00F212FE" w:rsidP="0055381F">
            <w:pPr>
              <w:spacing w:line="240" w:lineRule="auto"/>
              <w:ind w:firstLine="0"/>
              <w:rPr>
                <w:rFonts w:ascii="Calibri" w:eastAsia="Times New Roman" w:hAnsi="Calibri" w:cs="Calibri"/>
                <w:b/>
                <w:bCs/>
                <w:color w:val="FFFFFF"/>
                <w:sz w:val="24"/>
                <w:lang w:val="es-CR" w:eastAsia="es-CR"/>
              </w:rPr>
            </w:pPr>
            <w:r w:rsidRPr="000F7B71">
              <w:rPr>
                <w:rFonts w:ascii="Calibri" w:eastAsia="Times New Roman" w:hAnsi="Calibri" w:cs="Calibri"/>
                <w:b/>
                <w:bCs/>
                <w:color w:val="FFFFFF"/>
                <w:sz w:val="24"/>
                <w:lang w:val="es-CR" w:eastAsia="es-CR"/>
              </w:rPr>
              <w:t>Puntaje Inicial</w:t>
            </w:r>
          </w:p>
        </w:tc>
        <w:tc>
          <w:tcPr>
            <w:tcW w:w="1580" w:type="dxa"/>
            <w:tcBorders>
              <w:top w:val="nil"/>
              <w:left w:val="nil"/>
              <w:bottom w:val="nil"/>
              <w:right w:val="nil"/>
            </w:tcBorders>
            <w:shd w:val="clear" w:color="000000" w:fill="3D7E42"/>
            <w:noWrap/>
            <w:vAlign w:val="bottom"/>
            <w:hideMark/>
          </w:tcPr>
          <w:p w14:paraId="472BC573" w14:textId="77777777" w:rsidR="00F212FE" w:rsidRPr="000F7B71" w:rsidRDefault="00F212FE" w:rsidP="0055381F">
            <w:pPr>
              <w:spacing w:line="240" w:lineRule="auto"/>
              <w:ind w:firstLine="0"/>
              <w:rPr>
                <w:rFonts w:ascii="Calibri" w:eastAsia="Times New Roman" w:hAnsi="Calibri" w:cs="Calibri"/>
                <w:b/>
                <w:bCs/>
                <w:color w:val="FFFFFF"/>
                <w:sz w:val="24"/>
                <w:lang w:val="es-CR" w:eastAsia="es-CR"/>
              </w:rPr>
            </w:pPr>
            <w:r w:rsidRPr="000F7B71">
              <w:rPr>
                <w:rFonts w:ascii="Calibri" w:eastAsia="Times New Roman" w:hAnsi="Calibri" w:cs="Calibri"/>
                <w:b/>
                <w:bCs/>
                <w:color w:val="FFFFFF"/>
                <w:sz w:val="24"/>
                <w:lang w:val="es-CR" w:eastAsia="es-CR"/>
              </w:rPr>
              <w:t>Nuevo Puntaje</w:t>
            </w:r>
          </w:p>
        </w:tc>
        <w:tc>
          <w:tcPr>
            <w:tcW w:w="1280" w:type="dxa"/>
            <w:tcBorders>
              <w:top w:val="nil"/>
              <w:left w:val="nil"/>
              <w:bottom w:val="nil"/>
              <w:right w:val="nil"/>
            </w:tcBorders>
            <w:shd w:val="clear" w:color="000000" w:fill="3D7E42"/>
            <w:noWrap/>
            <w:vAlign w:val="bottom"/>
            <w:hideMark/>
          </w:tcPr>
          <w:p w14:paraId="7542B00E" w14:textId="77777777" w:rsidR="00F212FE" w:rsidRPr="000F7B71" w:rsidRDefault="00F212FE" w:rsidP="0055381F">
            <w:pPr>
              <w:spacing w:line="240" w:lineRule="auto"/>
              <w:ind w:firstLine="0"/>
              <w:rPr>
                <w:rFonts w:ascii="Calibri" w:eastAsia="Times New Roman" w:hAnsi="Calibri" w:cs="Calibri"/>
                <w:b/>
                <w:bCs/>
                <w:color w:val="FFFFFF"/>
                <w:sz w:val="24"/>
                <w:lang w:val="es-CR" w:eastAsia="es-CR"/>
              </w:rPr>
            </w:pPr>
            <w:r w:rsidRPr="000F7B71">
              <w:rPr>
                <w:rFonts w:ascii="Calibri" w:eastAsia="Times New Roman" w:hAnsi="Calibri" w:cs="Calibri"/>
                <w:b/>
                <w:bCs/>
                <w:color w:val="FFFFFF"/>
                <w:sz w:val="24"/>
                <w:lang w:val="es-CR" w:eastAsia="es-CR"/>
              </w:rPr>
              <w:t>Cambio</w:t>
            </w:r>
          </w:p>
        </w:tc>
      </w:tr>
      <w:tr w:rsidR="00F212FE" w:rsidRPr="000F7B71" w14:paraId="53024123" w14:textId="77777777" w:rsidTr="0055381F">
        <w:trPr>
          <w:trHeight w:val="310"/>
        </w:trPr>
        <w:tc>
          <w:tcPr>
            <w:tcW w:w="3880" w:type="dxa"/>
            <w:tcBorders>
              <w:top w:val="single" w:sz="4" w:space="0" w:color="FFFFFF"/>
              <w:left w:val="single" w:sz="4" w:space="0" w:color="FFFFFF"/>
              <w:bottom w:val="single" w:sz="4" w:space="0" w:color="FFFFFF"/>
              <w:right w:val="single" w:sz="4" w:space="0" w:color="FFFFFF"/>
            </w:tcBorders>
            <w:shd w:val="clear" w:color="000000" w:fill="4B9F38"/>
            <w:noWrap/>
            <w:vAlign w:val="bottom"/>
            <w:hideMark/>
          </w:tcPr>
          <w:p w14:paraId="48B62327" w14:textId="77777777" w:rsidR="00F212FE" w:rsidRPr="000F7B71" w:rsidRDefault="00F212FE" w:rsidP="0055381F">
            <w:pPr>
              <w:spacing w:line="240" w:lineRule="auto"/>
              <w:ind w:firstLine="0"/>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Transporte</w:t>
            </w:r>
          </w:p>
        </w:tc>
        <w:tc>
          <w:tcPr>
            <w:tcW w:w="1620" w:type="dxa"/>
            <w:tcBorders>
              <w:top w:val="single" w:sz="4" w:space="0" w:color="FFFFFF"/>
              <w:left w:val="nil"/>
              <w:bottom w:val="single" w:sz="4" w:space="0" w:color="FFFFFF"/>
              <w:right w:val="single" w:sz="4" w:space="0" w:color="FFFFFF"/>
            </w:tcBorders>
            <w:shd w:val="clear" w:color="000000" w:fill="4B9F38"/>
            <w:noWrap/>
            <w:vAlign w:val="bottom"/>
            <w:hideMark/>
          </w:tcPr>
          <w:p w14:paraId="0E6F663D" w14:textId="77777777" w:rsidR="00F212FE" w:rsidRPr="000F7B71" w:rsidRDefault="00F212FE" w:rsidP="0055381F">
            <w:pPr>
              <w:spacing w:line="240" w:lineRule="auto"/>
              <w:ind w:firstLine="0"/>
              <w:jc w:val="right"/>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2,3</w:t>
            </w:r>
          </w:p>
        </w:tc>
        <w:tc>
          <w:tcPr>
            <w:tcW w:w="1580" w:type="dxa"/>
            <w:tcBorders>
              <w:top w:val="single" w:sz="4" w:space="0" w:color="FFFFFF"/>
              <w:left w:val="nil"/>
              <w:bottom w:val="single" w:sz="4" w:space="0" w:color="FFFFFF"/>
              <w:right w:val="single" w:sz="4" w:space="0" w:color="FFFFFF"/>
            </w:tcBorders>
            <w:shd w:val="clear" w:color="000000" w:fill="4B9F38"/>
            <w:noWrap/>
            <w:vAlign w:val="bottom"/>
            <w:hideMark/>
          </w:tcPr>
          <w:p w14:paraId="62B1E82F" w14:textId="77777777" w:rsidR="00F212FE" w:rsidRPr="000F7B71" w:rsidRDefault="00F212FE" w:rsidP="0055381F">
            <w:pPr>
              <w:spacing w:line="240" w:lineRule="auto"/>
              <w:ind w:firstLine="0"/>
              <w:jc w:val="right"/>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3,9</w:t>
            </w:r>
          </w:p>
        </w:tc>
        <w:tc>
          <w:tcPr>
            <w:tcW w:w="1280" w:type="dxa"/>
            <w:tcBorders>
              <w:top w:val="single" w:sz="4" w:space="0" w:color="FFFFFF"/>
              <w:left w:val="nil"/>
              <w:bottom w:val="single" w:sz="4" w:space="0" w:color="FFFFFF"/>
              <w:right w:val="single" w:sz="4" w:space="0" w:color="FFFFFF"/>
            </w:tcBorders>
            <w:shd w:val="clear" w:color="000000" w:fill="4B9F38"/>
            <w:noWrap/>
            <w:vAlign w:val="bottom"/>
            <w:hideMark/>
          </w:tcPr>
          <w:p w14:paraId="5E252B7D" w14:textId="77777777" w:rsidR="00F212FE" w:rsidRPr="000F7B71" w:rsidRDefault="00F212FE" w:rsidP="0055381F">
            <w:pPr>
              <w:spacing w:line="240" w:lineRule="auto"/>
              <w:ind w:firstLine="0"/>
              <w:jc w:val="right"/>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-1,6</w:t>
            </w:r>
          </w:p>
        </w:tc>
      </w:tr>
      <w:tr w:rsidR="00F212FE" w:rsidRPr="000F7B71" w14:paraId="3CFA483D" w14:textId="77777777" w:rsidTr="0055381F">
        <w:trPr>
          <w:trHeight w:val="310"/>
        </w:trPr>
        <w:tc>
          <w:tcPr>
            <w:tcW w:w="3880" w:type="dxa"/>
            <w:tcBorders>
              <w:top w:val="nil"/>
              <w:left w:val="single" w:sz="4" w:space="0" w:color="FFFFFF"/>
              <w:bottom w:val="single" w:sz="4" w:space="0" w:color="FFFFFF"/>
              <w:right w:val="single" w:sz="4" w:space="0" w:color="FFFFFF"/>
            </w:tcBorders>
            <w:shd w:val="clear" w:color="000000" w:fill="4B9F38"/>
            <w:noWrap/>
            <w:vAlign w:val="bottom"/>
            <w:hideMark/>
          </w:tcPr>
          <w:p w14:paraId="1889B6AE" w14:textId="77777777" w:rsidR="00F212FE" w:rsidRPr="000F7B71" w:rsidRDefault="00F212FE" w:rsidP="0055381F">
            <w:pPr>
              <w:spacing w:line="240" w:lineRule="auto"/>
              <w:ind w:firstLine="0"/>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Energía</w:t>
            </w:r>
          </w:p>
        </w:tc>
        <w:tc>
          <w:tcPr>
            <w:tcW w:w="1620" w:type="dxa"/>
            <w:tcBorders>
              <w:top w:val="nil"/>
              <w:left w:val="nil"/>
              <w:bottom w:val="single" w:sz="4" w:space="0" w:color="FFFFFF"/>
              <w:right w:val="single" w:sz="4" w:space="0" w:color="FFFFFF"/>
            </w:tcBorders>
            <w:shd w:val="clear" w:color="000000" w:fill="4B9F38"/>
            <w:noWrap/>
            <w:vAlign w:val="bottom"/>
            <w:hideMark/>
          </w:tcPr>
          <w:p w14:paraId="7631F851" w14:textId="77777777" w:rsidR="00F212FE" w:rsidRPr="000F7B71" w:rsidRDefault="00F212FE" w:rsidP="0055381F">
            <w:pPr>
              <w:spacing w:line="240" w:lineRule="auto"/>
              <w:ind w:firstLine="0"/>
              <w:jc w:val="right"/>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2,4</w:t>
            </w:r>
          </w:p>
        </w:tc>
        <w:tc>
          <w:tcPr>
            <w:tcW w:w="1580" w:type="dxa"/>
            <w:tcBorders>
              <w:top w:val="nil"/>
              <w:left w:val="nil"/>
              <w:bottom w:val="single" w:sz="4" w:space="0" w:color="FFFFFF"/>
              <w:right w:val="single" w:sz="4" w:space="0" w:color="FFFFFF"/>
            </w:tcBorders>
            <w:shd w:val="clear" w:color="000000" w:fill="4B9F38"/>
            <w:noWrap/>
            <w:vAlign w:val="bottom"/>
            <w:hideMark/>
          </w:tcPr>
          <w:p w14:paraId="761023B9" w14:textId="77777777" w:rsidR="00F212FE" w:rsidRPr="000F7B71" w:rsidRDefault="00F212FE" w:rsidP="0055381F">
            <w:pPr>
              <w:spacing w:line="240" w:lineRule="auto"/>
              <w:ind w:firstLine="0"/>
              <w:jc w:val="right"/>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4,4</w:t>
            </w:r>
          </w:p>
        </w:tc>
        <w:tc>
          <w:tcPr>
            <w:tcW w:w="1280" w:type="dxa"/>
            <w:tcBorders>
              <w:top w:val="nil"/>
              <w:left w:val="nil"/>
              <w:bottom w:val="single" w:sz="4" w:space="0" w:color="FFFFFF"/>
              <w:right w:val="single" w:sz="4" w:space="0" w:color="FFFFFF"/>
            </w:tcBorders>
            <w:shd w:val="clear" w:color="000000" w:fill="4B9F38"/>
            <w:noWrap/>
            <w:vAlign w:val="bottom"/>
            <w:hideMark/>
          </w:tcPr>
          <w:p w14:paraId="64376A6A" w14:textId="77777777" w:rsidR="00F212FE" w:rsidRPr="000F7B71" w:rsidRDefault="00F212FE" w:rsidP="0055381F">
            <w:pPr>
              <w:spacing w:line="240" w:lineRule="auto"/>
              <w:ind w:firstLine="0"/>
              <w:jc w:val="right"/>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-2,0</w:t>
            </w:r>
          </w:p>
        </w:tc>
      </w:tr>
      <w:tr w:rsidR="00F212FE" w:rsidRPr="000F7B71" w14:paraId="6509890C" w14:textId="77777777" w:rsidTr="0055381F">
        <w:trPr>
          <w:trHeight w:val="310"/>
        </w:trPr>
        <w:tc>
          <w:tcPr>
            <w:tcW w:w="3880" w:type="dxa"/>
            <w:tcBorders>
              <w:top w:val="nil"/>
              <w:left w:val="single" w:sz="4" w:space="0" w:color="FFFFFF"/>
              <w:bottom w:val="single" w:sz="4" w:space="0" w:color="FFFFFF"/>
              <w:right w:val="single" w:sz="4" w:space="0" w:color="FFFFFF"/>
            </w:tcBorders>
            <w:shd w:val="clear" w:color="000000" w:fill="4B9F38"/>
            <w:noWrap/>
            <w:vAlign w:val="bottom"/>
            <w:hideMark/>
          </w:tcPr>
          <w:p w14:paraId="68B21CEE" w14:textId="77777777" w:rsidR="00F212FE" w:rsidRPr="000F7B71" w:rsidRDefault="00F212FE" w:rsidP="0055381F">
            <w:pPr>
              <w:spacing w:line="240" w:lineRule="auto"/>
              <w:ind w:firstLine="0"/>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Tierra, Aire y Agua</w:t>
            </w:r>
          </w:p>
        </w:tc>
        <w:tc>
          <w:tcPr>
            <w:tcW w:w="1620" w:type="dxa"/>
            <w:tcBorders>
              <w:top w:val="nil"/>
              <w:left w:val="nil"/>
              <w:bottom w:val="single" w:sz="4" w:space="0" w:color="FFFFFF"/>
              <w:right w:val="single" w:sz="4" w:space="0" w:color="FFFFFF"/>
            </w:tcBorders>
            <w:shd w:val="clear" w:color="000000" w:fill="4B9F38"/>
            <w:noWrap/>
            <w:vAlign w:val="bottom"/>
            <w:hideMark/>
          </w:tcPr>
          <w:p w14:paraId="140CCF53" w14:textId="77777777" w:rsidR="00F212FE" w:rsidRPr="000F7B71" w:rsidRDefault="00F212FE" w:rsidP="0055381F">
            <w:pPr>
              <w:spacing w:line="240" w:lineRule="auto"/>
              <w:ind w:firstLine="0"/>
              <w:jc w:val="right"/>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2,1</w:t>
            </w:r>
          </w:p>
        </w:tc>
        <w:tc>
          <w:tcPr>
            <w:tcW w:w="1580" w:type="dxa"/>
            <w:tcBorders>
              <w:top w:val="nil"/>
              <w:left w:val="nil"/>
              <w:bottom w:val="single" w:sz="4" w:space="0" w:color="FFFFFF"/>
              <w:right w:val="single" w:sz="4" w:space="0" w:color="FFFFFF"/>
            </w:tcBorders>
            <w:shd w:val="clear" w:color="000000" w:fill="4B9F38"/>
            <w:noWrap/>
            <w:vAlign w:val="bottom"/>
            <w:hideMark/>
          </w:tcPr>
          <w:p w14:paraId="4A7A561A" w14:textId="77777777" w:rsidR="00F212FE" w:rsidRPr="000F7B71" w:rsidRDefault="00F212FE" w:rsidP="0055381F">
            <w:pPr>
              <w:spacing w:line="240" w:lineRule="auto"/>
              <w:ind w:firstLine="0"/>
              <w:jc w:val="right"/>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4,4</w:t>
            </w:r>
          </w:p>
        </w:tc>
        <w:tc>
          <w:tcPr>
            <w:tcW w:w="1280" w:type="dxa"/>
            <w:tcBorders>
              <w:top w:val="nil"/>
              <w:left w:val="nil"/>
              <w:bottom w:val="single" w:sz="4" w:space="0" w:color="FFFFFF"/>
              <w:right w:val="single" w:sz="4" w:space="0" w:color="FFFFFF"/>
            </w:tcBorders>
            <w:shd w:val="clear" w:color="000000" w:fill="4B9F38"/>
            <w:noWrap/>
            <w:vAlign w:val="bottom"/>
            <w:hideMark/>
          </w:tcPr>
          <w:p w14:paraId="52461111" w14:textId="77777777" w:rsidR="00F212FE" w:rsidRPr="000F7B71" w:rsidRDefault="00F212FE" w:rsidP="0055381F">
            <w:pPr>
              <w:spacing w:line="240" w:lineRule="auto"/>
              <w:ind w:firstLine="0"/>
              <w:jc w:val="right"/>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-2,4</w:t>
            </w:r>
          </w:p>
        </w:tc>
      </w:tr>
      <w:tr w:rsidR="00F212FE" w:rsidRPr="000F7B71" w14:paraId="42C73D4D" w14:textId="77777777" w:rsidTr="0055381F">
        <w:trPr>
          <w:trHeight w:val="310"/>
        </w:trPr>
        <w:tc>
          <w:tcPr>
            <w:tcW w:w="3880" w:type="dxa"/>
            <w:tcBorders>
              <w:top w:val="nil"/>
              <w:left w:val="single" w:sz="4" w:space="0" w:color="FFFFFF"/>
              <w:bottom w:val="single" w:sz="4" w:space="0" w:color="FFFFFF"/>
              <w:right w:val="single" w:sz="4" w:space="0" w:color="FFFFFF"/>
            </w:tcBorders>
            <w:shd w:val="clear" w:color="000000" w:fill="4B9F38"/>
            <w:noWrap/>
            <w:vAlign w:val="bottom"/>
            <w:hideMark/>
          </w:tcPr>
          <w:p w14:paraId="39DB8353" w14:textId="77777777" w:rsidR="00F212FE" w:rsidRPr="000F7B71" w:rsidRDefault="00F212FE" w:rsidP="0055381F">
            <w:pPr>
              <w:spacing w:line="240" w:lineRule="auto"/>
              <w:ind w:firstLine="0"/>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Consumo</w:t>
            </w:r>
          </w:p>
        </w:tc>
        <w:tc>
          <w:tcPr>
            <w:tcW w:w="1620" w:type="dxa"/>
            <w:tcBorders>
              <w:top w:val="nil"/>
              <w:left w:val="nil"/>
              <w:bottom w:val="single" w:sz="4" w:space="0" w:color="FFFFFF"/>
              <w:right w:val="single" w:sz="4" w:space="0" w:color="FFFFFF"/>
            </w:tcBorders>
            <w:shd w:val="clear" w:color="000000" w:fill="4B9F38"/>
            <w:noWrap/>
            <w:vAlign w:val="bottom"/>
            <w:hideMark/>
          </w:tcPr>
          <w:p w14:paraId="3549EB8F" w14:textId="77777777" w:rsidR="00F212FE" w:rsidRPr="000F7B71" w:rsidRDefault="00F212FE" w:rsidP="0055381F">
            <w:pPr>
              <w:spacing w:line="240" w:lineRule="auto"/>
              <w:ind w:firstLine="0"/>
              <w:jc w:val="right"/>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2,2</w:t>
            </w:r>
          </w:p>
        </w:tc>
        <w:tc>
          <w:tcPr>
            <w:tcW w:w="1580" w:type="dxa"/>
            <w:tcBorders>
              <w:top w:val="nil"/>
              <w:left w:val="nil"/>
              <w:bottom w:val="single" w:sz="4" w:space="0" w:color="FFFFFF"/>
              <w:right w:val="single" w:sz="4" w:space="0" w:color="FFFFFF"/>
            </w:tcBorders>
            <w:shd w:val="clear" w:color="000000" w:fill="4B9F38"/>
            <w:noWrap/>
            <w:vAlign w:val="bottom"/>
            <w:hideMark/>
          </w:tcPr>
          <w:p w14:paraId="6FDE8FB5" w14:textId="77777777" w:rsidR="00F212FE" w:rsidRPr="000F7B71" w:rsidRDefault="00F212FE" w:rsidP="0055381F">
            <w:pPr>
              <w:spacing w:line="240" w:lineRule="auto"/>
              <w:ind w:firstLine="0"/>
              <w:jc w:val="right"/>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3,9</w:t>
            </w:r>
          </w:p>
        </w:tc>
        <w:tc>
          <w:tcPr>
            <w:tcW w:w="1280" w:type="dxa"/>
            <w:tcBorders>
              <w:top w:val="nil"/>
              <w:left w:val="nil"/>
              <w:bottom w:val="single" w:sz="4" w:space="0" w:color="FFFFFF"/>
              <w:right w:val="single" w:sz="4" w:space="0" w:color="FFFFFF"/>
            </w:tcBorders>
            <w:shd w:val="clear" w:color="000000" w:fill="4B9F38"/>
            <w:noWrap/>
            <w:vAlign w:val="bottom"/>
            <w:hideMark/>
          </w:tcPr>
          <w:p w14:paraId="483C0CE3" w14:textId="77777777" w:rsidR="00F212FE" w:rsidRPr="000F7B71" w:rsidRDefault="00F212FE" w:rsidP="0055381F">
            <w:pPr>
              <w:spacing w:line="240" w:lineRule="auto"/>
              <w:ind w:firstLine="0"/>
              <w:jc w:val="right"/>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-1,8</w:t>
            </w:r>
          </w:p>
        </w:tc>
      </w:tr>
      <w:tr w:rsidR="00F212FE" w:rsidRPr="000F7B71" w14:paraId="2BE3155E" w14:textId="77777777" w:rsidTr="0055381F">
        <w:trPr>
          <w:trHeight w:val="80"/>
        </w:trPr>
        <w:tc>
          <w:tcPr>
            <w:tcW w:w="3880" w:type="dxa"/>
            <w:tcBorders>
              <w:top w:val="nil"/>
              <w:left w:val="nil"/>
              <w:bottom w:val="nil"/>
              <w:right w:val="nil"/>
            </w:tcBorders>
            <w:shd w:val="clear" w:color="000000" w:fill="FFFFFF"/>
            <w:noWrap/>
            <w:vAlign w:val="bottom"/>
            <w:hideMark/>
          </w:tcPr>
          <w:p w14:paraId="70878ED5" w14:textId="77777777" w:rsidR="00F212FE" w:rsidRPr="000F7B71" w:rsidRDefault="00F212FE" w:rsidP="0055381F">
            <w:pPr>
              <w:spacing w:line="240" w:lineRule="auto"/>
              <w:ind w:firstLine="0"/>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 </w:t>
            </w:r>
          </w:p>
        </w:tc>
        <w:tc>
          <w:tcPr>
            <w:tcW w:w="1620" w:type="dxa"/>
            <w:tcBorders>
              <w:top w:val="nil"/>
              <w:left w:val="single" w:sz="4" w:space="0" w:color="FFFFFF"/>
              <w:bottom w:val="single" w:sz="4" w:space="0" w:color="FFFFFF"/>
              <w:right w:val="single" w:sz="4" w:space="0" w:color="FFFFFF"/>
            </w:tcBorders>
            <w:shd w:val="clear" w:color="000000" w:fill="FFFFFF"/>
            <w:noWrap/>
            <w:vAlign w:val="bottom"/>
            <w:hideMark/>
          </w:tcPr>
          <w:p w14:paraId="1B7F75BF" w14:textId="77777777" w:rsidR="00F212FE" w:rsidRPr="000F7B71" w:rsidRDefault="00F212FE" w:rsidP="0055381F">
            <w:pPr>
              <w:spacing w:line="240" w:lineRule="auto"/>
              <w:ind w:firstLine="0"/>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 </w:t>
            </w:r>
          </w:p>
        </w:tc>
        <w:tc>
          <w:tcPr>
            <w:tcW w:w="1580" w:type="dxa"/>
            <w:tcBorders>
              <w:top w:val="nil"/>
              <w:left w:val="nil"/>
              <w:bottom w:val="single" w:sz="4" w:space="0" w:color="FFFFFF"/>
              <w:right w:val="single" w:sz="4" w:space="0" w:color="FFFFFF"/>
            </w:tcBorders>
            <w:shd w:val="clear" w:color="000000" w:fill="FFFFFF"/>
            <w:noWrap/>
            <w:vAlign w:val="bottom"/>
            <w:hideMark/>
          </w:tcPr>
          <w:p w14:paraId="03D4D750" w14:textId="77777777" w:rsidR="00F212FE" w:rsidRPr="000F7B71" w:rsidRDefault="00F212FE" w:rsidP="0055381F">
            <w:pPr>
              <w:spacing w:line="240" w:lineRule="auto"/>
              <w:ind w:firstLine="0"/>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 </w:t>
            </w:r>
          </w:p>
        </w:tc>
        <w:tc>
          <w:tcPr>
            <w:tcW w:w="1280" w:type="dxa"/>
            <w:tcBorders>
              <w:top w:val="nil"/>
              <w:left w:val="nil"/>
              <w:bottom w:val="single" w:sz="4" w:space="0" w:color="FFFFFF"/>
              <w:right w:val="single" w:sz="4" w:space="0" w:color="FFFFFF"/>
            </w:tcBorders>
            <w:shd w:val="clear" w:color="000000" w:fill="FFFFFF"/>
            <w:noWrap/>
            <w:vAlign w:val="bottom"/>
            <w:hideMark/>
          </w:tcPr>
          <w:p w14:paraId="1754D103" w14:textId="77777777" w:rsidR="00F212FE" w:rsidRPr="000F7B71" w:rsidRDefault="00F212FE" w:rsidP="0055381F">
            <w:pPr>
              <w:spacing w:line="240" w:lineRule="auto"/>
              <w:ind w:firstLine="0"/>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 </w:t>
            </w:r>
          </w:p>
        </w:tc>
      </w:tr>
      <w:tr w:rsidR="00F212FE" w:rsidRPr="000F7B71" w14:paraId="54906A4C" w14:textId="77777777" w:rsidTr="0055381F">
        <w:trPr>
          <w:trHeight w:val="620"/>
        </w:trPr>
        <w:tc>
          <w:tcPr>
            <w:tcW w:w="3880" w:type="dxa"/>
            <w:tcBorders>
              <w:top w:val="nil"/>
              <w:left w:val="nil"/>
              <w:bottom w:val="nil"/>
              <w:right w:val="nil"/>
            </w:tcBorders>
            <w:shd w:val="clear" w:color="000000" w:fill="4B9F38"/>
            <w:vAlign w:val="bottom"/>
            <w:hideMark/>
          </w:tcPr>
          <w:p w14:paraId="41B7703E" w14:textId="77777777" w:rsidR="00F212FE" w:rsidRPr="000F7B71" w:rsidRDefault="00F212FE" w:rsidP="0055381F">
            <w:pPr>
              <w:spacing w:line="240" w:lineRule="auto"/>
              <w:ind w:firstLine="0"/>
              <w:rPr>
                <w:rFonts w:ascii="Calibri" w:eastAsia="Times New Roman" w:hAnsi="Calibri" w:cs="Calibri"/>
                <w:b/>
                <w:bCs/>
                <w:color w:val="FFFFFF"/>
                <w:sz w:val="24"/>
                <w:lang w:val="es-CR" w:eastAsia="es-CR"/>
              </w:rPr>
            </w:pPr>
            <w:r w:rsidRPr="000F7B71">
              <w:rPr>
                <w:rFonts w:ascii="Calibri" w:eastAsia="Times New Roman" w:hAnsi="Calibri" w:cs="Calibri"/>
                <w:b/>
                <w:bCs/>
                <w:color w:val="FFFFFF"/>
                <w:sz w:val="24"/>
                <w:lang w:val="es-CR" w:eastAsia="es-CR"/>
              </w:rPr>
              <w:t>Puntaje General de los Impactos al Planeta</w:t>
            </w:r>
          </w:p>
        </w:tc>
        <w:tc>
          <w:tcPr>
            <w:tcW w:w="4480" w:type="dxa"/>
            <w:gridSpan w:val="3"/>
            <w:tcBorders>
              <w:top w:val="single" w:sz="4" w:space="0" w:color="FFFFFF"/>
              <w:left w:val="single" w:sz="4" w:space="0" w:color="FFFFFF"/>
              <w:bottom w:val="single" w:sz="4" w:space="0" w:color="FFFFFF"/>
              <w:right w:val="single" w:sz="4" w:space="0" w:color="FFFFFF"/>
            </w:tcBorders>
            <w:shd w:val="clear" w:color="000000" w:fill="4B9F38"/>
            <w:noWrap/>
            <w:vAlign w:val="bottom"/>
            <w:hideMark/>
          </w:tcPr>
          <w:p w14:paraId="3559E419" w14:textId="77777777" w:rsidR="00F212FE" w:rsidRPr="000F7B71" w:rsidRDefault="00F212FE" w:rsidP="0055381F">
            <w:pPr>
              <w:spacing w:line="240" w:lineRule="auto"/>
              <w:ind w:firstLine="0"/>
              <w:jc w:val="center"/>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4,1</w:t>
            </w:r>
          </w:p>
        </w:tc>
      </w:tr>
      <w:tr w:rsidR="00F212FE" w:rsidRPr="000F7B71" w14:paraId="457AF5C3" w14:textId="77777777" w:rsidTr="0055381F">
        <w:trPr>
          <w:trHeight w:val="310"/>
        </w:trPr>
        <w:tc>
          <w:tcPr>
            <w:tcW w:w="3880" w:type="dxa"/>
            <w:tcBorders>
              <w:top w:val="nil"/>
              <w:left w:val="nil"/>
              <w:bottom w:val="nil"/>
              <w:right w:val="nil"/>
            </w:tcBorders>
            <w:noWrap/>
            <w:vAlign w:val="bottom"/>
            <w:hideMark/>
          </w:tcPr>
          <w:p w14:paraId="434ACFEF" w14:textId="77777777" w:rsidR="00F212FE" w:rsidRPr="000F7B71" w:rsidRDefault="00F212FE" w:rsidP="0055381F">
            <w:pPr>
              <w:spacing w:line="240" w:lineRule="auto"/>
              <w:ind w:firstLine="0"/>
              <w:jc w:val="center"/>
              <w:rPr>
                <w:rFonts w:ascii="Calibri" w:eastAsia="Times New Roman" w:hAnsi="Calibri" w:cs="Calibri"/>
                <w:color w:val="FFFFFF"/>
                <w:sz w:val="24"/>
                <w:lang w:val="es-CR" w:eastAsia="es-CR"/>
              </w:rPr>
            </w:pPr>
          </w:p>
        </w:tc>
        <w:tc>
          <w:tcPr>
            <w:tcW w:w="1620" w:type="dxa"/>
            <w:tcBorders>
              <w:top w:val="nil"/>
              <w:left w:val="nil"/>
              <w:bottom w:val="nil"/>
              <w:right w:val="nil"/>
            </w:tcBorders>
            <w:noWrap/>
            <w:vAlign w:val="bottom"/>
            <w:hideMark/>
          </w:tcPr>
          <w:p w14:paraId="2817D400" w14:textId="77777777" w:rsidR="00F212FE" w:rsidRPr="000F7B71" w:rsidRDefault="00F212FE" w:rsidP="0055381F">
            <w:pPr>
              <w:spacing w:line="240" w:lineRule="auto"/>
              <w:ind w:firstLine="0"/>
              <w:rPr>
                <w:rFonts w:ascii="Times New Roman" w:eastAsia="Times New Roman" w:hAnsi="Times New Roman" w:cs="Times New Roman"/>
                <w:sz w:val="20"/>
                <w:szCs w:val="20"/>
                <w:lang w:val="es-CR" w:eastAsia="es-CR"/>
              </w:rPr>
            </w:pPr>
          </w:p>
        </w:tc>
        <w:tc>
          <w:tcPr>
            <w:tcW w:w="1580" w:type="dxa"/>
            <w:tcBorders>
              <w:top w:val="nil"/>
              <w:left w:val="nil"/>
              <w:bottom w:val="nil"/>
              <w:right w:val="nil"/>
            </w:tcBorders>
            <w:noWrap/>
            <w:vAlign w:val="bottom"/>
            <w:hideMark/>
          </w:tcPr>
          <w:p w14:paraId="352CC51D" w14:textId="77777777" w:rsidR="00F212FE" w:rsidRPr="000F7B71" w:rsidRDefault="00F212FE" w:rsidP="0055381F">
            <w:pPr>
              <w:spacing w:line="240" w:lineRule="auto"/>
              <w:ind w:firstLine="0"/>
              <w:rPr>
                <w:rFonts w:ascii="Times New Roman" w:eastAsia="Times New Roman" w:hAnsi="Times New Roman" w:cs="Times New Roman"/>
                <w:sz w:val="20"/>
                <w:szCs w:val="20"/>
                <w:lang w:val="es-CR" w:eastAsia="es-CR"/>
              </w:rPr>
            </w:pPr>
          </w:p>
        </w:tc>
        <w:tc>
          <w:tcPr>
            <w:tcW w:w="1280" w:type="dxa"/>
            <w:tcBorders>
              <w:top w:val="nil"/>
              <w:left w:val="nil"/>
              <w:bottom w:val="nil"/>
              <w:right w:val="nil"/>
            </w:tcBorders>
            <w:noWrap/>
            <w:vAlign w:val="bottom"/>
            <w:hideMark/>
          </w:tcPr>
          <w:p w14:paraId="1192BD75" w14:textId="77777777" w:rsidR="00F212FE" w:rsidRPr="000F7B71" w:rsidRDefault="00F212FE" w:rsidP="0055381F">
            <w:pPr>
              <w:spacing w:line="240" w:lineRule="auto"/>
              <w:ind w:firstLine="0"/>
              <w:rPr>
                <w:rFonts w:ascii="Times New Roman" w:eastAsia="Times New Roman" w:hAnsi="Times New Roman" w:cs="Times New Roman"/>
                <w:sz w:val="20"/>
                <w:szCs w:val="20"/>
                <w:lang w:val="es-CR" w:eastAsia="es-CR"/>
              </w:rPr>
            </w:pPr>
          </w:p>
        </w:tc>
      </w:tr>
      <w:tr w:rsidR="00F212FE" w:rsidRPr="000F7B71" w14:paraId="275ED06C" w14:textId="77777777" w:rsidTr="0055381F">
        <w:trPr>
          <w:trHeight w:val="310"/>
        </w:trPr>
        <w:tc>
          <w:tcPr>
            <w:tcW w:w="3880" w:type="dxa"/>
            <w:tcBorders>
              <w:top w:val="nil"/>
              <w:left w:val="nil"/>
              <w:bottom w:val="nil"/>
              <w:right w:val="nil"/>
            </w:tcBorders>
            <w:shd w:val="clear" w:color="000000" w:fill="19486A"/>
            <w:noWrap/>
            <w:vAlign w:val="bottom"/>
            <w:hideMark/>
          </w:tcPr>
          <w:p w14:paraId="193325E4" w14:textId="77777777" w:rsidR="00F212FE" w:rsidRPr="000F7B71" w:rsidRDefault="00F212FE" w:rsidP="0055381F">
            <w:pPr>
              <w:spacing w:line="240" w:lineRule="auto"/>
              <w:ind w:firstLine="0"/>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Impactos a la Properidad</w:t>
            </w:r>
          </w:p>
        </w:tc>
        <w:tc>
          <w:tcPr>
            <w:tcW w:w="1620" w:type="dxa"/>
            <w:tcBorders>
              <w:top w:val="nil"/>
              <w:left w:val="nil"/>
              <w:bottom w:val="nil"/>
              <w:right w:val="nil"/>
            </w:tcBorders>
            <w:shd w:val="clear" w:color="000000" w:fill="19486A"/>
            <w:noWrap/>
            <w:vAlign w:val="bottom"/>
            <w:hideMark/>
          </w:tcPr>
          <w:p w14:paraId="5A414C75" w14:textId="77777777" w:rsidR="00F212FE" w:rsidRPr="000F7B71" w:rsidRDefault="00F212FE" w:rsidP="0055381F">
            <w:pPr>
              <w:spacing w:line="240" w:lineRule="auto"/>
              <w:ind w:firstLine="0"/>
              <w:rPr>
                <w:rFonts w:ascii="Calibri" w:eastAsia="Times New Roman" w:hAnsi="Calibri" w:cs="Calibri"/>
                <w:b/>
                <w:bCs/>
                <w:color w:val="FFFFFF"/>
                <w:sz w:val="24"/>
                <w:lang w:val="es-CR" w:eastAsia="es-CR"/>
              </w:rPr>
            </w:pPr>
            <w:r w:rsidRPr="000F7B71">
              <w:rPr>
                <w:rFonts w:ascii="Calibri" w:eastAsia="Times New Roman" w:hAnsi="Calibri" w:cs="Calibri"/>
                <w:b/>
                <w:bCs/>
                <w:color w:val="FFFFFF"/>
                <w:sz w:val="24"/>
                <w:lang w:val="es-CR" w:eastAsia="es-CR"/>
              </w:rPr>
              <w:t>Puntaje Inicial</w:t>
            </w:r>
          </w:p>
        </w:tc>
        <w:tc>
          <w:tcPr>
            <w:tcW w:w="1580" w:type="dxa"/>
            <w:tcBorders>
              <w:top w:val="nil"/>
              <w:left w:val="nil"/>
              <w:bottom w:val="nil"/>
              <w:right w:val="nil"/>
            </w:tcBorders>
            <w:shd w:val="clear" w:color="000000" w:fill="19486A"/>
            <w:noWrap/>
            <w:vAlign w:val="bottom"/>
            <w:hideMark/>
          </w:tcPr>
          <w:p w14:paraId="161EF9ED" w14:textId="77777777" w:rsidR="00F212FE" w:rsidRPr="000F7B71" w:rsidRDefault="00F212FE" w:rsidP="0055381F">
            <w:pPr>
              <w:spacing w:line="240" w:lineRule="auto"/>
              <w:ind w:firstLine="0"/>
              <w:rPr>
                <w:rFonts w:ascii="Calibri" w:eastAsia="Times New Roman" w:hAnsi="Calibri" w:cs="Calibri"/>
                <w:b/>
                <w:bCs/>
                <w:color w:val="FFFFFF"/>
                <w:sz w:val="24"/>
                <w:lang w:val="es-CR" w:eastAsia="es-CR"/>
              </w:rPr>
            </w:pPr>
            <w:r w:rsidRPr="000F7B71">
              <w:rPr>
                <w:rFonts w:ascii="Calibri" w:eastAsia="Times New Roman" w:hAnsi="Calibri" w:cs="Calibri"/>
                <w:b/>
                <w:bCs/>
                <w:color w:val="FFFFFF"/>
                <w:sz w:val="24"/>
                <w:lang w:val="es-CR" w:eastAsia="es-CR"/>
              </w:rPr>
              <w:t>Nuevo Puntaje</w:t>
            </w:r>
          </w:p>
        </w:tc>
        <w:tc>
          <w:tcPr>
            <w:tcW w:w="1280" w:type="dxa"/>
            <w:tcBorders>
              <w:top w:val="nil"/>
              <w:left w:val="nil"/>
              <w:bottom w:val="nil"/>
              <w:right w:val="nil"/>
            </w:tcBorders>
            <w:shd w:val="clear" w:color="000000" w:fill="19486A"/>
            <w:noWrap/>
            <w:vAlign w:val="bottom"/>
            <w:hideMark/>
          </w:tcPr>
          <w:p w14:paraId="3D66AF45" w14:textId="77777777" w:rsidR="00F212FE" w:rsidRPr="000F7B71" w:rsidRDefault="00F212FE" w:rsidP="0055381F">
            <w:pPr>
              <w:spacing w:line="240" w:lineRule="auto"/>
              <w:ind w:firstLine="0"/>
              <w:rPr>
                <w:rFonts w:ascii="Calibri" w:eastAsia="Times New Roman" w:hAnsi="Calibri" w:cs="Calibri"/>
                <w:b/>
                <w:bCs/>
                <w:color w:val="FFFFFF"/>
                <w:sz w:val="24"/>
                <w:lang w:val="es-CR" w:eastAsia="es-CR"/>
              </w:rPr>
            </w:pPr>
            <w:r w:rsidRPr="000F7B71">
              <w:rPr>
                <w:rFonts w:ascii="Calibri" w:eastAsia="Times New Roman" w:hAnsi="Calibri" w:cs="Calibri"/>
                <w:b/>
                <w:bCs/>
                <w:color w:val="FFFFFF"/>
                <w:sz w:val="24"/>
                <w:lang w:val="es-CR" w:eastAsia="es-CR"/>
              </w:rPr>
              <w:t>Cambio</w:t>
            </w:r>
          </w:p>
        </w:tc>
      </w:tr>
      <w:tr w:rsidR="00F212FE" w:rsidRPr="000F7B71" w14:paraId="325B582A" w14:textId="77777777" w:rsidTr="0055381F">
        <w:trPr>
          <w:trHeight w:val="310"/>
        </w:trPr>
        <w:tc>
          <w:tcPr>
            <w:tcW w:w="3880" w:type="dxa"/>
            <w:tcBorders>
              <w:top w:val="single" w:sz="4" w:space="0" w:color="FFFFFF"/>
              <w:left w:val="single" w:sz="4" w:space="0" w:color="FFFFFF"/>
              <w:bottom w:val="single" w:sz="4" w:space="0" w:color="FFFFFF"/>
              <w:right w:val="single" w:sz="4" w:space="0" w:color="FFFFFF"/>
            </w:tcBorders>
            <w:shd w:val="clear" w:color="000000" w:fill="00689D"/>
            <w:noWrap/>
            <w:vAlign w:val="bottom"/>
            <w:hideMark/>
          </w:tcPr>
          <w:p w14:paraId="7B6E775A" w14:textId="77777777" w:rsidR="00F212FE" w:rsidRPr="000F7B71" w:rsidRDefault="00F212FE" w:rsidP="0055381F">
            <w:pPr>
              <w:spacing w:line="240" w:lineRule="auto"/>
              <w:ind w:firstLine="0"/>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Factibilidad del Proyecto</w:t>
            </w:r>
          </w:p>
        </w:tc>
        <w:tc>
          <w:tcPr>
            <w:tcW w:w="1620" w:type="dxa"/>
            <w:tcBorders>
              <w:top w:val="single" w:sz="4" w:space="0" w:color="FFFFFF"/>
              <w:left w:val="nil"/>
              <w:bottom w:val="single" w:sz="4" w:space="0" w:color="FFFFFF"/>
              <w:right w:val="single" w:sz="4" w:space="0" w:color="FFFFFF"/>
            </w:tcBorders>
            <w:shd w:val="clear" w:color="000000" w:fill="00689D"/>
            <w:noWrap/>
            <w:vAlign w:val="bottom"/>
            <w:hideMark/>
          </w:tcPr>
          <w:p w14:paraId="57E5B9C5" w14:textId="77777777" w:rsidR="00F212FE" w:rsidRPr="000F7B71" w:rsidRDefault="00F212FE" w:rsidP="0055381F">
            <w:pPr>
              <w:spacing w:line="240" w:lineRule="auto"/>
              <w:ind w:firstLine="0"/>
              <w:jc w:val="right"/>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2,05</w:t>
            </w:r>
          </w:p>
        </w:tc>
        <w:tc>
          <w:tcPr>
            <w:tcW w:w="1580" w:type="dxa"/>
            <w:tcBorders>
              <w:top w:val="single" w:sz="4" w:space="0" w:color="FFFFFF"/>
              <w:left w:val="nil"/>
              <w:bottom w:val="single" w:sz="4" w:space="0" w:color="FFFFFF"/>
              <w:right w:val="single" w:sz="4" w:space="0" w:color="FFFFFF"/>
            </w:tcBorders>
            <w:shd w:val="clear" w:color="000000" w:fill="00689D"/>
            <w:noWrap/>
            <w:vAlign w:val="bottom"/>
            <w:hideMark/>
          </w:tcPr>
          <w:p w14:paraId="2314A0FF" w14:textId="77777777" w:rsidR="00F212FE" w:rsidRPr="000F7B71" w:rsidRDefault="00F212FE" w:rsidP="0055381F">
            <w:pPr>
              <w:spacing w:line="240" w:lineRule="auto"/>
              <w:ind w:firstLine="0"/>
              <w:jc w:val="right"/>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4,05</w:t>
            </w:r>
          </w:p>
        </w:tc>
        <w:tc>
          <w:tcPr>
            <w:tcW w:w="1280" w:type="dxa"/>
            <w:tcBorders>
              <w:top w:val="single" w:sz="4" w:space="0" w:color="FFFFFF"/>
              <w:left w:val="nil"/>
              <w:bottom w:val="single" w:sz="4" w:space="0" w:color="FFFFFF"/>
              <w:right w:val="single" w:sz="4" w:space="0" w:color="FFFFFF"/>
            </w:tcBorders>
            <w:shd w:val="clear" w:color="000000" w:fill="00689D"/>
            <w:noWrap/>
            <w:vAlign w:val="bottom"/>
            <w:hideMark/>
          </w:tcPr>
          <w:p w14:paraId="697115B9" w14:textId="77777777" w:rsidR="00F212FE" w:rsidRPr="000F7B71" w:rsidRDefault="00F212FE" w:rsidP="0055381F">
            <w:pPr>
              <w:spacing w:line="240" w:lineRule="auto"/>
              <w:ind w:firstLine="0"/>
              <w:jc w:val="right"/>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-2</w:t>
            </w:r>
          </w:p>
        </w:tc>
      </w:tr>
      <w:tr w:rsidR="00F212FE" w:rsidRPr="000F7B71" w14:paraId="20FC56E9" w14:textId="77777777" w:rsidTr="0055381F">
        <w:trPr>
          <w:trHeight w:val="310"/>
        </w:trPr>
        <w:tc>
          <w:tcPr>
            <w:tcW w:w="3880" w:type="dxa"/>
            <w:tcBorders>
              <w:top w:val="nil"/>
              <w:left w:val="single" w:sz="4" w:space="0" w:color="FFFFFF"/>
              <w:bottom w:val="single" w:sz="4" w:space="0" w:color="FFFFFF"/>
              <w:right w:val="single" w:sz="4" w:space="0" w:color="FFFFFF"/>
            </w:tcBorders>
            <w:shd w:val="clear" w:color="000000" w:fill="00689D"/>
            <w:noWrap/>
            <w:vAlign w:val="bottom"/>
            <w:hideMark/>
          </w:tcPr>
          <w:p w14:paraId="755203B1" w14:textId="77777777" w:rsidR="00F212FE" w:rsidRPr="000F7B71" w:rsidRDefault="00F212FE" w:rsidP="0055381F">
            <w:pPr>
              <w:spacing w:line="240" w:lineRule="auto"/>
              <w:ind w:firstLine="0"/>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Agilidad Empresarial</w:t>
            </w:r>
          </w:p>
        </w:tc>
        <w:tc>
          <w:tcPr>
            <w:tcW w:w="1620" w:type="dxa"/>
            <w:tcBorders>
              <w:top w:val="nil"/>
              <w:left w:val="nil"/>
              <w:bottom w:val="single" w:sz="4" w:space="0" w:color="FFFFFF"/>
              <w:right w:val="single" w:sz="4" w:space="0" w:color="FFFFFF"/>
            </w:tcBorders>
            <w:shd w:val="clear" w:color="000000" w:fill="00689D"/>
            <w:noWrap/>
            <w:vAlign w:val="bottom"/>
            <w:hideMark/>
          </w:tcPr>
          <w:p w14:paraId="6664A598" w14:textId="77777777" w:rsidR="00F212FE" w:rsidRPr="000F7B71" w:rsidRDefault="00F212FE" w:rsidP="0055381F">
            <w:pPr>
              <w:spacing w:line="240" w:lineRule="auto"/>
              <w:ind w:firstLine="0"/>
              <w:jc w:val="right"/>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2</w:t>
            </w:r>
          </w:p>
        </w:tc>
        <w:tc>
          <w:tcPr>
            <w:tcW w:w="1580" w:type="dxa"/>
            <w:tcBorders>
              <w:top w:val="nil"/>
              <w:left w:val="nil"/>
              <w:bottom w:val="single" w:sz="4" w:space="0" w:color="FFFFFF"/>
              <w:right w:val="single" w:sz="4" w:space="0" w:color="FFFFFF"/>
            </w:tcBorders>
            <w:shd w:val="clear" w:color="000000" w:fill="00689D"/>
            <w:noWrap/>
            <w:vAlign w:val="bottom"/>
            <w:hideMark/>
          </w:tcPr>
          <w:p w14:paraId="3E31A1A5" w14:textId="77777777" w:rsidR="00F212FE" w:rsidRPr="000F7B71" w:rsidRDefault="00F212FE" w:rsidP="0055381F">
            <w:pPr>
              <w:spacing w:line="240" w:lineRule="auto"/>
              <w:ind w:firstLine="0"/>
              <w:jc w:val="right"/>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4</w:t>
            </w:r>
          </w:p>
        </w:tc>
        <w:tc>
          <w:tcPr>
            <w:tcW w:w="1280" w:type="dxa"/>
            <w:tcBorders>
              <w:top w:val="nil"/>
              <w:left w:val="nil"/>
              <w:bottom w:val="single" w:sz="4" w:space="0" w:color="FFFFFF"/>
              <w:right w:val="single" w:sz="4" w:space="0" w:color="FFFFFF"/>
            </w:tcBorders>
            <w:shd w:val="clear" w:color="000000" w:fill="00689D"/>
            <w:noWrap/>
            <w:vAlign w:val="bottom"/>
            <w:hideMark/>
          </w:tcPr>
          <w:p w14:paraId="11130039" w14:textId="77777777" w:rsidR="00F212FE" w:rsidRPr="000F7B71" w:rsidRDefault="00F212FE" w:rsidP="0055381F">
            <w:pPr>
              <w:spacing w:line="240" w:lineRule="auto"/>
              <w:ind w:firstLine="0"/>
              <w:jc w:val="right"/>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-2</w:t>
            </w:r>
          </w:p>
        </w:tc>
      </w:tr>
      <w:tr w:rsidR="00F212FE" w:rsidRPr="000F7B71" w14:paraId="2B560962" w14:textId="77777777" w:rsidTr="0055381F">
        <w:trPr>
          <w:trHeight w:val="310"/>
        </w:trPr>
        <w:tc>
          <w:tcPr>
            <w:tcW w:w="3880" w:type="dxa"/>
            <w:tcBorders>
              <w:top w:val="nil"/>
              <w:left w:val="single" w:sz="4" w:space="0" w:color="FFFFFF"/>
              <w:bottom w:val="single" w:sz="4" w:space="0" w:color="FFFFFF"/>
              <w:right w:val="single" w:sz="4" w:space="0" w:color="FFFFFF"/>
            </w:tcBorders>
            <w:shd w:val="clear" w:color="000000" w:fill="00689D"/>
            <w:noWrap/>
            <w:vAlign w:val="bottom"/>
            <w:hideMark/>
          </w:tcPr>
          <w:p w14:paraId="0B9EF812" w14:textId="77777777" w:rsidR="00F212FE" w:rsidRPr="000F7B71" w:rsidRDefault="00F212FE" w:rsidP="0055381F">
            <w:pPr>
              <w:spacing w:line="240" w:lineRule="auto"/>
              <w:ind w:firstLine="0"/>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Estímulación Económica y del Mercado</w:t>
            </w:r>
          </w:p>
        </w:tc>
        <w:tc>
          <w:tcPr>
            <w:tcW w:w="1620" w:type="dxa"/>
            <w:tcBorders>
              <w:top w:val="nil"/>
              <w:left w:val="nil"/>
              <w:bottom w:val="single" w:sz="4" w:space="0" w:color="FFFFFF"/>
              <w:right w:val="single" w:sz="4" w:space="0" w:color="FFFFFF"/>
            </w:tcBorders>
            <w:shd w:val="clear" w:color="000000" w:fill="00689D"/>
            <w:noWrap/>
            <w:vAlign w:val="bottom"/>
            <w:hideMark/>
          </w:tcPr>
          <w:p w14:paraId="6C9F92B1" w14:textId="77777777" w:rsidR="00F212FE" w:rsidRPr="000F7B71" w:rsidRDefault="00F212FE" w:rsidP="0055381F">
            <w:pPr>
              <w:spacing w:line="240" w:lineRule="auto"/>
              <w:ind w:firstLine="0"/>
              <w:jc w:val="right"/>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2</w:t>
            </w:r>
          </w:p>
        </w:tc>
        <w:tc>
          <w:tcPr>
            <w:tcW w:w="1580" w:type="dxa"/>
            <w:tcBorders>
              <w:top w:val="nil"/>
              <w:left w:val="nil"/>
              <w:bottom w:val="single" w:sz="4" w:space="0" w:color="FFFFFF"/>
              <w:right w:val="single" w:sz="4" w:space="0" w:color="FFFFFF"/>
            </w:tcBorders>
            <w:shd w:val="clear" w:color="000000" w:fill="00689D"/>
            <w:noWrap/>
            <w:vAlign w:val="bottom"/>
            <w:hideMark/>
          </w:tcPr>
          <w:p w14:paraId="40CB8D6E" w14:textId="77777777" w:rsidR="00F212FE" w:rsidRPr="000F7B71" w:rsidRDefault="00F212FE" w:rsidP="0055381F">
            <w:pPr>
              <w:spacing w:line="240" w:lineRule="auto"/>
              <w:ind w:firstLine="0"/>
              <w:jc w:val="right"/>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4</w:t>
            </w:r>
          </w:p>
        </w:tc>
        <w:tc>
          <w:tcPr>
            <w:tcW w:w="1280" w:type="dxa"/>
            <w:tcBorders>
              <w:top w:val="nil"/>
              <w:left w:val="nil"/>
              <w:bottom w:val="single" w:sz="4" w:space="0" w:color="FFFFFF"/>
              <w:right w:val="single" w:sz="4" w:space="0" w:color="FFFFFF"/>
            </w:tcBorders>
            <w:shd w:val="clear" w:color="000000" w:fill="00689D"/>
            <w:noWrap/>
            <w:vAlign w:val="bottom"/>
            <w:hideMark/>
          </w:tcPr>
          <w:p w14:paraId="5BFD9BFC" w14:textId="77777777" w:rsidR="00F212FE" w:rsidRPr="000F7B71" w:rsidRDefault="00F212FE" w:rsidP="0055381F">
            <w:pPr>
              <w:spacing w:line="240" w:lineRule="auto"/>
              <w:ind w:firstLine="0"/>
              <w:jc w:val="right"/>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-2</w:t>
            </w:r>
          </w:p>
        </w:tc>
      </w:tr>
      <w:tr w:rsidR="00F212FE" w:rsidRPr="000F7B71" w14:paraId="5661A573" w14:textId="77777777" w:rsidTr="0055381F">
        <w:trPr>
          <w:trHeight w:val="120"/>
        </w:trPr>
        <w:tc>
          <w:tcPr>
            <w:tcW w:w="3880" w:type="dxa"/>
            <w:tcBorders>
              <w:top w:val="nil"/>
              <w:left w:val="single" w:sz="4" w:space="0" w:color="FFFFFF"/>
              <w:bottom w:val="single" w:sz="4" w:space="0" w:color="FFFFFF"/>
              <w:right w:val="single" w:sz="4" w:space="0" w:color="FFFFFF"/>
            </w:tcBorders>
            <w:shd w:val="clear" w:color="000000" w:fill="FFFFFF"/>
            <w:noWrap/>
            <w:vAlign w:val="bottom"/>
            <w:hideMark/>
          </w:tcPr>
          <w:p w14:paraId="1EB2D197" w14:textId="77777777" w:rsidR="00F212FE" w:rsidRPr="000F7B71" w:rsidRDefault="00F212FE" w:rsidP="0055381F">
            <w:pPr>
              <w:spacing w:line="240" w:lineRule="auto"/>
              <w:ind w:firstLine="0"/>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 </w:t>
            </w:r>
          </w:p>
        </w:tc>
        <w:tc>
          <w:tcPr>
            <w:tcW w:w="1620" w:type="dxa"/>
            <w:tcBorders>
              <w:top w:val="nil"/>
              <w:left w:val="nil"/>
              <w:bottom w:val="single" w:sz="4" w:space="0" w:color="FFFFFF"/>
              <w:right w:val="single" w:sz="4" w:space="0" w:color="FFFFFF"/>
            </w:tcBorders>
            <w:shd w:val="clear" w:color="000000" w:fill="FFFFFF"/>
            <w:noWrap/>
            <w:vAlign w:val="bottom"/>
            <w:hideMark/>
          </w:tcPr>
          <w:p w14:paraId="4D1F514A" w14:textId="77777777" w:rsidR="00F212FE" w:rsidRPr="000F7B71" w:rsidRDefault="00F212FE" w:rsidP="0055381F">
            <w:pPr>
              <w:spacing w:line="240" w:lineRule="auto"/>
              <w:ind w:firstLine="0"/>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 </w:t>
            </w:r>
          </w:p>
        </w:tc>
        <w:tc>
          <w:tcPr>
            <w:tcW w:w="1580" w:type="dxa"/>
            <w:tcBorders>
              <w:top w:val="nil"/>
              <w:left w:val="nil"/>
              <w:bottom w:val="single" w:sz="4" w:space="0" w:color="FFFFFF"/>
              <w:right w:val="single" w:sz="4" w:space="0" w:color="FFFFFF"/>
            </w:tcBorders>
            <w:shd w:val="clear" w:color="000000" w:fill="FFFFFF"/>
            <w:noWrap/>
            <w:vAlign w:val="bottom"/>
            <w:hideMark/>
          </w:tcPr>
          <w:p w14:paraId="457E7001" w14:textId="77777777" w:rsidR="00F212FE" w:rsidRPr="000F7B71" w:rsidRDefault="00F212FE" w:rsidP="0055381F">
            <w:pPr>
              <w:spacing w:line="240" w:lineRule="auto"/>
              <w:ind w:firstLine="0"/>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 </w:t>
            </w:r>
          </w:p>
        </w:tc>
        <w:tc>
          <w:tcPr>
            <w:tcW w:w="1280" w:type="dxa"/>
            <w:tcBorders>
              <w:top w:val="nil"/>
              <w:left w:val="nil"/>
              <w:bottom w:val="single" w:sz="4" w:space="0" w:color="FFFFFF"/>
              <w:right w:val="single" w:sz="4" w:space="0" w:color="FFFFFF"/>
            </w:tcBorders>
            <w:shd w:val="clear" w:color="000000" w:fill="FFFFFF"/>
            <w:noWrap/>
            <w:vAlign w:val="bottom"/>
            <w:hideMark/>
          </w:tcPr>
          <w:p w14:paraId="1E9BB453" w14:textId="77777777" w:rsidR="00F212FE" w:rsidRPr="000F7B71" w:rsidRDefault="00F212FE" w:rsidP="0055381F">
            <w:pPr>
              <w:spacing w:line="240" w:lineRule="auto"/>
              <w:ind w:firstLine="0"/>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 </w:t>
            </w:r>
          </w:p>
        </w:tc>
      </w:tr>
      <w:tr w:rsidR="00F212FE" w:rsidRPr="000F7B71" w14:paraId="2E625A86" w14:textId="77777777" w:rsidTr="0055381F">
        <w:trPr>
          <w:trHeight w:val="620"/>
        </w:trPr>
        <w:tc>
          <w:tcPr>
            <w:tcW w:w="3880" w:type="dxa"/>
            <w:tcBorders>
              <w:top w:val="nil"/>
              <w:left w:val="single" w:sz="4" w:space="0" w:color="FFFFFF"/>
              <w:bottom w:val="single" w:sz="4" w:space="0" w:color="FFFFFF"/>
              <w:right w:val="single" w:sz="4" w:space="0" w:color="FFFFFF"/>
            </w:tcBorders>
            <w:shd w:val="clear" w:color="000000" w:fill="00689D"/>
            <w:vAlign w:val="bottom"/>
            <w:hideMark/>
          </w:tcPr>
          <w:p w14:paraId="7B1509AF" w14:textId="77777777" w:rsidR="00F212FE" w:rsidRPr="000F7B71" w:rsidRDefault="00F212FE" w:rsidP="0055381F">
            <w:pPr>
              <w:spacing w:line="240" w:lineRule="auto"/>
              <w:ind w:firstLine="0"/>
              <w:rPr>
                <w:rFonts w:ascii="Calibri" w:eastAsia="Times New Roman" w:hAnsi="Calibri" w:cs="Calibri"/>
                <w:b/>
                <w:bCs/>
                <w:color w:val="FFFFFF"/>
                <w:sz w:val="24"/>
                <w:lang w:val="es-CR" w:eastAsia="es-CR"/>
              </w:rPr>
            </w:pPr>
            <w:r w:rsidRPr="000F7B71">
              <w:rPr>
                <w:rFonts w:ascii="Calibri" w:eastAsia="Times New Roman" w:hAnsi="Calibri" w:cs="Calibri"/>
                <w:b/>
                <w:bCs/>
                <w:color w:val="FFFFFF"/>
                <w:sz w:val="24"/>
                <w:lang w:val="es-CR" w:eastAsia="es-CR"/>
              </w:rPr>
              <w:t>Puntaje General de los Impactos a la Prosperidad</w:t>
            </w:r>
          </w:p>
        </w:tc>
        <w:tc>
          <w:tcPr>
            <w:tcW w:w="4480" w:type="dxa"/>
            <w:gridSpan w:val="3"/>
            <w:tcBorders>
              <w:top w:val="single" w:sz="4" w:space="0" w:color="FFFFFF"/>
              <w:left w:val="nil"/>
              <w:bottom w:val="single" w:sz="4" w:space="0" w:color="FFFFFF"/>
              <w:right w:val="single" w:sz="4" w:space="0" w:color="FFFFFF"/>
            </w:tcBorders>
            <w:shd w:val="clear" w:color="000000" w:fill="00689D"/>
            <w:noWrap/>
            <w:vAlign w:val="bottom"/>
            <w:hideMark/>
          </w:tcPr>
          <w:p w14:paraId="712187C4" w14:textId="77777777" w:rsidR="00F212FE" w:rsidRPr="000F7B71" w:rsidRDefault="00F212FE" w:rsidP="0055381F">
            <w:pPr>
              <w:spacing w:line="240" w:lineRule="auto"/>
              <w:ind w:firstLine="0"/>
              <w:jc w:val="center"/>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4,0</w:t>
            </w:r>
          </w:p>
        </w:tc>
      </w:tr>
      <w:tr w:rsidR="00F212FE" w:rsidRPr="000F7B71" w14:paraId="613E5D7E" w14:textId="77777777" w:rsidTr="0055381F">
        <w:trPr>
          <w:trHeight w:val="310"/>
        </w:trPr>
        <w:tc>
          <w:tcPr>
            <w:tcW w:w="3880" w:type="dxa"/>
            <w:tcBorders>
              <w:top w:val="nil"/>
              <w:left w:val="nil"/>
              <w:bottom w:val="nil"/>
              <w:right w:val="nil"/>
            </w:tcBorders>
            <w:noWrap/>
            <w:vAlign w:val="bottom"/>
            <w:hideMark/>
          </w:tcPr>
          <w:p w14:paraId="0E3784F3" w14:textId="77777777" w:rsidR="00F212FE" w:rsidRPr="000F7B71" w:rsidRDefault="00F212FE" w:rsidP="0055381F">
            <w:pPr>
              <w:spacing w:line="240" w:lineRule="auto"/>
              <w:ind w:firstLine="0"/>
              <w:jc w:val="center"/>
              <w:rPr>
                <w:rFonts w:ascii="Calibri" w:eastAsia="Times New Roman" w:hAnsi="Calibri" w:cs="Calibri"/>
                <w:color w:val="FFFFFF"/>
                <w:sz w:val="24"/>
                <w:lang w:val="es-CR" w:eastAsia="es-CR"/>
              </w:rPr>
            </w:pPr>
          </w:p>
        </w:tc>
        <w:tc>
          <w:tcPr>
            <w:tcW w:w="1620" w:type="dxa"/>
            <w:tcBorders>
              <w:top w:val="nil"/>
              <w:left w:val="nil"/>
              <w:bottom w:val="nil"/>
              <w:right w:val="nil"/>
            </w:tcBorders>
            <w:noWrap/>
            <w:vAlign w:val="bottom"/>
            <w:hideMark/>
          </w:tcPr>
          <w:p w14:paraId="02F40F96" w14:textId="77777777" w:rsidR="00F212FE" w:rsidRPr="000F7B71" w:rsidRDefault="00F212FE" w:rsidP="0055381F">
            <w:pPr>
              <w:spacing w:line="240" w:lineRule="auto"/>
              <w:ind w:firstLine="0"/>
              <w:rPr>
                <w:rFonts w:ascii="Times New Roman" w:eastAsia="Times New Roman" w:hAnsi="Times New Roman" w:cs="Times New Roman"/>
                <w:sz w:val="20"/>
                <w:szCs w:val="20"/>
                <w:lang w:val="es-CR" w:eastAsia="es-CR"/>
              </w:rPr>
            </w:pPr>
          </w:p>
        </w:tc>
        <w:tc>
          <w:tcPr>
            <w:tcW w:w="1580" w:type="dxa"/>
            <w:tcBorders>
              <w:top w:val="nil"/>
              <w:left w:val="nil"/>
              <w:bottom w:val="nil"/>
              <w:right w:val="nil"/>
            </w:tcBorders>
            <w:noWrap/>
            <w:vAlign w:val="bottom"/>
            <w:hideMark/>
          </w:tcPr>
          <w:p w14:paraId="68068E89" w14:textId="77777777" w:rsidR="00F212FE" w:rsidRPr="000F7B71" w:rsidRDefault="00F212FE" w:rsidP="0055381F">
            <w:pPr>
              <w:spacing w:line="240" w:lineRule="auto"/>
              <w:ind w:firstLine="0"/>
              <w:rPr>
                <w:rFonts w:ascii="Times New Roman" w:eastAsia="Times New Roman" w:hAnsi="Times New Roman" w:cs="Times New Roman"/>
                <w:sz w:val="20"/>
                <w:szCs w:val="20"/>
                <w:lang w:val="es-CR" w:eastAsia="es-CR"/>
              </w:rPr>
            </w:pPr>
          </w:p>
        </w:tc>
        <w:tc>
          <w:tcPr>
            <w:tcW w:w="1280" w:type="dxa"/>
            <w:tcBorders>
              <w:top w:val="nil"/>
              <w:left w:val="nil"/>
              <w:bottom w:val="nil"/>
              <w:right w:val="nil"/>
            </w:tcBorders>
            <w:noWrap/>
            <w:vAlign w:val="bottom"/>
            <w:hideMark/>
          </w:tcPr>
          <w:p w14:paraId="5E96FB95" w14:textId="77777777" w:rsidR="00F212FE" w:rsidRPr="000F7B71" w:rsidRDefault="00F212FE" w:rsidP="0055381F">
            <w:pPr>
              <w:spacing w:line="240" w:lineRule="auto"/>
              <w:ind w:firstLine="0"/>
              <w:rPr>
                <w:rFonts w:ascii="Times New Roman" w:eastAsia="Times New Roman" w:hAnsi="Times New Roman" w:cs="Times New Roman"/>
                <w:sz w:val="20"/>
                <w:szCs w:val="20"/>
                <w:lang w:val="es-CR" w:eastAsia="es-CR"/>
              </w:rPr>
            </w:pPr>
          </w:p>
        </w:tc>
      </w:tr>
      <w:tr w:rsidR="00F212FE" w:rsidRPr="000F7B71" w14:paraId="4C84FDDD" w14:textId="77777777" w:rsidTr="0055381F">
        <w:trPr>
          <w:trHeight w:val="310"/>
        </w:trPr>
        <w:tc>
          <w:tcPr>
            <w:tcW w:w="3880" w:type="dxa"/>
            <w:tcBorders>
              <w:top w:val="single" w:sz="4" w:space="0" w:color="FFFFFF"/>
              <w:left w:val="single" w:sz="4" w:space="0" w:color="FFFFFF"/>
              <w:bottom w:val="single" w:sz="4" w:space="0" w:color="FFFFFF"/>
              <w:right w:val="single" w:sz="4" w:space="0" w:color="FFFFFF"/>
            </w:tcBorders>
            <w:shd w:val="clear" w:color="000000" w:fill="808080"/>
            <w:noWrap/>
            <w:vAlign w:val="bottom"/>
            <w:hideMark/>
          </w:tcPr>
          <w:p w14:paraId="309586DD" w14:textId="77777777" w:rsidR="00F212FE" w:rsidRPr="000F7B71" w:rsidRDefault="00F212FE" w:rsidP="0055381F">
            <w:pPr>
              <w:spacing w:line="240" w:lineRule="auto"/>
              <w:ind w:firstLine="0"/>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Puntaje P5 General del Proyecto</w:t>
            </w:r>
          </w:p>
        </w:tc>
        <w:tc>
          <w:tcPr>
            <w:tcW w:w="4480" w:type="dxa"/>
            <w:gridSpan w:val="3"/>
            <w:tcBorders>
              <w:top w:val="single" w:sz="4" w:space="0" w:color="FFFFFF"/>
              <w:left w:val="nil"/>
              <w:bottom w:val="single" w:sz="4" w:space="0" w:color="FFFFFF"/>
              <w:right w:val="single" w:sz="4" w:space="0" w:color="FFFFFF"/>
            </w:tcBorders>
            <w:shd w:val="clear" w:color="000000" w:fill="808080"/>
            <w:noWrap/>
            <w:vAlign w:val="bottom"/>
            <w:hideMark/>
          </w:tcPr>
          <w:p w14:paraId="736388D3" w14:textId="77777777" w:rsidR="00F212FE" w:rsidRPr="000F7B71" w:rsidRDefault="00F212FE" w:rsidP="0055381F">
            <w:pPr>
              <w:spacing w:line="240" w:lineRule="auto"/>
              <w:ind w:firstLine="0"/>
              <w:jc w:val="center"/>
              <w:rPr>
                <w:rFonts w:ascii="Calibri" w:eastAsia="Times New Roman" w:hAnsi="Calibri" w:cs="Calibri"/>
                <w:color w:val="FFFFFF"/>
                <w:sz w:val="24"/>
                <w:lang w:val="es-CR" w:eastAsia="es-CR"/>
              </w:rPr>
            </w:pPr>
            <w:r w:rsidRPr="000F7B71">
              <w:rPr>
                <w:rFonts w:ascii="Calibri" w:eastAsia="Times New Roman" w:hAnsi="Calibri" w:cs="Calibri"/>
                <w:color w:val="FFFFFF"/>
                <w:sz w:val="24"/>
                <w:lang w:val="es-CR" w:eastAsia="es-CR"/>
              </w:rPr>
              <w:t>4,1</w:t>
            </w:r>
          </w:p>
        </w:tc>
      </w:tr>
    </w:tbl>
    <w:p w14:paraId="250BE0D4" w14:textId="29E4DDD8" w:rsidR="00F212FE" w:rsidRDefault="00F212FE" w:rsidP="00F212FE">
      <w:pPr>
        <w:spacing w:line="240" w:lineRule="auto"/>
        <w:ind w:firstLine="0"/>
        <w:contextualSpacing/>
      </w:pPr>
      <w:r w:rsidRPr="00F4136C">
        <w:rPr>
          <w:i/>
          <w:iCs/>
        </w:rPr>
        <w:t>Nota:</w:t>
      </w:r>
      <w:r>
        <w:t xml:space="preserve"> </w:t>
      </w:r>
      <w:r w:rsidR="00B22FCC">
        <w:t xml:space="preserve">Fuente: Elaboración propia </w:t>
      </w:r>
    </w:p>
    <w:p w14:paraId="53BCDAD0" w14:textId="77777777" w:rsidR="00F212FE" w:rsidRDefault="00F212FE" w:rsidP="00F212FE">
      <w:pPr>
        <w:spacing w:line="240" w:lineRule="auto"/>
        <w:ind w:firstLine="0"/>
        <w:contextualSpacing/>
      </w:pPr>
    </w:p>
    <w:p w14:paraId="0F234771" w14:textId="77777777" w:rsidR="00F212FE" w:rsidRDefault="00F212FE" w:rsidP="00F212FE">
      <w:pPr>
        <w:spacing w:line="240" w:lineRule="auto"/>
        <w:ind w:firstLine="0"/>
        <w:contextualSpacing/>
      </w:pPr>
    </w:p>
    <w:p w14:paraId="5778606A" w14:textId="77777777" w:rsidR="00F212FE" w:rsidRPr="00A53C01" w:rsidRDefault="00F212FE" w:rsidP="00F212FE">
      <w:pPr>
        <w:pStyle w:val="Figura1"/>
      </w:pPr>
      <w:r w:rsidRPr="00A53C01">
        <w:t xml:space="preserve">Los resultados obtenidos en la categoría de Impacto a las Personas evidencian un avance sustancial en la mejora de condiciones laborales, la equidad organizacional, la </w:t>
      </w:r>
      <w:r w:rsidRPr="00A53C01">
        <w:lastRenderedPageBreak/>
        <w:t>protección de derechos y la ética profesional dentro de los proyectos tipo Design &amp; Build. Inicialmente, se identificaron prácticas poco equitativas, ausencia de protocolos de salud y seguridad laboral consistentes, limitada formación para los equipos y escasa trazabilidad de impactos en derechos humanos. Ante este diagnóstico, se propusieron medidas orientadas a establecer políticas claras de inclusión, planes de capacitación continua, protocolos de protección laboral, mecanismos éticos de reporte y participación equitativa en los procesos. Como resultado, el puntaje general de esta categoría aumentó de forma significativa, alcanzando un promedio de 4,0, lo que demuestra una organización más humana, segura, justa y alineada con los principios de desarrollo social sostenible.</w:t>
      </w:r>
    </w:p>
    <w:p w14:paraId="40179C59" w14:textId="77777777" w:rsidR="00F212FE" w:rsidRPr="00A53C01" w:rsidRDefault="00F212FE" w:rsidP="00F212FE">
      <w:pPr>
        <w:pStyle w:val="Figura1"/>
      </w:pPr>
      <w:r w:rsidRPr="00A53C01">
        <w:t>En cuanto al Impacto al Planeta, el análisis reveló una serie de impactos negativos asociados a transporte ineficiente, consumo energético elevado, mal manejo del agua y deficiencias en los sistemas de reciclaje y disposición de residuos. Las causas principales incluían decisiones de diseño sin enfoque ambiental, procesos logísticos poco optimizados y falta de monitoreo en el uso de recursos. Las respuestas propuestas integraron estrategias como la selección de materiales sostenibles, sistemas pasivos de climatización, logística verde, simulaciones energéticas tempranas y protocolos de ahorro y reutilización de agua. Estas acciones generaron mejoras significativas en todos los indicadores ambientales, elevando el puntaje promedio de la categoría a 4,1. Esto refleja un cambio tangible hacia prácticas de diseño y operación más responsables, eficientes y regenerativas, alineadas con los desafíos actuales de mitigación del cambio climático y protección del entorno natural.</w:t>
      </w:r>
    </w:p>
    <w:p w14:paraId="64D5D400" w14:textId="77777777" w:rsidR="00F212FE" w:rsidRPr="00A53C01" w:rsidRDefault="00F212FE" w:rsidP="00F212FE">
      <w:pPr>
        <w:pStyle w:val="Figura1"/>
      </w:pPr>
      <w:r w:rsidRPr="00A53C01">
        <w:t xml:space="preserve">En la categoría de Impacto a la Prosperidad reflejan una transformación significativa en la forma en que se planifican y gestionan los proyectos tipo Design &amp; Build. Inicialmente, se detectaron múltiples debilidades relacionadas con la visión financiera, la falta de proyecciones a largo plazo, la ausencia de indicadores sociales y el limitado enfoque en resiliencia </w:t>
      </w:r>
      <w:r w:rsidRPr="00A53C01">
        <w:lastRenderedPageBreak/>
        <w:t>organizacional. Estas debilidades representaban un riesgo directo sobre la sostenibilidad económica, la eficiencia del uso de recursos y la distribución justa de beneficios.</w:t>
      </w:r>
    </w:p>
    <w:p w14:paraId="7A3303C0" w14:textId="77777777" w:rsidR="00F212FE" w:rsidRPr="00A53C01" w:rsidRDefault="00F212FE" w:rsidP="00F212FE">
      <w:pPr>
        <w:pStyle w:val="Figura1"/>
      </w:pPr>
      <w:r w:rsidRPr="00A53C01">
        <w:t>En la subcategoría Factibilidad del Proyecto, el análisis evidenció que los casos de negocio se justificaban principalmente desde indicadores financieros de corto plazo, sin considerar beneficios sociales, costos operativos futuros ni criterios de equidad. La respuesta propuesta incluyó integrar herramientas de simulación financiera, análisis de dis-beneficios, criterios de valor sostenible y derechos humanos, lo que permitió mejorar el puntaje promedio de esta subcategoría de 2,05 a 4,05. Esta mejora representa un paso importante hacia una planificación más estratégica, realista y alineada con los principios de sostenibilidad.</w:t>
      </w:r>
    </w:p>
    <w:p w14:paraId="1223D157" w14:textId="77777777" w:rsidR="00F212FE" w:rsidRPr="00A53C01" w:rsidRDefault="00F212FE" w:rsidP="00F212FE">
      <w:pPr>
        <w:pStyle w:val="Figura1"/>
      </w:pPr>
      <w:r w:rsidRPr="00A53C01">
        <w:t>Respecto a la Agilidad Empresarial, el diagnóstico reveló que los diseños eran poco flexibles, no existían planes de contingencia claros ante crisis externas, y se limitaban las opciones futuras para los usuarios finales. Las soluciones planteadas incluyeron la incorporación de escenarios múltiples, componentes modulares y principios de diseño adaptable, lo cual aumentó la capacidad de respuesta ante incertidumbre. Esto se tradujo en un aumento de todos los puntajes de 2 a 4, reflejando una organización más preparada, eficiente e inclusiva.</w:t>
      </w:r>
    </w:p>
    <w:p w14:paraId="0322C25D" w14:textId="77777777" w:rsidR="00F212FE" w:rsidRPr="00A53C01" w:rsidRDefault="00F212FE" w:rsidP="00F212FE">
      <w:pPr>
        <w:pStyle w:val="Figura1"/>
      </w:pPr>
      <w:r w:rsidRPr="00A53C01">
        <w:t>En el ámbito de Estimulación Económica y del Mercado, se identificó una escasa trazabilidad de beneficios indirectos, baja participación de proveedores locales, y falta de alineación con los objetivos de desarrollo económico regional. Como respuesta, se propuso un enfoque integral que incluye indicadores de impacto económico local, estrategias de compras regionales, análisis de equidad en la distribución de beneficios y la integración de pymes. Estas acciones no solo mejoraron la eficiencia en el uso de recursos, sino que también fortalecieron la equidad territorial, con mejoras evidentes en todos los puntajes de esta subcategoría.</w:t>
      </w:r>
    </w:p>
    <w:p w14:paraId="67870F66" w14:textId="77777777" w:rsidR="00F212FE" w:rsidRPr="002A5A75" w:rsidRDefault="00F212FE" w:rsidP="00F212FE">
      <w:pPr>
        <w:pStyle w:val="Figura1"/>
      </w:pPr>
      <w:r w:rsidRPr="00A53C01">
        <w:t xml:space="preserve">Finalmente, el fortalecimiento de los mecanismos de divulgación ESG y reportes de sostenibilidad permitió cerrar brechas importantes en materia de transparencia, trazabilidad y </w:t>
      </w:r>
      <w:r w:rsidRPr="00A53C01">
        <w:lastRenderedPageBreak/>
        <w:t>alineación con estándares internacionales. La automatización de reportes, la capacitación al equipo y la inclusión de métricas diversas mejoraron la eficiencia operativa y la representatividad de los stakeholders.</w:t>
      </w:r>
    </w:p>
    <w:p w14:paraId="43669CF0" w14:textId="77777777" w:rsidR="00F212FE" w:rsidRPr="008C68F1" w:rsidRDefault="00F212FE" w:rsidP="00F212FE">
      <w:pPr>
        <w:pStyle w:val="Ttulo1"/>
        <w:numPr>
          <w:ilvl w:val="1"/>
          <w:numId w:val="172"/>
        </w:numPr>
        <w:shd w:val="clear" w:color="auto" w:fill="FFFFFF" w:themeFill="background1"/>
        <w:tabs>
          <w:tab w:val="num" w:pos="1440"/>
        </w:tabs>
        <w:ind w:left="1440"/>
      </w:pPr>
      <w:bookmarkStart w:id="126" w:name="_Toc200286379"/>
      <w:bookmarkStart w:id="127" w:name="_Toc201774703"/>
      <w:bookmarkStart w:id="128" w:name="_Toc209378604"/>
      <w:bookmarkStart w:id="129" w:name="_Toc212406396"/>
      <w:r w:rsidRPr="008C68F1">
        <w:t>Relación del proyecto con las dimensiones del Desarrollo Regenerativo</w:t>
      </w:r>
      <w:bookmarkEnd w:id="126"/>
      <w:bookmarkEnd w:id="127"/>
      <w:bookmarkEnd w:id="128"/>
      <w:bookmarkEnd w:id="129"/>
    </w:p>
    <w:p w14:paraId="529F8EB5" w14:textId="77777777" w:rsidR="00F212FE" w:rsidRPr="00A53C01" w:rsidRDefault="00F212FE" w:rsidP="00F212FE">
      <w:pPr>
        <w:pStyle w:val="Figura1"/>
        <w:rPr>
          <w:lang w:val="es-CR" w:eastAsia="es-CR"/>
        </w:rPr>
      </w:pPr>
      <w:r w:rsidRPr="00A53C01">
        <w:rPr>
          <w:lang w:val="es-CR" w:eastAsia="es-CR"/>
        </w:rPr>
        <w:t>El desarrollo regenerativo propone una visión que va más allá de la sostenibilidad tradicional, ya que no solo busca reducir los impactos negativos, sino generar un valor positivo y restaurador en el ambiente, la sociedad y la economía. Esta forma de pensar y actuar considera múltiples dimensiones del entorno donde se implementa un proyecto, y reconoce que la forma en que se diseña, construye, opera y mantiene una solución debe contribuir activamente a mejorar los ecosistemas y las comunidades.</w:t>
      </w:r>
    </w:p>
    <w:p w14:paraId="4E32A8B2" w14:textId="77777777" w:rsidR="00F212FE" w:rsidRPr="00A53C01" w:rsidRDefault="00F212FE" w:rsidP="00F212FE">
      <w:pPr>
        <w:pStyle w:val="Figura1"/>
        <w:rPr>
          <w:lang w:val="es-CR" w:eastAsia="es-CR"/>
        </w:rPr>
      </w:pPr>
      <w:r w:rsidRPr="00A53C01">
        <w:rPr>
          <w:lang w:val="es-CR" w:eastAsia="es-CR"/>
        </w:rPr>
        <w:t xml:space="preserve">El desarrollo regenerativo no solo se enfoca en evitar daños, sino en dejar una huella positiva en todos los ámbitos. Esto implica fortalecer tanto a las personas como a los ecosistemas mediante acciones conscientes en cada fase del ciclo de vida del proyecto. En el caso del proyecto propuesto, orientado a mejorar los procesos de planificación y control en proyectos tipo </w:t>
      </w:r>
      <w:r w:rsidRPr="00A53C01">
        <w:rPr>
          <w:i/>
          <w:iCs/>
          <w:lang w:val="es-CR" w:eastAsia="es-CR"/>
        </w:rPr>
        <w:t>Design &amp; Build</w:t>
      </w:r>
      <w:r w:rsidRPr="00A53C01">
        <w:rPr>
          <w:lang w:val="es-CR" w:eastAsia="es-CR"/>
        </w:rPr>
        <w:t xml:space="preserve"> en oficinas corporativas, se identifican relaciones claras con diversas dimensiones del desarrollo regenerativo, que a continuación se describen:</w:t>
      </w:r>
    </w:p>
    <w:p w14:paraId="087E8092" w14:textId="77777777" w:rsidR="00F212FE" w:rsidRPr="00A53C01" w:rsidRDefault="00F212FE" w:rsidP="00F212FE">
      <w:pPr>
        <w:pStyle w:val="Figura1"/>
        <w:numPr>
          <w:ilvl w:val="0"/>
          <w:numId w:val="17"/>
        </w:numPr>
        <w:rPr>
          <w:lang w:val="es-CR" w:eastAsia="es-CR"/>
        </w:rPr>
      </w:pPr>
      <w:r w:rsidRPr="00A53C01">
        <w:rPr>
          <w:b/>
          <w:bCs/>
          <w:lang w:val="es-CR" w:eastAsia="es-CR"/>
        </w:rPr>
        <w:t xml:space="preserve">Dimensión ambiental: </w:t>
      </w:r>
      <w:r w:rsidRPr="00A53C01">
        <w:rPr>
          <w:lang w:val="es-CR" w:eastAsia="es-CR"/>
        </w:rPr>
        <w:t xml:space="preserve">El proyecto fomenta el uso eficiente de la energía, el aprovechamiento de la luz natural, la ventilación cruzada, la reducción de residuos y el manejo adecuado del agua. Asimismo, contempla el uso de materiales de bajo impacto y procesos constructivos que minimizan emisiones. Estas medidas no solo evitan deterioros ambientales, sino que contribuyen a restaurar ecosistemas urbanos, reducir la huella ecológica y prevenir el sobrepaso de límites planetarios, tales como el uso intensivo de recursos no renovables o la contaminación del aire y el agua. En conjunto, estas acciones </w:t>
      </w:r>
      <w:r w:rsidRPr="00A53C01">
        <w:rPr>
          <w:lang w:val="es-CR" w:eastAsia="es-CR"/>
        </w:rPr>
        <w:lastRenderedPageBreak/>
        <w:t>favorecen la resiliencia climática urbana y fortalecen la sostenibilidad ecológica del entorno construido.</w:t>
      </w:r>
    </w:p>
    <w:p w14:paraId="78171496" w14:textId="77777777" w:rsidR="00F212FE" w:rsidRPr="00A53C01" w:rsidRDefault="00F212FE" w:rsidP="00F212FE">
      <w:pPr>
        <w:pStyle w:val="Figura1"/>
        <w:numPr>
          <w:ilvl w:val="0"/>
          <w:numId w:val="17"/>
        </w:numPr>
        <w:rPr>
          <w:lang w:val="es-CR" w:eastAsia="es-CR"/>
        </w:rPr>
      </w:pPr>
      <w:r w:rsidRPr="00A53C01">
        <w:rPr>
          <w:b/>
          <w:bCs/>
          <w:lang w:val="es-CR" w:eastAsia="es-CR"/>
        </w:rPr>
        <w:t>Dimensión social:</w:t>
      </w:r>
      <w:r w:rsidRPr="00A53C01">
        <w:rPr>
          <w:lang w:val="es-CR" w:eastAsia="es-CR"/>
        </w:rPr>
        <w:t xml:space="preserve"> El proyecto promueve una vida digna para todas las personas involucradas, mediante condiciones laborales seguras, inclusivas y equitativas. Se integran principios de igualdad de oportunidades, respeto por los derechos humanos y participación activa de colaboradores y partes interesadas. Además, se fomenta el aprendizaje organizacional continuo, la formación técnica y el crecimiento profesional, generando bienestar social a corto y largo plazo. La articulación entre equipos, clientes y proveedores refuerza el tejido social y promueve una cultura de colaboración y justicia.</w:t>
      </w:r>
    </w:p>
    <w:p w14:paraId="287DBD7F" w14:textId="77777777" w:rsidR="00F212FE" w:rsidRPr="00A53C01" w:rsidRDefault="00F212FE" w:rsidP="00F212FE">
      <w:pPr>
        <w:pStyle w:val="Figura1"/>
        <w:numPr>
          <w:ilvl w:val="0"/>
          <w:numId w:val="17"/>
        </w:numPr>
        <w:rPr>
          <w:lang w:val="es-CR" w:eastAsia="es-CR"/>
        </w:rPr>
      </w:pPr>
      <w:r w:rsidRPr="00A53C01">
        <w:rPr>
          <w:b/>
          <w:bCs/>
          <w:lang w:val="es-CR" w:eastAsia="es-CR"/>
        </w:rPr>
        <w:t>Dimensión económica:</w:t>
      </w:r>
      <w:r w:rsidRPr="00A53C01">
        <w:rPr>
          <w:lang w:val="es-CR" w:eastAsia="es-CR"/>
        </w:rPr>
        <w:t xml:space="preserve"> Desde su diseño, el proyecto incorpora mecanismos para generar beneficios compartidos con el entorno, como la contratación de proveedores locales, el fortalecimiento de economías regionales y la integración de pymes. Se priorizan políticas de adquisición equitativas y se aplican herramientas de análisis de retorno social sobre la inversión, alineadas con una economía regenerativa. En lugar de enfocarse exclusivamente en el capital financiero, se valora la creación de empleo estable, el fortalecimiento de cadenas de suministro sostenibles y la distribución justa de beneficios.</w:t>
      </w:r>
    </w:p>
    <w:p w14:paraId="7ADB867A" w14:textId="77777777" w:rsidR="00F212FE" w:rsidRPr="00A53C01" w:rsidRDefault="00F212FE" w:rsidP="00F212FE">
      <w:pPr>
        <w:pStyle w:val="Figura1"/>
        <w:numPr>
          <w:ilvl w:val="0"/>
          <w:numId w:val="17"/>
        </w:numPr>
        <w:rPr>
          <w:lang w:val="es-CR" w:eastAsia="es-CR"/>
        </w:rPr>
      </w:pPr>
      <w:r w:rsidRPr="00A53C01">
        <w:rPr>
          <w:b/>
          <w:bCs/>
          <w:lang w:val="es-CR" w:eastAsia="es-CR"/>
        </w:rPr>
        <w:t>Dimensión espiritual:</w:t>
      </w:r>
      <w:r w:rsidRPr="00A53C01">
        <w:rPr>
          <w:lang w:val="es-CR" w:eastAsia="es-CR"/>
        </w:rPr>
        <w:t xml:space="preserve"> Aunque no se aborda de forma explícita, el proyecto integra indirectamente esta dimensión al propiciar el bienestar interior de los usuarios mediante ambientes saludables, armónicos y humanos. La inclusión de zonas verdes, iluminación natural, espacios de descanso y elementos que conectan con la naturaleza favorece la salud mental, el equilibrio emocional y momentos de reflexión. Estos factores permiten a las personas sentirse parte de un propósito más amplio y mejorar su calidad de vida.</w:t>
      </w:r>
    </w:p>
    <w:p w14:paraId="52C2F240" w14:textId="77777777" w:rsidR="00F212FE" w:rsidRPr="00A53C01" w:rsidRDefault="00F212FE" w:rsidP="00F212FE">
      <w:pPr>
        <w:pStyle w:val="Figura1"/>
        <w:numPr>
          <w:ilvl w:val="0"/>
          <w:numId w:val="17"/>
        </w:numPr>
        <w:rPr>
          <w:lang w:val="es-CR" w:eastAsia="es-CR"/>
        </w:rPr>
      </w:pPr>
      <w:r w:rsidRPr="00A53C01">
        <w:rPr>
          <w:b/>
          <w:bCs/>
          <w:lang w:val="es-CR" w:eastAsia="es-CR"/>
        </w:rPr>
        <w:lastRenderedPageBreak/>
        <w:t>Dimensión cultural:</w:t>
      </w:r>
      <w:r w:rsidRPr="00A53C01">
        <w:rPr>
          <w:lang w:val="es-CR" w:eastAsia="es-CR"/>
        </w:rPr>
        <w:t xml:space="preserve"> El diseño del proyecto considera el uso de materiales locales y la incorporación de elementos contextuales que dialogan con el entorno físico y cultural donde se implementa. Esto contribuye a reforzar la identidad local, evitar la homogeneización de espacios corporativos y preservar expresiones culturales propias del lugar. Aunque no es el eje central del proyecto, se reconoce la oportunidad de integrar prácticas arquitectónicas respetuosas con las costumbres y valores de las comunidades, generando un sentido de pertenencia.</w:t>
      </w:r>
    </w:p>
    <w:p w14:paraId="1BD46BE0" w14:textId="77777777" w:rsidR="00F212FE" w:rsidRPr="00A53C01" w:rsidRDefault="00F212FE" w:rsidP="00F212FE">
      <w:pPr>
        <w:pStyle w:val="Figura1"/>
        <w:numPr>
          <w:ilvl w:val="0"/>
          <w:numId w:val="17"/>
        </w:numPr>
        <w:rPr>
          <w:lang w:val="es-CR" w:eastAsia="es-CR"/>
        </w:rPr>
      </w:pPr>
      <w:r w:rsidRPr="00A53C01">
        <w:rPr>
          <w:b/>
          <w:bCs/>
          <w:lang w:val="es-CR" w:eastAsia="es-CR"/>
        </w:rPr>
        <w:t>Dimensión política:</w:t>
      </w:r>
      <w:r w:rsidRPr="00A53C01">
        <w:rPr>
          <w:lang w:val="es-CR" w:eastAsia="es-CR"/>
        </w:rPr>
        <w:t xml:space="preserve"> El proyecto promueve procesos participativos e inclusivos en todas sus etapas. Se incorporan criterios de equidad en la contratación, se transparentan los procesos de toma de decisiones y se fortalecen los canales de comunicación interna. Asimismo, se empodera a mujeres y jóvenes mediante la inclusión activa en roles estratégicos, y se garantiza que las voces de distintos actores, incluyendo grupos tradicionalmente excluidos, sean escuchadas y consideradas. Estas acciones refuerzan la gobernanza organizacional y mejoran la legitimidad del proyecto.</w:t>
      </w:r>
    </w:p>
    <w:p w14:paraId="71F9B3F2" w14:textId="79DD5CC5" w:rsidR="00F212FE" w:rsidRPr="00687C3B" w:rsidRDefault="00F212FE" w:rsidP="00687C3B">
      <w:pPr>
        <w:pStyle w:val="Figura1"/>
        <w:sectPr w:rsidR="00F212FE" w:rsidRPr="00687C3B" w:rsidSect="00DA17D3">
          <w:pgSz w:w="12242" w:h="15842"/>
          <w:pgMar w:top="1440" w:right="1440" w:bottom="1440" w:left="1440" w:header="709" w:footer="709" w:gutter="0"/>
          <w:cols w:space="720"/>
        </w:sectPr>
      </w:pPr>
      <w:r w:rsidRPr="00A53C01">
        <w:t>En resumen, el proyecto guarda una estrecha relación con los principios del desarrollo regenerativo. Va más allá de entregar un producto final bien ejecutado: se compromete con una forma de hacer proyectos que es ética, participativa y transformadora. Al aplicar herramientas como el análisis P5, se evidencian impactos positivos en las dimensiones ambiental, social y económica, y se crean oportunidades para fortalecer la cultura, la espiritualidad y la gobernanza en el entorno donde se desarrolla. Esta visión regenerativa no solo mejora los resultados del proyecto actual, sino que establece las bases para una práctica profesional más responsable y alineada con los Objetivos de Desarrollo Sostenibl</w:t>
      </w:r>
      <w:r w:rsidR="00B22FCC">
        <w:t>e.</w:t>
      </w:r>
    </w:p>
    <w:p w14:paraId="662DF1FB" w14:textId="0E0410D2" w:rsidR="00125D79" w:rsidRDefault="00125D79" w:rsidP="00B22FCC">
      <w:pPr>
        <w:ind w:firstLine="0"/>
        <w:jc w:val="center"/>
      </w:pPr>
    </w:p>
    <w:p w14:paraId="000001F3" w14:textId="2BDEA91B" w:rsidR="00A2355F" w:rsidRPr="0098201D" w:rsidRDefault="00F212FE" w:rsidP="00B22FCC">
      <w:pPr>
        <w:pStyle w:val="Ttulo1"/>
        <w:ind w:left="360"/>
        <w:jc w:val="center"/>
        <w:rPr>
          <w:lang w:val="es-CR"/>
        </w:rPr>
      </w:pPr>
      <w:bookmarkStart w:id="130" w:name="_heading=h.wwwonwk2gy6w" w:colFirst="0" w:colLast="0"/>
      <w:bookmarkStart w:id="131" w:name="_heading=h.cqwexharv68" w:colFirst="0" w:colLast="0"/>
      <w:bookmarkStart w:id="132" w:name="_heading=h.w6b2cyafaaal" w:colFirst="0" w:colLast="0"/>
      <w:bookmarkStart w:id="133" w:name="_heading=h.a6lifpw0kmqg" w:colFirst="0" w:colLast="0"/>
      <w:bookmarkStart w:id="134" w:name="_Toc212406397"/>
      <w:bookmarkEnd w:id="130"/>
      <w:bookmarkEnd w:id="131"/>
      <w:bookmarkEnd w:id="132"/>
      <w:bookmarkEnd w:id="133"/>
      <w:r>
        <w:t>B</w:t>
      </w:r>
      <w:bookmarkStart w:id="135" w:name="_Toc209379485"/>
      <w:bookmarkStart w:id="136" w:name="_Toc209971823"/>
      <w:bookmarkStart w:id="137" w:name="_Toc209971936"/>
      <w:bookmarkStart w:id="138" w:name="_Toc206077726"/>
      <w:bookmarkStart w:id="139" w:name="_Toc209379486"/>
      <w:bookmarkStart w:id="140" w:name="_Toc209971824"/>
      <w:bookmarkStart w:id="141" w:name="_Toc209971937"/>
      <w:bookmarkStart w:id="142" w:name="_Toc206077727"/>
      <w:bookmarkStart w:id="143" w:name="_Toc209379487"/>
      <w:bookmarkStart w:id="144" w:name="_Toc209971825"/>
      <w:bookmarkStart w:id="145" w:name="_Toc209971938"/>
      <w:bookmarkStart w:id="146" w:name="_Toc206077728"/>
      <w:bookmarkStart w:id="147" w:name="_Toc209379488"/>
      <w:bookmarkStart w:id="148" w:name="_Toc209971826"/>
      <w:bookmarkStart w:id="149" w:name="_Toc209971939"/>
      <w:bookmarkStart w:id="150" w:name="_Toc209379489"/>
      <w:bookmarkStart w:id="151" w:name="_Toc209971827"/>
      <w:bookmarkStart w:id="152" w:name="_Toc209971940"/>
      <w:bookmarkStart w:id="153" w:name="_Toc209379490"/>
      <w:bookmarkStart w:id="154" w:name="_Toc209971828"/>
      <w:bookmarkStart w:id="155" w:name="_Toc209971941"/>
      <w:bookmarkStart w:id="156" w:name="_Toc209379491"/>
      <w:bookmarkStart w:id="157" w:name="_Toc209971829"/>
      <w:bookmarkStart w:id="158" w:name="_Toc209971942"/>
      <w:bookmarkStart w:id="159" w:name="_Toc209379492"/>
      <w:bookmarkStart w:id="160" w:name="_Toc209971830"/>
      <w:bookmarkStart w:id="161" w:name="_Toc209971943"/>
      <w:bookmarkStart w:id="162" w:name="_Toc209379493"/>
      <w:bookmarkStart w:id="163" w:name="_Toc209971831"/>
      <w:bookmarkStart w:id="164" w:name="_Toc209971944"/>
      <w:bookmarkStart w:id="165" w:name="_Toc209379494"/>
      <w:bookmarkStart w:id="166" w:name="_Toc209971832"/>
      <w:bookmarkStart w:id="167" w:name="_Toc209971945"/>
      <w:bookmarkStart w:id="168" w:name="_Toc209379495"/>
      <w:bookmarkStart w:id="169" w:name="_Toc209971833"/>
      <w:bookmarkStart w:id="170" w:name="_Toc209971946"/>
      <w:bookmarkStart w:id="171" w:name="_Toc209379496"/>
      <w:bookmarkStart w:id="172" w:name="_Toc209971834"/>
      <w:bookmarkStart w:id="173" w:name="_Toc209971947"/>
      <w:bookmarkStart w:id="174" w:name="_Toc209379497"/>
      <w:bookmarkStart w:id="175" w:name="_Toc209971835"/>
      <w:bookmarkStart w:id="176" w:name="_Toc209971948"/>
      <w:bookmarkStart w:id="177" w:name="_Toc209379498"/>
      <w:bookmarkStart w:id="178" w:name="_Toc209971836"/>
      <w:bookmarkStart w:id="179" w:name="_Toc209971949"/>
      <w:bookmarkStart w:id="180" w:name="_Toc209379499"/>
      <w:bookmarkStart w:id="181" w:name="_Toc209971837"/>
      <w:bookmarkStart w:id="182" w:name="_Toc209971950"/>
      <w:bookmarkStart w:id="183" w:name="_Toc209379500"/>
      <w:bookmarkStart w:id="184" w:name="_Toc209971838"/>
      <w:bookmarkStart w:id="185" w:name="_Toc209971951"/>
      <w:bookmarkStart w:id="186" w:name="_Toc209379501"/>
      <w:bookmarkStart w:id="187" w:name="_Toc209971839"/>
      <w:bookmarkStart w:id="188" w:name="_Toc209971952"/>
      <w:bookmarkStart w:id="189" w:name="_Toc209379502"/>
      <w:bookmarkStart w:id="190" w:name="_Toc209971840"/>
      <w:bookmarkStart w:id="191" w:name="_Toc209971953"/>
      <w:bookmarkStart w:id="192" w:name="_Toc209379503"/>
      <w:bookmarkStart w:id="193" w:name="_Toc209971841"/>
      <w:bookmarkStart w:id="194" w:name="_Toc209971954"/>
      <w:bookmarkStart w:id="195" w:name="_Toc209379504"/>
      <w:bookmarkStart w:id="196" w:name="_Toc209971842"/>
      <w:bookmarkStart w:id="197" w:name="_Toc209971955"/>
      <w:bookmarkStart w:id="198" w:name="_Toc209379505"/>
      <w:bookmarkStart w:id="199" w:name="_Toc209971843"/>
      <w:bookmarkStart w:id="200" w:name="_Toc209971956"/>
      <w:bookmarkStart w:id="201" w:name="_Toc209379506"/>
      <w:bookmarkStart w:id="202" w:name="_Toc209971844"/>
      <w:bookmarkStart w:id="203" w:name="_Toc209971957"/>
      <w:bookmarkStart w:id="204" w:name="_Toc209379507"/>
      <w:bookmarkStart w:id="205" w:name="_Toc209971845"/>
      <w:bookmarkStart w:id="206" w:name="_Toc209971958"/>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rsidR="00B22FCC" w:rsidRPr="0098201D">
        <w:rPr>
          <w:lang w:val="es-CR"/>
        </w:rPr>
        <w:t>ibliografía</w:t>
      </w:r>
      <w:bookmarkEnd w:id="134"/>
    </w:p>
    <w:p w14:paraId="73E9FFBB" w14:textId="77777777" w:rsidR="00717370" w:rsidRPr="00DB1B11" w:rsidRDefault="00717370" w:rsidP="00DB1B11">
      <w:pPr>
        <w:pStyle w:val="Figura1"/>
        <w:rPr>
          <w:lang w:val="es-CR"/>
        </w:rPr>
      </w:pPr>
      <w:bookmarkStart w:id="207" w:name="_Toc201774705"/>
      <w:r w:rsidRPr="00DB1B11">
        <w:rPr>
          <w:lang w:val="es-CR"/>
        </w:rPr>
        <w:t xml:space="preserve">Álvarez, J., &amp; Martínez, M. (2020). </w:t>
      </w:r>
      <w:r w:rsidRPr="00DB1B11">
        <w:rPr>
          <w:i/>
          <w:iCs/>
          <w:lang w:val="es-CR"/>
        </w:rPr>
        <w:t>Metodología comparativa para estudios organizacionales</w:t>
      </w:r>
      <w:r w:rsidRPr="00DB1B11">
        <w:rPr>
          <w:lang w:val="es-CR"/>
        </w:rPr>
        <w:t>. Editorial Académica Española.</w:t>
      </w:r>
      <w:bookmarkEnd w:id="207"/>
    </w:p>
    <w:p w14:paraId="730498B9" w14:textId="77777777" w:rsidR="00717370" w:rsidRPr="00AE4839" w:rsidRDefault="00717370" w:rsidP="00DB1B11">
      <w:pPr>
        <w:pStyle w:val="Figura1"/>
        <w:rPr>
          <w:lang w:val="da-DK"/>
        </w:rPr>
      </w:pPr>
      <w:bookmarkStart w:id="208" w:name="_Toc201774706"/>
      <w:r w:rsidRPr="00DB1B11">
        <w:rPr>
          <w:lang w:val="es-CR"/>
        </w:rPr>
        <w:t xml:space="preserve">Arias, F. (2019). </w:t>
      </w:r>
      <w:r w:rsidRPr="00DB1B11">
        <w:rPr>
          <w:i/>
          <w:iCs/>
          <w:lang w:val="es-CR"/>
        </w:rPr>
        <w:t>El proyecto de investigación: Introducción a la metodología científica</w:t>
      </w:r>
      <w:r w:rsidRPr="00DB1B11">
        <w:rPr>
          <w:lang w:val="es-CR"/>
        </w:rPr>
        <w:t xml:space="preserve"> (8.ª ed.). </w:t>
      </w:r>
      <w:r w:rsidRPr="00AE4839">
        <w:rPr>
          <w:lang w:val="da-DK"/>
        </w:rPr>
        <w:t>Episteme.</w:t>
      </w:r>
      <w:bookmarkEnd w:id="208"/>
    </w:p>
    <w:p w14:paraId="1263F1B6" w14:textId="77777777" w:rsidR="00717370" w:rsidRPr="00AE4839" w:rsidRDefault="00717370" w:rsidP="00DB1B11">
      <w:pPr>
        <w:pStyle w:val="Figura1"/>
        <w:rPr>
          <w:lang w:val="da-DK"/>
        </w:rPr>
      </w:pPr>
      <w:bookmarkStart w:id="209" w:name="_Toc201774707"/>
      <w:r w:rsidRPr="00AE4839">
        <w:rPr>
          <w:lang w:val="da-DK"/>
        </w:rPr>
        <w:t xml:space="preserve">Ballard, G., &amp; Howell, G. (2017). </w:t>
      </w:r>
      <w:r w:rsidRPr="00AE4839">
        <w:rPr>
          <w:i/>
          <w:iCs/>
          <w:lang w:val="da-DK"/>
        </w:rPr>
        <w:t>Lean Project Delivery System</w:t>
      </w:r>
      <w:r w:rsidRPr="00AE4839">
        <w:rPr>
          <w:lang w:val="da-DK"/>
        </w:rPr>
        <w:t>. Lean Construction Institute.</w:t>
      </w:r>
      <w:bookmarkEnd w:id="209"/>
    </w:p>
    <w:p w14:paraId="1F3C9A60" w14:textId="77777777" w:rsidR="00717370" w:rsidRPr="00DB1B11" w:rsidRDefault="00717370" w:rsidP="00DB1B11">
      <w:pPr>
        <w:pStyle w:val="Figura1"/>
        <w:rPr>
          <w:lang w:val="es-CR"/>
        </w:rPr>
      </w:pPr>
      <w:bookmarkStart w:id="210" w:name="_Toc201774708"/>
      <w:r w:rsidRPr="00DB1B11">
        <w:rPr>
          <w:lang w:val="es-CR"/>
        </w:rPr>
        <w:t xml:space="preserve">Chaves, G., &amp; González, R. (2020). </w:t>
      </w:r>
      <w:r w:rsidRPr="00DB1B11">
        <w:rPr>
          <w:i/>
          <w:iCs/>
          <w:lang w:val="es-CR"/>
        </w:rPr>
        <w:t>Gestión integrada de proyectos: Enfoques prácticos para el desarrollo de obras</w:t>
      </w:r>
      <w:r w:rsidRPr="00DB1B11">
        <w:rPr>
          <w:lang w:val="es-CR"/>
        </w:rPr>
        <w:t>. Editorial Costa Rica.</w:t>
      </w:r>
      <w:bookmarkEnd w:id="210"/>
    </w:p>
    <w:p w14:paraId="72FB24BF" w14:textId="77777777" w:rsidR="00717370" w:rsidRPr="00AE4839" w:rsidRDefault="00717370" w:rsidP="00DB1B11">
      <w:pPr>
        <w:pStyle w:val="Figura1"/>
        <w:rPr>
          <w:lang w:val="da-DK"/>
        </w:rPr>
      </w:pPr>
      <w:bookmarkStart w:id="211" w:name="_Toc201774709"/>
      <w:r w:rsidRPr="00DB1B11">
        <w:rPr>
          <w:lang w:val="es-CR"/>
        </w:rPr>
        <w:t xml:space="preserve">Dumas, M., La Rosa, M., Mendling, J., &amp; Reijers, H. A. (2018). </w:t>
      </w:r>
      <w:r w:rsidRPr="00AE4839">
        <w:rPr>
          <w:i/>
          <w:iCs/>
          <w:lang w:val="da-DK"/>
        </w:rPr>
        <w:t>Fundamentals of Business Process Management</w:t>
      </w:r>
      <w:r w:rsidRPr="00AE4839">
        <w:rPr>
          <w:lang w:val="da-DK"/>
        </w:rPr>
        <w:t xml:space="preserve"> (2nd ed.). Springer.</w:t>
      </w:r>
      <w:bookmarkEnd w:id="211"/>
    </w:p>
    <w:p w14:paraId="27BDA55B" w14:textId="77777777" w:rsidR="00717370" w:rsidRPr="00AE4839" w:rsidRDefault="00717370" w:rsidP="00DB1B11">
      <w:pPr>
        <w:pStyle w:val="Figura1"/>
        <w:rPr>
          <w:lang w:val="da-DK"/>
        </w:rPr>
      </w:pPr>
      <w:bookmarkStart w:id="212" w:name="_Toc201774710"/>
      <w:r w:rsidRPr="00AE4839">
        <w:rPr>
          <w:lang w:val="da-DK"/>
        </w:rPr>
        <w:t xml:space="preserve">El Asmar, M., Hanna, A. S., &amp; Loh, W.-Y. (2018). Evaluating Integrated Project Delivery Using Structural Equation Modeling. </w:t>
      </w:r>
      <w:r w:rsidRPr="00AE4839">
        <w:rPr>
          <w:i/>
          <w:iCs/>
          <w:lang w:val="da-DK"/>
        </w:rPr>
        <w:t>Journal of Construction Engineering and Management</w:t>
      </w:r>
      <w:r w:rsidRPr="00AE4839">
        <w:rPr>
          <w:lang w:val="da-DK"/>
        </w:rPr>
        <w:t xml:space="preserve">, </w:t>
      </w:r>
      <w:r w:rsidRPr="00AE4839">
        <w:rPr>
          <w:i/>
          <w:iCs/>
          <w:lang w:val="da-DK"/>
        </w:rPr>
        <w:t>144</w:t>
      </w:r>
      <w:r w:rsidRPr="00AE4839">
        <w:rPr>
          <w:lang w:val="da-DK"/>
        </w:rPr>
        <w:t>(5), 04018025. https://doi.org/10.1061/(ASCE)CO.1943-7862.0001460</w:t>
      </w:r>
      <w:bookmarkEnd w:id="212"/>
    </w:p>
    <w:p w14:paraId="317D522D" w14:textId="77777777" w:rsidR="00717370" w:rsidRPr="00DB1B11" w:rsidRDefault="00717370" w:rsidP="00DB1B11">
      <w:pPr>
        <w:pStyle w:val="Figura1"/>
        <w:rPr>
          <w:lang w:val="es-CR"/>
        </w:rPr>
      </w:pPr>
      <w:bookmarkStart w:id="213" w:name="_Toc201774711"/>
      <w:r w:rsidRPr="00DB1B11">
        <w:rPr>
          <w:lang w:val="es-CR"/>
        </w:rPr>
        <w:t xml:space="preserve">Gallardo, L. (2020). Fuentes secundarias en la investigación científica: Alcances y criterios de uso. </w:t>
      </w:r>
      <w:r w:rsidRPr="00DB1B11">
        <w:rPr>
          <w:i/>
          <w:iCs/>
          <w:lang w:val="es-CR"/>
        </w:rPr>
        <w:t>Revista Educación y Ciencia</w:t>
      </w:r>
      <w:r w:rsidRPr="00DB1B11">
        <w:rPr>
          <w:lang w:val="es-CR"/>
        </w:rPr>
        <w:t xml:space="preserve">, </w:t>
      </w:r>
      <w:r w:rsidRPr="00DB1B11">
        <w:rPr>
          <w:i/>
          <w:iCs/>
          <w:lang w:val="es-CR"/>
        </w:rPr>
        <w:t>8</w:t>
      </w:r>
      <w:r w:rsidRPr="00DB1B11">
        <w:rPr>
          <w:lang w:val="es-CR"/>
        </w:rPr>
        <w:t>(2), 34–47. https://doi.org/10.17981/educien.8.2.2020.03</w:t>
      </w:r>
      <w:bookmarkEnd w:id="213"/>
    </w:p>
    <w:p w14:paraId="2FC65214" w14:textId="77777777" w:rsidR="00717370" w:rsidRPr="00DB1B11" w:rsidRDefault="00717370" w:rsidP="00DB1B11">
      <w:pPr>
        <w:pStyle w:val="Figura1"/>
        <w:rPr>
          <w:lang w:val="es-CR"/>
        </w:rPr>
      </w:pPr>
      <w:bookmarkStart w:id="214" w:name="_Toc201774712"/>
      <w:r w:rsidRPr="00DB1B11">
        <w:rPr>
          <w:lang w:val="es-CR"/>
        </w:rPr>
        <w:t xml:space="preserve">Hammer, M., &amp; Champy, J. (2019). </w:t>
      </w:r>
      <w:r w:rsidRPr="00DB1B11">
        <w:rPr>
          <w:i/>
          <w:iCs/>
          <w:lang w:val="es-CR"/>
        </w:rPr>
        <w:t>Reingeniería de la empresa: Cómo mejorar la competitividad y la eficiencia</w:t>
      </w:r>
      <w:r w:rsidRPr="00DB1B11">
        <w:rPr>
          <w:lang w:val="es-CR"/>
        </w:rPr>
        <w:t>. Editorial Granica.</w:t>
      </w:r>
      <w:bookmarkEnd w:id="214"/>
    </w:p>
    <w:p w14:paraId="664798EA" w14:textId="77777777" w:rsidR="00717370" w:rsidRPr="00DB1B11" w:rsidRDefault="00717370" w:rsidP="00DB1B11">
      <w:pPr>
        <w:pStyle w:val="Figura1"/>
        <w:rPr>
          <w:lang w:val="es-CR"/>
        </w:rPr>
      </w:pPr>
      <w:bookmarkStart w:id="215" w:name="_Toc201774713"/>
      <w:r w:rsidRPr="00DB1B11">
        <w:rPr>
          <w:lang w:val="es-CR"/>
        </w:rPr>
        <w:t xml:space="preserve">Hernández Sampieri, R., Fernández Collado, C., &amp; Baptista Lucio, P. (2018). </w:t>
      </w:r>
      <w:r w:rsidRPr="00DB1B11">
        <w:rPr>
          <w:i/>
          <w:iCs/>
          <w:lang w:val="es-CR"/>
        </w:rPr>
        <w:t>Metodología de la investigación</w:t>
      </w:r>
      <w:r w:rsidRPr="00DB1B11">
        <w:rPr>
          <w:lang w:val="es-CR"/>
        </w:rPr>
        <w:t xml:space="preserve"> (6.ª ed.). McGraw-Hill.</w:t>
      </w:r>
      <w:bookmarkEnd w:id="215"/>
    </w:p>
    <w:p w14:paraId="63C22611" w14:textId="77777777" w:rsidR="00717370" w:rsidRPr="00AE4839" w:rsidRDefault="00717370" w:rsidP="00DB1B11">
      <w:pPr>
        <w:pStyle w:val="Figura1"/>
        <w:rPr>
          <w:lang w:val="da-DK"/>
        </w:rPr>
      </w:pPr>
      <w:bookmarkStart w:id="216" w:name="_Toc201774714"/>
      <w:r w:rsidRPr="00DB1B11">
        <w:rPr>
          <w:lang w:val="es-CR"/>
        </w:rPr>
        <w:t xml:space="preserve">Kerzner, H. (2017). </w:t>
      </w:r>
      <w:r w:rsidRPr="00AE4839">
        <w:rPr>
          <w:i/>
          <w:iCs/>
          <w:lang w:val="da-DK"/>
        </w:rPr>
        <w:t>Project Management: A Systems Approach to Planning, Scheduling, and Controlling</w:t>
      </w:r>
      <w:r w:rsidRPr="00AE4839">
        <w:rPr>
          <w:lang w:val="da-DK"/>
        </w:rPr>
        <w:t xml:space="preserve"> (12th ed.). Wiley.</w:t>
      </w:r>
      <w:bookmarkEnd w:id="216"/>
    </w:p>
    <w:p w14:paraId="2A3B4AF2" w14:textId="77777777" w:rsidR="00717370" w:rsidRPr="00DB1B11" w:rsidRDefault="00717370" w:rsidP="00DB1B11">
      <w:pPr>
        <w:pStyle w:val="Figura1"/>
        <w:rPr>
          <w:lang w:val="es-CR"/>
        </w:rPr>
      </w:pPr>
      <w:bookmarkStart w:id="217" w:name="_Toc201774715"/>
      <w:r w:rsidRPr="00AE4839">
        <w:rPr>
          <w:lang w:val="da-DK"/>
        </w:rPr>
        <w:lastRenderedPageBreak/>
        <w:t xml:space="preserve">Kotter, J. P. (2021). </w:t>
      </w:r>
      <w:r w:rsidRPr="00AE4839">
        <w:rPr>
          <w:i/>
          <w:iCs/>
          <w:lang w:val="da-DK"/>
        </w:rPr>
        <w:t>Change: How Organizations Achieve Hard-to-Imagine Results</w:t>
      </w:r>
      <w:r w:rsidRPr="00AE4839">
        <w:rPr>
          <w:lang w:val="da-DK"/>
        </w:rPr>
        <w:t xml:space="preserve">. </w:t>
      </w:r>
      <w:r w:rsidRPr="00DB1B11">
        <w:rPr>
          <w:lang w:val="es-CR"/>
        </w:rPr>
        <w:t>Wiley.</w:t>
      </w:r>
      <w:bookmarkEnd w:id="217"/>
    </w:p>
    <w:p w14:paraId="3FB6E78D" w14:textId="77777777" w:rsidR="00717370" w:rsidRPr="00DB1B11" w:rsidRDefault="00717370" w:rsidP="00DB1B11">
      <w:pPr>
        <w:pStyle w:val="Figura1"/>
        <w:rPr>
          <w:lang w:val="es-CR"/>
        </w:rPr>
      </w:pPr>
      <w:bookmarkStart w:id="218" w:name="_Toc201774716"/>
      <w:r w:rsidRPr="00DB1B11">
        <w:rPr>
          <w:lang w:val="es-CR"/>
        </w:rPr>
        <w:t xml:space="preserve">McKinsey Global Institute. (2017). </w:t>
      </w:r>
      <w:r w:rsidRPr="00DB1B11">
        <w:rPr>
          <w:i/>
          <w:iCs/>
          <w:lang w:val="es-CR"/>
        </w:rPr>
        <w:t>Reinventing construction: A route to higher productivity</w:t>
      </w:r>
      <w:r w:rsidRPr="00DB1B11">
        <w:rPr>
          <w:lang w:val="es-CR"/>
        </w:rPr>
        <w:t>. https://www.mckinsey.com/industries/engineering-construction-and-building-materials/our-insights/reinventing-construction-through-a-productivity-revolution</w:t>
      </w:r>
      <w:bookmarkEnd w:id="218"/>
    </w:p>
    <w:p w14:paraId="66DDEA8E" w14:textId="77777777" w:rsidR="00717370" w:rsidRPr="00DB1B11" w:rsidRDefault="00717370" w:rsidP="00DB1B11">
      <w:pPr>
        <w:pStyle w:val="Figura1"/>
        <w:rPr>
          <w:lang w:val="es-CR"/>
        </w:rPr>
      </w:pPr>
      <w:bookmarkStart w:id="219" w:name="_Toc201774717"/>
      <w:r w:rsidRPr="00DB1B11">
        <w:rPr>
          <w:lang w:val="es-CR"/>
        </w:rPr>
        <w:t xml:space="preserve">Mendoza, A., &amp; Sánchez, C. (2019). La confiabilidad en la investigación científica: Enfoques metodológicos. </w:t>
      </w:r>
      <w:r w:rsidRPr="00DB1B11">
        <w:rPr>
          <w:i/>
          <w:iCs/>
          <w:lang w:val="es-CR"/>
        </w:rPr>
        <w:t>Revista de Investigación Educativa</w:t>
      </w:r>
      <w:r w:rsidRPr="00DB1B11">
        <w:rPr>
          <w:lang w:val="es-CR"/>
        </w:rPr>
        <w:t xml:space="preserve">, </w:t>
      </w:r>
      <w:r w:rsidRPr="00DB1B11">
        <w:rPr>
          <w:i/>
          <w:iCs/>
          <w:lang w:val="es-CR"/>
        </w:rPr>
        <w:t>37</w:t>
      </w:r>
      <w:r w:rsidRPr="00DB1B11">
        <w:rPr>
          <w:lang w:val="es-CR"/>
        </w:rPr>
        <w:t>(1), 25–38. https://doi.org/10.6018/rie.37.1.353771</w:t>
      </w:r>
      <w:bookmarkEnd w:id="219"/>
    </w:p>
    <w:p w14:paraId="6A7C3DB9" w14:textId="77777777" w:rsidR="00717370" w:rsidRPr="00AE4839" w:rsidRDefault="00717370" w:rsidP="00DB1B11">
      <w:pPr>
        <w:pStyle w:val="Figura1"/>
        <w:rPr>
          <w:lang w:val="da-DK"/>
        </w:rPr>
      </w:pPr>
      <w:bookmarkStart w:id="220" w:name="_Toc201774718"/>
      <w:r w:rsidRPr="00DB1B11">
        <w:rPr>
          <w:lang w:val="es-CR"/>
        </w:rPr>
        <w:t xml:space="preserve">Mollaoglu, S., Miller, V. D., &amp; Sun, W. (2017). </w:t>
      </w:r>
      <w:r w:rsidRPr="00AE4839">
        <w:rPr>
          <w:lang w:val="da-DK"/>
        </w:rPr>
        <w:t xml:space="preserve">Exploring the communication breakdown in integrated project delivery: Using social network analysis. </w:t>
      </w:r>
      <w:r w:rsidRPr="00AE4839">
        <w:rPr>
          <w:i/>
          <w:iCs/>
          <w:lang w:val="da-DK"/>
        </w:rPr>
        <w:t>Journal of Construction Engineering and Management</w:t>
      </w:r>
      <w:r w:rsidRPr="00AE4839">
        <w:rPr>
          <w:lang w:val="da-DK"/>
        </w:rPr>
        <w:t xml:space="preserve">, </w:t>
      </w:r>
      <w:r w:rsidRPr="00AE4839">
        <w:rPr>
          <w:i/>
          <w:iCs/>
          <w:lang w:val="da-DK"/>
        </w:rPr>
        <w:t>143</w:t>
      </w:r>
      <w:r w:rsidRPr="00AE4839">
        <w:rPr>
          <w:lang w:val="da-DK"/>
        </w:rPr>
        <w:t>(4), 04016114. https://doi.org/10.1061/(ASCE)CO.1943-7862.0001268</w:t>
      </w:r>
      <w:bookmarkEnd w:id="220"/>
    </w:p>
    <w:p w14:paraId="3B58D0E0" w14:textId="77777777" w:rsidR="00717370" w:rsidRPr="00DB1B11" w:rsidRDefault="00717370" w:rsidP="00DB1B11">
      <w:pPr>
        <w:pStyle w:val="Figura1"/>
        <w:rPr>
          <w:lang w:val="es-CR"/>
        </w:rPr>
      </w:pPr>
      <w:bookmarkStart w:id="221" w:name="_Toc201774719"/>
      <w:r w:rsidRPr="00AE4839">
        <w:rPr>
          <w:lang w:val="da-DK"/>
        </w:rPr>
        <w:t xml:space="preserve">Project Management Institute. (2021). </w:t>
      </w:r>
      <w:r w:rsidRPr="00AE4839">
        <w:rPr>
          <w:i/>
          <w:iCs/>
          <w:lang w:val="da-DK"/>
        </w:rPr>
        <w:t>A Guide to the Project Management Body of Knowledge (PMBOK® Guide)</w:t>
      </w:r>
      <w:r w:rsidRPr="00AE4839">
        <w:rPr>
          <w:lang w:val="da-DK"/>
        </w:rPr>
        <w:t xml:space="preserve"> (7.ª ed.). </w:t>
      </w:r>
      <w:r w:rsidRPr="00DB1B11">
        <w:rPr>
          <w:lang w:val="es-CR"/>
        </w:rPr>
        <w:t>Project Management Institute.</w:t>
      </w:r>
      <w:bookmarkEnd w:id="221"/>
    </w:p>
    <w:p w14:paraId="59520614" w14:textId="77777777" w:rsidR="00717370" w:rsidRPr="00DB1B11" w:rsidRDefault="00717370" w:rsidP="00DB1B11">
      <w:pPr>
        <w:pStyle w:val="Figura1"/>
        <w:rPr>
          <w:lang w:val="es-CR"/>
        </w:rPr>
      </w:pPr>
      <w:bookmarkStart w:id="222" w:name="_Toc201774720"/>
      <w:r w:rsidRPr="00DB1B11">
        <w:rPr>
          <w:lang w:val="es-CR"/>
        </w:rPr>
        <w:t xml:space="preserve">Project Management Institute. (2023). </w:t>
      </w:r>
      <w:r w:rsidRPr="00DB1B11">
        <w:rPr>
          <w:i/>
          <w:iCs/>
          <w:lang w:val="es-CR"/>
        </w:rPr>
        <w:t>Guía práctica de grupos de procesos</w:t>
      </w:r>
      <w:r w:rsidRPr="00DB1B11">
        <w:rPr>
          <w:lang w:val="es-CR"/>
        </w:rPr>
        <w:t>. Project Management Institute.</w:t>
      </w:r>
      <w:bookmarkEnd w:id="222"/>
    </w:p>
    <w:p w14:paraId="6EB6638D" w14:textId="77777777" w:rsidR="002A5A75" w:rsidRDefault="00990D5A" w:rsidP="0098201D">
      <w:pPr>
        <w:pStyle w:val="Ttulo1"/>
        <w:numPr>
          <w:ilvl w:val="0"/>
          <w:numId w:val="0"/>
        </w:numPr>
        <w:jc w:val="center"/>
      </w:pPr>
      <w:bookmarkStart w:id="223" w:name="_heading=h.wdz2w0gozfl1" w:colFirst="0" w:colLast="0"/>
      <w:bookmarkEnd w:id="223"/>
      <w:r w:rsidRPr="00DB1B11">
        <w:br w:type="page"/>
      </w:r>
      <w:bookmarkStart w:id="224" w:name="_Toc200286381"/>
      <w:bookmarkStart w:id="225" w:name="_Toc212406398"/>
      <w:r>
        <w:lastRenderedPageBreak/>
        <w:t>Anexos</w:t>
      </w:r>
      <w:bookmarkEnd w:id="224"/>
      <w:bookmarkEnd w:id="225"/>
    </w:p>
    <w:p w14:paraId="00000207" w14:textId="4C297D3D" w:rsidR="00A2355F" w:rsidRDefault="00D8594D" w:rsidP="00000161">
      <w:pPr>
        <w:pStyle w:val="Ttulo3"/>
      </w:pPr>
      <w:r>
        <w:br/>
      </w:r>
      <w:bookmarkStart w:id="226" w:name="_Toc200286382"/>
      <w:bookmarkStart w:id="227" w:name="_Toc212406399"/>
      <w:r w:rsidR="00990D5A">
        <w:t>Anexo 1: ACTA (CHÁRTER) DEL PFG</w:t>
      </w:r>
      <w:bookmarkEnd w:id="226"/>
      <w:bookmarkEnd w:id="227"/>
    </w:p>
    <w:p w14:paraId="00000208" w14:textId="77777777" w:rsidR="00A2355F" w:rsidRDefault="00990D5A">
      <w:pPr>
        <w:spacing w:line="240" w:lineRule="auto"/>
        <w:ind w:firstLine="0"/>
        <w:jc w:val="center"/>
        <w:rPr>
          <w:b/>
          <w:sz w:val="28"/>
          <w:szCs w:val="28"/>
        </w:rPr>
      </w:pPr>
      <w:r>
        <w:rPr>
          <w:b/>
          <w:sz w:val="28"/>
          <w:szCs w:val="28"/>
        </w:rPr>
        <w:t xml:space="preserve">ACTA DE LA PROPUESTA DE </w:t>
      </w:r>
    </w:p>
    <w:p w14:paraId="00000209" w14:textId="77777777" w:rsidR="00A2355F" w:rsidRDefault="00990D5A">
      <w:pPr>
        <w:spacing w:line="240" w:lineRule="auto"/>
        <w:ind w:firstLine="0"/>
        <w:jc w:val="center"/>
        <w:rPr>
          <w:b/>
          <w:sz w:val="28"/>
          <w:szCs w:val="28"/>
        </w:rPr>
      </w:pPr>
      <w:r>
        <w:rPr>
          <w:b/>
          <w:sz w:val="28"/>
          <w:szCs w:val="28"/>
        </w:rPr>
        <w:t>PROYECTO FINAL DE GRADUACIÓN (PFG)</w:t>
      </w:r>
    </w:p>
    <w:p w14:paraId="0000020A" w14:textId="77777777" w:rsidR="00A2355F" w:rsidRDefault="00A2355F">
      <w:pPr>
        <w:spacing w:line="240" w:lineRule="auto"/>
        <w:ind w:firstLine="0"/>
        <w:jc w:val="center"/>
        <w:rPr>
          <w:b/>
          <w:sz w:val="28"/>
          <w:szCs w:val="28"/>
        </w:rPr>
      </w:pPr>
    </w:p>
    <w:p w14:paraId="0000020B" w14:textId="77777777" w:rsidR="00A2355F" w:rsidRDefault="00990D5A">
      <w:pPr>
        <w:numPr>
          <w:ilvl w:val="0"/>
          <w:numId w:val="5"/>
        </w:numPr>
        <w:spacing w:line="240" w:lineRule="auto"/>
        <w:rPr>
          <w:sz w:val="24"/>
        </w:rPr>
      </w:pPr>
      <w:r>
        <w:rPr>
          <w:sz w:val="24"/>
        </w:rPr>
        <w:t>Nombre del (de la) estudiante</w:t>
      </w:r>
    </w:p>
    <w:p w14:paraId="0000020C" w14:textId="77777777" w:rsidR="00A2355F" w:rsidRDefault="00A2355F">
      <w:pPr>
        <w:spacing w:line="240" w:lineRule="auto"/>
        <w:ind w:left="720" w:firstLine="0"/>
        <w:rPr>
          <w:sz w:val="24"/>
        </w:rPr>
      </w:pPr>
    </w:p>
    <w:tbl>
      <w:tblPr>
        <w:tblStyle w:val="19"/>
        <w:tblW w:w="863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32"/>
      </w:tblGrid>
      <w:tr w:rsidR="00A2355F" w14:paraId="4B9C8473" w14:textId="77777777">
        <w:tc>
          <w:tcPr>
            <w:tcW w:w="8632" w:type="dxa"/>
          </w:tcPr>
          <w:p w14:paraId="0000020D" w14:textId="77777777" w:rsidR="00A2355F" w:rsidRDefault="00990D5A">
            <w:pPr>
              <w:spacing w:line="240" w:lineRule="auto"/>
              <w:ind w:firstLine="0"/>
            </w:pPr>
            <w:r>
              <w:t xml:space="preserve">Natalia Alonso Gamboa </w:t>
            </w:r>
          </w:p>
        </w:tc>
      </w:tr>
    </w:tbl>
    <w:p w14:paraId="0000020E" w14:textId="77777777" w:rsidR="00A2355F" w:rsidRDefault="00A2355F">
      <w:pPr>
        <w:spacing w:line="240" w:lineRule="auto"/>
        <w:ind w:left="720" w:firstLine="0"/>
        <w:rPr>
          <w:sz w:val="24"/>
        </w:rPr>
      </w:pPr>
    </w:p>
    <w:p w14:paraId="0000020F" w14:textId="77777777" w:rsidR="00A2355F" w:rsidRDefault="00990D5A">
      <w:pPr>
        <w:numPr>
          <w:ilvl w:val="0"/>
          <w:numId w:val="5"/>
        </w:numPr>
        <w:spacing w:line="240" w:lineRule="auto"/>
        <w:rPr>
          <w:sz w:val="24"/>
        </w:rPr>
      </w:pPr>
      <w:r>
        <w:rPr>
          <w:sz w:val="24"/>
        </w:rPr>
        <w:t xml:space="preserve">Nombre del PFG </w:t>
      </w:r>
    </w:p>
    <w:p w14:paraId="00000210" w14:textId="77777777" w:rsidR="00A2355F" w:rsidRDefault="00A2355F">
      <w:pPr>
        <w:spacing w:line="240" w:lineRule="auto"/>
        <w:ind w:firstLine="0"/>
        <w:rPr>
          <w:sz w:val="24"/>
        </w:rPr>
      </w:pPr>
    </w:p>
    <w:tbl>
      <w:tblPr>
        <w:tblStyle w:val="18"/>
        <w:tblW w:w="8648"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8"/>
      </w:tblGrid>
      <w:tr w:rsidR="00A2355F" w14:paraId="4E920FFC" w14:textId="77777777">
        <w:tc>
          <w:tcPr>
            <w:tcW w:w="8648" w:type="dxa"/>
          </w:tcPr>
          <w:p w14:paraId="00000211" w14:textId="77777777" w:rsidR="00A2355F" w:rsidRDefault="00990D5A">
            <w:pPr>
              <w:spacing w:line="240" w:lineRule="auto"/>
              <w:ind w:firstLine="0"/>
              <w:rPr>
                <w:sz w:val="24"/>
                <w:highlight w:val="white"/>
              </w:rPr>
            </w:pPr>
            <w:r>
              <w:rPr>
                <w:highlight w:val="white"/>
              </w:rPr>
              <w:t>Propuesta de mejora del proceso de planificación y control en proyectos “Design &amp; Build” en Contract Workplaces en el sector de diseño y construcción de oficinas corporativas.</w:t>
            </w:r>
          </w:p>
        </w:tc>
      </w:tr>
    </w:tbl>
    <w:p w14:paraId="00000212" w14:textId="77777777" w:rsidR="00A2355F" w:rsidRDefault="00A2355F">
      <w:pPr>
        <w:spacing w:line="240" w:lineRule="auto"/>
        <w:ind w:firstLine="0"/>
        <w:rPr>
          <w:sz w:val="24"/>
        </w:rPr>
      </w:pPr>
    </w:p>
    <w:p w14:paraId="00000213" w14:textId="77777777" w:rsidR="00A2355F" w:rsidRDefault="00990D5A">
      <w:pPr>
        <w:numPr>
          <w:ilvl w:val="0"/>
          <w:numId w:val="5"/>
        </w:numPr>
        <w:spacing w:line="240" w:lineRule="auto"/>
        <w:rPr>
          <w:sz w:val="24"/>
        </w:rPr>
      </w:pPr>
      <w:r>
        <w:rPr>
          <w:sz w:val="24"/>
        </w:rPr>
        <w:t>Área temática del sector o actividad</w:t>
      </w:r>
    </w:p>
    <w:p w14:paraId="00000214" w14:textId="77777777" w:rsidR="00A2355F" w:rsidRDefault="00A2355F">
      <w:pPr>
        <w:spacing w:line="240" w:lineRule="auto"/>
        <w:ind w:left="720" w:firstLine="0"/>
        <w:rPr>
          <w:sz w:val="24"/>
        </w:rPr>
      </w:pPr>
    </w:p>
    <w:tbl>
      <w:tblPr>
        <w:tblStyle w:val="17"/>
        <w:tblW w:w="8648"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8"/>
      </w:tblGrid>
      <w:tr w:rsidR="00A2355F" w14:paraId="547C1914" w14:textId="77777777">
        <w:tc>
          <w:tcPr>
            <w:tcW w:w="8648" w:type="dxa"/>
          </w:tcPr>
          <w:p w14:paraId="00000215" w14:textId="77777777" w:rsidR="00A2355F" w:rsidRDefault="00990D5A">
            <w:pPr>
              <w:spacing w:line="240" w:lineRule="auto"/>
              <w:ind w:firstLine="0"/>
              <w:rPr>
                <w:highlight w:val="white"/>
              </w:rPr>
            </w:pPr>
            <w:r>
              <w:rPr>
                <w:highlight w:val="white"/>
              </w:rPr>
              <w:t>Diseño y Construcción</w:t>
            </w:r>
          </w:p>
          <w:p w14:paraId="00000216" w14:textId="77777777" w:rsidR="00A2355F" w:rsidRDefault="00A2355F">
            <w:pPr>
              <w:spacing w:line="240" w:lineRule="auto"/>
              <w:ind w:firstLine="0"/>
              <w:rPr>
                <w:sz w:val="24"/>
              </w:rPr>
            </w:pPr>
          </w:p>
        </w:tc>
      </w:tr>
    </w:tbl>
    <w:p w14:paraId="00000217" w14:textId="77777777" w:rsidR="00A2355F" w:rsidRDefault="00A2355F">
      <w:pPr>
        <w:spacing w:line="240" w:lineRule="auto"/>
        <w:ind w:firstLine="0"/>
        <w:rPr>
          <w:sz w:val="24"/>
        </w:rPr>
      </w:pPr>
    </w:p>
    <w:p w14:paraId="00000218" w14:textId="77777777" w:rsidR="00A2355F" w:rsidRDefault="00990D5A">
      <w:pPr>
        <w:numPr>
          <w:ilvl w:val="0"/>
          <w:numId w:val="5"/>
        </w:numPr>
        <w:spacing w:line="240" w:lineRule="auto"/>
        <w:rPr>
          <w:sz w:val="24"/>
        </w:rPr>
      </w:pPr>
      <w:r>
        <w:rPr>
          <w:sz w:val="24"/>
        </w:rPr>
        <w:t>Firma de la persona estudiante</w:t>
      </w:r>
    </w:p>
    <w:p w14:paraId="00000219" w14:textId="77777777" w:rsidR="00A2355F" w:rsidRDefault="00A2355F">
      <w:pPr>
        <w:spacing w:line="240" w:lineRule="auto"/>
        <w:ind w:firstLine="0"/>
        <w:rPr>
          <w:sz w:val="24"/>
        </w:rPr>
      </w:pPr>
    </w:p>
    <w:tbl>
      <w:tblPr>
        <w:tblStyle w:val="16"/>
        <w:tblW w:w="863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32"/>
      </w:tblGrid>
      <w:tr w:rsidR="00A2355F" w14:paraId="37DAE8A3" w14:textId="77777777">
        <w:tc>
          <w:tcPr>
            <w:tcW w:w="8632" w:type="dxa"/>
          </w:tcPr>
          <w:p w14:paraId="0000021A" w14:textId="77777777" w:rsidR="00A2355F" w:rsidRDefault="00990D5A">
            <w:pPr>
              <w:spacing w:line="240" w:lineRule="auto"/>
              <w:ind w:firstLine="0"/>
            </w:pPr>
            <w:r>
              <w:t>Natalia Alonso Gamboa</w:t>
            </w:r>
          </w:p>
        </w:tc>
      </w:tr>
    </w:tbl>
    <w:p w14:paraId="0000021B" w14:textId="77777777" w:rsidR="00A2355F" w:rsidRDefault="00A2355F">
      <w:pPr>
        <w:spacing w:line="240" w:lineRule="auto"/>
        <w:ind w:left="720" w:firstLine="0"/>
        <w:rPr>
          <w:sz w:val="24"/>
        </w:rPr>
      </w:pPr>
    </w:p>
    <w:p w14:paraId="0000021C" w14:textId="77777777" w:rsidR="00A2355F" w:rsidRDefault="00990D5A">
      <w:pPr>
        <w:numPr>
          <w:ilvl w:val="0"/>
          <w:numId w:val="5"/>
        </w:numPr>
        <w:spacing w:line="240" w:lineRule="auto"/>
        <w:rPr>
          <w:sz w:val="24"/>
        </w:rPr>
      </w:pPr>
      <w:r>
        <w:rPr>
          <w:sz w:val="24"/>
        </w:rPr>
        <w:t xml:space="preserve">Nombre de la persona docente SG </w:t>
      </w:r>
    </w:p>
    <w:p w14:paraId="0000021D" w14:textId="77777777" w:rsidR="00A2355F" w:rsidRDefault="00A2355F">
      <w:pPr>
        <w:spacing w:line="240" w:lineRule="auto"/>
        <w:ind w:left="720" w:firstLine="0"/>
        <w:rPr>
          <w:sz w:val="24"/>
        </w:rPr>
      </w:pPr>
    </w:p>
    <w:tbl>
      <w:tblPr>
        <w:tblStyle w:val="15"/>
        <w:tblW w:w="863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32"/>
      </w:tblGrid>
      <w:tr w:rsidR="00A2355F" w14:paraId="641B7CEB" w14:textId="77777777">
        <w:tc>
          <w:tcPr>
            <w:tcW w:w="8632" w:type="dxa"/>
          </w:tcPr>
          <w:p w14:paraId="0000021E" w14:textId="77777777" w:rsidR="00A2355F" w:rsidRDefault="00990D5A">
            <w:pPr>
              <w:spacing w:line="240" w:lineRule="auto"/>
              <w:ind w:firstLine="0"/>
            </w:pPr>
            <w:r>
              <w:t>Álvaro Mata</w:t>
            </w:r>
          </w:p>
        </w:tc>
      </w:tr>
    </w:tbl>
    <w:p w14:paraId="0000021F" w14:textId="77777777" w:rsidR="00A2355F" w:rsidRDefault="00A2355F">
      <w:pPr>
        <w:spacing w:line="240" w:lineRule="auto"/>
        <w:ind w:left="720" w:firstLine="0"/>
        <w:rPr>
          <w:sz w:val="24"/>
        </w:rPr>
      </w:pPr>
    </w:p>
    <w:p w14:paraId="00000220" w14:textId="77777777" w:rsidR="00A2355F" w:rsidRDefault="00990D5A">
      <w:pPr>
        <w:numPr>
          <w:ilvl w:val="0"/>
          <w:numId w:val="5"/>
        </w:numPr>
        <w:spacing w:line="240" w:lineRule="auto"/>
        <w:rPr>
          <w:sz w:val="24"/>
        </w:rPr>
      </w:pPr>
      <w:r>
        <w:rPr>
          <w:sz w:val="24"/>
        </w:rPr>
        <w:t>Firma de la persona docente</w:t>
      </w:r>
    </w:p>
    <w:p w14:paraId="00000221" w14:textId="77777777" w:rsidR="00A2355F" w:rsidRDefault="00A2355F">
      <w:pPr>
        <w:spacing w:line="240" w:lineRule="auto"/>
        <w:ind w:firstLine="0"/>
        <w:rPr>
          <w:sz w:val="24"/>
        </w:rPr>
      </w:pPr>
    </w:p>
    <w:tbl>
      <w:tblPr>
        <w:tblStyle w:val="14"/>
        <w:tblW w:w="863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32"/>
      </w:tblGrid>
      <w:tr w:rsidR="00A2355F" w14:paraId="0D943D0F" w14:textId="77777777">
        <w:tc>
          <w:tcPr>
            <w:tcW w:w="8632" w:type="dxa"/>
          </w:tcPr>
          <w:p w14:paraId="00000222" w14:textId="0EA7EF31" w:rsidR="00A2355F" w:rsidRDefault="00B60394">
            <w:pPr>
              <w:spacing w:line="240" w:lineRule="auto"/>
              <w:ind w:firstLine="0"/>
              <w:rPr>
                <w:sz w:val="24"/>
              </w:rPr>
            </w:pPr>
            <w:r>
              <w:rPr>
                <w:noProof/>
                <w:sz w:val="24"/>
              </w:rPr>
              <w:drawing>
                <wp:inline distT="0" distB="0" distL="0" distR="0" wp14:anchorId="5B8FD549" wp14:editId="6257468E">
                  <wp:extent cx="1457325" cy="683121"/>
                  <wp:effectExtent l="0" t="0" r="0" b="3175"/>
                  <wp:docPr id="1829057137" name="Imagen 10"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057137" name="Imagen 10" descr="Diagrama&#10;&#10;El contenido generado por IA puede ser incorrecto."/>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465190" cy="686808"/>
                          </a:xfrm>
                          <a:prstGeom prst="rect">
                            <a:avLst/>
                          </a:prstGeom>
                        </pic:spPr>
                      </pic:pic>
                    </a:graphicData>
                  </a:graphic>
                </wp:inline>
              </w:drawing>
            </w:r>
          </w:p>
        </w:tc>
      </w:tr>
    </w:tbl>
    <w:p w14:paraId="00000223" w14:textId="77777777" w:rsidR="00A2355F" w:rsidRDefault="00A2355F">
      <w:pPr>
        <w:spacing w:line="240" w:lineRule="auto"/>
        <w:ind w:left="720" w:firstLine="0"/>
        <w:rPr>
          <w:sz w:val="24"/>
        </w:rPr>
      </w:pPr>
    </w:p>
    <w:p w14:paraId="00000224" w14:textId="77777777" w:rsidR="00A2355F" w:rsidRDefault="00990D5A">
      <w:pPr>
        <w:numPr>
          <w:ilvl w:val="0"/>
          <w:numId w:val="5"/>
        </w:numPr>
        <w:spacing w:line="240" w:lineRule="auto"/>
        <w:rPr>
          <w:sz w:val="24"/>
        </w:rPr>
      </w:pPr>
      <w:r>
        <w:rPr>
          <w:sz w:val="24"/>
        </w:rPr>
        <w:t xml:space="preserve">Fecha de la aprobación del Acta: </w:t>
      </w:r>
    </w:p>
    <w:tbl>
      <w:tblPr>
        <w:tblStyle w:val="13"/>
        <w:tblW w:w="5246" w:type="dxa"/>
        <w:tblInd w:w="4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6"/>
      </w:tblGrid>
      <w:tr w:rsidR="00A2355F" w14:paraId="0AF71B54" w14:textId="77777777">
        <w:tc>
          <w:tcPr>
            <w:tcW w:w="5246" w:type="dxa"/>
          </w:tcPr>
          <w:p w14:paraId="00000225" w14:textId="4C397B40" w:rsidR="00A2355F" w:rsidRDefault="00B60394">
            <w:pPr>
              <w:spacing w:line="240" w:lineRule="auto"/>
              <w:ind w:firstLine="0"/>
              <w:rPr>
                <w:sz w:val="24"/>
              </w:rPr>
            </w:pPr>
            <w:r>
              <w:rPr>
                <w:sz w:val="24"/>
              </w:rPr>
              <w:t>27 de mayo de 2025</w:t>
            </w:r>
          </w:p>
        </w:tc>
      </w:tr>
    </w:tbl>
    <w:p w14:paraId="00000226" w14:textId="77777777" w:rsidR="00A2355F" w:rsidRDefault="00A2355F">
      <w:pPr>
        <w:spacing w:line="240" w:lineRule="auto"/>
        <w:ind w:firstLine="0"/>
        <w:rPr>
          <w:sz w:val="24"/>
        </w:rPr>
      </w:pPr>
    </w:p>
    <w:p w14:paraId="00000227" w14:textId="77777777" w:rsidR="00A2355F" w:rsidRDefault="00990D5A">
      <w:pPr>
        <w:numPr>
          <w:ilvl w:val="0"/>
          <w:numId w:val="5"/>
        </w:numPr>
        <w:spacing w:line="240" w:lineRule="auto"/>
        <w:rPr>
          <w:sz w:val="24"/>
        </w:rPr>
      </w:pPr>
      <w:r>
        <w:rPr>
          <w:sz w:val="24"/>
        </w:rPr>
        <w:t>Fecha de inicio y fin del proyecto</w:t>
      </w:r>
    </w:p>
    <w:tbl>
      <w:tblPr>
        <w:tblStyle w:val="12"/>
        <w:tblW w:w="5246" w:type="dxa"/>
        <w:tblInd w:w="4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3"/>
        <w:gridCol w:w="2623"/>
      </w:tblGrid>
      <w:tr w:rsidR="00A2355F" w14:paraId="44E025CE" w14:textId="77777777">
        <w:tc>
          <w:tcPr>
            <w:tcW w:w="2623" w:type="dxa"/>
          </w:tcPr>
          <w:p w14:paraId="00000228" w14:textId="593F01FF" w:rsidR="00A2355F" w:rsidRDefault="00A53C01">
            <w:pPr>
              <w:spacing w:line="240" w:lineRule="auto"/>
              <w:ind w:firstLine="0"/>
              <w:rPr>
                <w:sz w:val="24"/>
                <w:highlight w:val="yellow"/>
              </w:rPr>
            </w:pPr>
            <w:r w:rsidRPr="00A53C01">
              <w:rPr>
                <w:sz w:val="24"/>
              </w:rPr>
              <w:t>24</w:t>
            </w:r>
            <w:r>
              <w:rPr>
                <w:sz w:val="24"/>
              </w:rPr>
              <w:t xml:space="preserve"> de </w:t>
            </w:r>
            <w:r w:rsidR="00560412">
              <w:rPr>
                <w:sz w:val="24"/>
              </w:rPr>
              <w:t>junio</w:t>
            </w:r>
            <w:r>
              <w:rPr>
                <w:sz w:val="24"/>
              </w:rPr>
              <w:t xml:space="preserve"> de 2025</w:t>
            </w:r>
          </w:p>
        </w:tc>
        <w:tc>
          <w:tcPr>
            <w:tcW w:w="2623" w:type="dxa"/>
          </w:tcPr>
          <w:p w14:paraId="00000229" w14:textId="613C7591" w:rsidR="00A2355F" w:rsidRDefault="00C27E4B">
            <w:pPr>
              <w:spacing w:line="240" w:lineRule="auto"/>
              <w:ind w:firstLine="0"/>
              <w:rPr>
                <w:sz w:val="24"/>
                <w:highlight w:val="yellow"/>
              </w:rPr>
            </w:pPr>
            <w:r w:rsidRPr="00C27E4B">
              <w:rPr>
                <w:sz w:val="24"/>
              </w:rPr>
              <w:t xml:space="preserve">24 de </w:t>
            </w:r>
            <w:r w:rsidR="00560412" w:rsidRPr="00C27E4B">
              <w:rPr>
                <w:sz w:val="24"/>
              </w:rPr>
              <w:t>septiembre</w:t>
            </w:r>
          </w:p>
        </w:tc>
      </w:tr>
    </w:tbl>
    <w:p w14:paraId="0000022A" w14:textId="77777777" w:rsidR="00A2355F" w:rsidRDefault="00A2355F">
      <w:pPr>
        <w:spacing w:line="240" w:lineRule="auto"/>
        <w:ind w:firstLine="0"/>
        <w:rPr>
          <w:sz w:val="24"/>
        </w:rPr>
      </w:pPr>
    </w:p>
    <w:p w14:paraId="0000022B" w14:textId="77777777" w:rsidR="00A2355F" w:rsidRDefault="00A2355F">
      <w:pPr>
        <w:spacing w:line="240" w:lineRule="auto"/>
        <w:ind w:firstLine="0"/>
        <w:rPr>
          <w:sz w:val="24"/>
        </w:rPr>
      </w:pPr>
    </w:p>
    <w:p w14:paraId="0000022C" w14:textId="77777777" w:rsidR="00A2355F" w:rsidRDefault="00A2355F">
      <w:pPr>
        <w:spacing w:line="240" w:lineRule="auto"/>
        <w:ind w:firstLine="0"/>
        <w:rPr>
          <w:sz w:val="24"/>
        </w:rPr>
      </w:pPr>
    </w:p>
    <w:p w14:paraId="0000022D" w14:textId="77777777" w:rsidR="00A2355F" w:rsidRDefault="00A2355F">
      <w:pPr>
        <w:spacing w:line="240" w:lineRule="auto"/>
        <w:ind w:firstLine="0"/>
        <w:rPr>
          <w:sz w:val="24"/>
        </w:rPr>
      </w:pPr>
    </w:p>
    <w:p w14:paraId="0000022E" w14:textId="77777777" w:rsidR="00A2355F" w:rsidRDefault="00A2355F">
      <w:pPr>
        <w:spacing w:line="240" w:lineRule="auto"/>
        <w:ind w:firstLine="0"/>
        <w:rPr>
          <w:sz w:val="24"/>
        </w:rPr>
      </w:pPr>
    </w:p>
    <w:p w14:paraId="0000022F" w14:textId="77777777" w:rsidR="00A2355F" w:rsidRDefault="00990D5A">
      <w:pPr>
        <w:numPr>
          <w:ilvl w:val="0"/>
          <w:numId w:val="5"/>
        </w:numPr>
        <w:spacing w:line="240" w:lineRule="auto"/>
        <w:rPr>
          <w:sz w:val="24"/>
        </w:rPr>
      </w:pPr>
      <w:r>
        <w:rPr>
          <w:sz w:val="24"/>
        </w:rPr>
        <w:t>Pregunta de investigación</w:t>
      </w:r>
    </w:p>
    <w:p w14:paraId="00000230" w14:textId="77777777" w:rsidR="00A2355F" w:rsidRDefault="00A2355F">
      <w:pPr>
        <w:spacing w:line="240" w:lineRule="auto"/>
        <w:ind w:left="720" w:firstLine="0"/>
        <w:rPr>
          <w:sz w:val="24"/>
        </w:rPr>
      </w:pPr>
    </w:p>
    <w:tbl>
      <w:tblPr>
        <w:tblStyle w:val="11"/>
        <w:tblW w:w="8648"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8"/>
      </w:tblGrid>
      <w:tr w:rsidR="00A2355F" w14:paraId="661723D4" w14:textId="77777777">
        <w:tc>
          <w:tcPr>
            <w:tcW w:w="8648" w:type="dxa"/>
          </w:tcPr>
          <w:p w14:paraId="00000231" w14:textId="5AEF3EB1" w:rsidR="00A2355F" w:rsidRDefault="00990D5A">
            <w:pPr>
              <w:tabs>
                <w:tab w:val="left" w:pos="720"/>
              </w:tabs>
              <w:spacing w:line="240" w:lineRule="auto"/>
              <w:ind w:firstLine="0"/>
              <w:rPr>
                <w:highlight w:val="white"/>
              </w:rPr>
            </w:pPr>
            <w:r>
              <w:rPr>
                <w:highlight w:val="white"/>
              </w:rPr>
              <w:t>¿Qué mejoras en los procesos de planificación y control pueden optimizar la integración entre diseño y ejecución, mejorar el desempeño en costo, tiempo y calidad, y facilitar la toma de decisiones en proyectos “Design &amp; Build” en Contract Workplaces?</w:t>
            </w:r>
          </w:p>
          <w:p w14:paraId="00000232" w14:textId="77777777" w:rsidR="00A2355F" w:rsidRDefault="00A2355F">
            <w:pPr>
              <w:spacing w:line="240" w:lineRule="auto"/>
              <w:ind w:firstLine="0"/>
              <w:rPr>
                <w:sz w:val="24"/>
              </w:rPr>
            </w:pPr>
          </w:p>
        </w:tc>
      </w:tr>
    </w:tbl>
    <w:p w14:paraId="00000233" w14:textId="77777777" w:rsidR="00A2355F" w:rsidRDefault="00990D5A">
      <w:pPr>
        <w:numPr>
          <w:ilvl w:val="0"/>
          <w:numId w:val="5"/>
        </w:numPr>
        <w:spacing w:line="240" w:lineRule="auto"/>
        <w:rPr>
          <w:sz w:val="24"/>
        </w:rPr>
      </w:pPr>
      <w:r>
        <w:rPr>
          <w:sz w:val="24"/>
        </w:rPr>
        <w:t>Hipótesis de investigación</w:t>
      </w:r>
    </w:p>
    <w:p w14:paraId="00000234" w14:textId="77777777" w:rsidR="00A2355F" w:rsidRDefault="00A2355F">
      <w:pPr>
        <w:spacing w:line="240" w:lineRule="auto"/>
        <w:ind w:firstLine="0"/>
        <w:rPr>
          <w:sz w:val="24"/>
        </w:rPr>
      </w:pPr>
    </w:p>
    <w:tbl>
      <w:tblPr>
        <w:tblStyle w:val="10"/>
        <w:tblW w:w="863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32"/>
      </w:tblGrid>
      <w:tr w:rsidR="00A2355F" w14:paraId="20C66D9C" w14:textId="77777777">
        <w:tc>
          <w:tcPr>
            <w:tcW w:w="8632" w:type="dxa"/>
          </w:tcPr>
          <w:p w14:paraId="00000235" w14:textId="20CF5D8A" w:rsidR="00A2355F" w:rsidRPr="00882CBF" w:rsidRDefault="00990D5A">
            <w:pPr>
              <w:tabs>
                <w:tab w:val="left" w:pos="720"/>
              </w:tabs>
              <w:spacing w:line="240" w:lineRule="auto"/>
              <w:ind w:firstLine="0"/>
            </w:pPr>
            <w:r w:rsidRPr="00882CBF">
              <w:t>Es posible proponer mejoras a los procesos de planificación y control de proyectos “Design &amp; Build” en Contract Workplaces, mediante el análisis de buenas prácticas en gestión de proyectos, con el fin de fortalecer la integración entre diseño y ejecución.</w:t>
            </w:r>
          </w:p>
          <w:p w14:paraId="00000236" w14:textId="77777777" w:rsidR="00A2355F" w:rsidRDefault="00A2355F">
            <w:pPr>
              <w:spacing w:line="240" w:lineRule="auto"/>
              <w:ind w:firstLine="0"/>
              <w:rPr>
                <w:sz w:val="24"/>
              </w:rPr>
            </w:pPr>
          </w:p>
        </w:tc>
      </w:tr>
    </w:tbl>
    <w:p w14:paraId="00000237" w14:textId="77777777" w:rsidR="00A2355F" w:rsidRDefault="00A2355F">
      <w:pPr>
        <w:spacing w:line="240" w:lineRule="auto"/>
        <w:ind w:firstLine="0"/>
        <w:rPr>
          <w:sz w:val="24"/>
        </w:rPr>
      </w:pPr>
    </w:p>
    <w:p w14:paraId="00000238" w14:textId="77777777" w:rsidR="00A2355F" w:rsidRDefault="00990D5A">
      <w:pPr>
        <w:numPr>
          <w:ilvl w:val="0"/>
          <w:numId w:val="5"/>
        </w:numPr>
        <w:spacing w:line="240" w:lineRule="auto"/>
        <w:rPr>
          <w:sz w:val="24"/>
        </w:rPr>
      </w:pPr>
      <w:r>
        <w:rPr>
          <w:sz w:val="24"/>
        </w:rPr>
        <w:t>Objetivo general</w:t>
      </w:r>
    </w:p>
    <w:tbl>
      <w:tblPr>
        <w:tblStyle w:val="9"/>
        <w:tblW w:w="8648"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8"/>
      </w:tblGrid>
      <w:tr w:rsidR="00A2355F" w14:paraId="7767BB3B" w14:textId="77777777">
        <w:tc>
          <w:tcPr>
            <w:tcW w:w="8648" w:type="dxa"/>
          </w:tcPr>
          <w:p w14:paraId="00000239" w14:textId="2FDB2DB0" w:rsidR="00A2355F" w:rsidRDefault="00990D5A">
            <w:pPr>
              <w:spacing w:line="240" w:lineRule="auto"/>
              <w:ind w:firstLine="0"/>
              <w:rPr>
                <w:highlight w:val="white"/>
              </w:rPr>
            </w:pPr>
            <w:bookmarkStart w:id="228" w:name="_Hlk202827458"/>
            <w:bookmarkStart w:id="229" w:name="_Hlk200277233"/>
            <w:r>
              <w:rPr>
                <w:highlight w:val="white"/>
              </w:rPr>
              <w:t>Proponer mejoras a los procesos planificación y control de proyectos bajo la modalidad “Design &amp; Build” en la empresa Contract Workplaces, con el fin de optimizar la integración entre diseño y ejecución, mejorar el desempeño en costo, tiempo y calidad, y facilitar la toma de decisiones a lo largo del ciclo de vida del proyecto.</w:t>
            </w:r>
            <w:bookmarkEnd w:id="228"/>
          </w:p>
        </w:tc>
      </w:tr>
    </w:tbl>
    <w:p w14:paraId="0000023A" w14:textId="77777777" w:rsidR="00A2355F" w:rsidRDefault="00A2355F">
      <w:pPr>
        <w:spacing w:line="240" w:lineRule="auto"/>
        <w:ind w:firstLine="0"/>
        <w:rPr>
          <w:sz w:val="24"/>
        </w:rPr>
      </w:pPr>
    </w:p>
    <w:p w14:paraId="0000023B" w14:textId="77777777" w:rsidR="00A2355F" w:rsidRDefault="00990D5A">
      <w:pPr>
        <w:numPr>
          <w:ilvl w:val="0"/>
          <w:numId w:val="5"/>
        </w:numPr>
        <w:spacing w:line="240" w:lineRule="auto"/>
        <w:rPr>
          <w:sz w:val="24"/>
        </w:rPr>
      </w:pPr>
      <w:r>
        <w:rPr>
          <w:sz w:val="24"/>
        </w:rPr>
        <w:t>Objetivos específicos</w:t>
      </w:r>
    </w:p>
    <w:tbl>
      <w:tblPr>
        <w:tblStyle w:val="8"/>
        <w:tblpPr w:leftFromText="141" w:rightFromText="141" w:vertAnchor="text" w:tblpX="553" w:tblpY="203"/>
        <w:tblW w:w="82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55"/>
      </w:tblGrid>
      <w:tr w:rsidR="00A2355F" w14:paraId="6186C429" w14:textId="77777777">
        <w:tc>
          <w:tcPr>
            <w:tcW w:w="8255" w:type="dxa"/>
          </w:tcPr>
          <w:p w14:paraId="0000023C" w14:textId="00F75816" w:rsidR="00A2355F" w:rsidRPr="00B732CA" w:rsidRDefault="00B732CA" w:rsidP="00B732CA">
            <w:pPr>
              <w:spacing w:line="240" w:lineRule="auto"/>
              <w:ind w:left="360" w:firstLine="0"/>
              <w:rPr>
                <w:highlight w:val="white"/>
              </w:rPr>
            </w:pPr>
            <w:r>
              <w:rPr>
                <w:highlight w:val="white"/>
              </w:rPr>
              <w:t>1.</w:t>
            </w:r>
            <w:r w:rsidRPr="00B732CA">
              <w:rPr>
                <w:highlight w:val="white"/>
              </w:rPr>
              <w:t xml:space="preserve">Analizar el </w:t>
            </w:r>
            <w:r w:rsidR="00020FA6" w:rsidRPr="00B732CA">
              <w:rPr>
                <w:highlight w:val="white"/>
              </w:rPr>
              <w:t xml:space="preserve">grupo de </w:t>
            </w:r>
            <w:r w:rsidRPr="00B732CA">
              <w:rPr>
                <w:highlight w:val="white"/>
              </w:rPr>
              <w:t>proceso</w:t>
            </w:r>
            <w:r w:rsidR="00020FA6" w:rsidRPr="00B732CA">
              <w:rPr>
                <w:highlight w:val="white"/>
              </w:rPr>
              <w:t>s</w:t>
            </w:r>
            <w:r w:rsidRPr="00B732CA">
              <w:rPr>
                <w:highlight w:val="white"/>
              </w:rPr>
              <w:t xml:space="preserve"> actual de planificación y control de proyectos “Design &amp; Build” en Contract Workplaces, para identificar las fortalezas, debilidades y oportunidades de mejora.</w:t>
            </w:r>
            <w:r w:rsidRPr="00B732CA">
              <w:rPr>
                <w:highlight w:val="white"/>
              </w:rPr>
              <w:br/>
            </w:r>
          </w:p>
          <w:p w14:paraId="0000023D" w14:textId="2BFAD0C5" w:rsidR="00A2355F" w:rsidRPr="00B732CA" w:rsidRDefault="00B732CA" w:rsidP="00B732CA">
            <w:pPr>
              <w:spacing w:line="240" w:lineRule="auto"/>
              <w:ind w:left="360" w:firstLine="0"/>
              <w:rPr>
                <w:highlight w:val="white"/>
              </w:rPr>
            </w:pPr>
            <w:r>
              <w:rPr>
                <w:highlight w:val="white"/>
              </w:rPr>
              <w:t>2.</w:t>
            </w:r>
            <w:r w:rsidRPr="00B732CA">
              <w:rPr>
                <w:highlight w:val="white"/>
              </w:rPr>
              <w:t>Determinar las necesidades de integración entre diseño y ejecución, para fortalecer la toma de decisiones durante la ejecución del proyecto.</w:t>
            </w:r>
            <w:r w:rsidRPr="00B732CA">
              <w:rPr>
                <w:highlight w:val="white"/>
              </w:rPr>
              <w:br/>
            </w:r>
          </w:p>
          <w:p w14:paraId="0000023E" w14:textId="4E4433D3" w:rsidR="00A2355F" w:rsidRPr="00B732CA" w:rsidRDefault="00B732CA" w:rsidP="00B732CA">
            <w:pPr>
              <w:spacing w:line="240" w:lineRule="auto"/>
              <w:ind w:left="360" w:firstLine="0"/>
              <w:rPr>
                <w:highlight w:val="white"/>
              </w:rPr>
            </w:pPr>
            <w:r>
              <w:rPr>
                <w:highlight w:val="white"/>
              </w:rPr>
              <w:t>3.</w:t>
            </w:r>
            <w:r w:rsidRPr="00B732CA">
              <w:rPr>
                <w:highlight w:val="white"/>
              </w:rPr>
              <w:t>Diseñar propuestas de mejora en los procesos de planificación y control, para optimizar la integración entre diseño y construcción y mejorar los resultados del proyecto.</w:t>
            </w:r>
            <w:r w:rsidRPr="00B732CA">
              <w:rPr>
                <w:highlight w:val="white"/>
              </w:rPr>
              <w:br/>
            </w:r>
          </w:p>
          <w:p w14:paraId="0000023F" w14:textId="5DFF2A37" w:rsidR="00A2355F" w:rsidRPr="00B732CA" w:rsidRDefault="00B732CA" w:rsidP="00B732CA">
            <w:pPr>
              <w:spacing w:line="240" w:lineRule="auto"/>
              <w:ind w:left="360" w:firstLine="0"/>
              <w:rPr>
                <w:highlight w:val="white"/>
              </w:rPr>
            </w:pPr>
            <w:r>
              <w:rPr>
                <w:highlight w:val="white"/>
              </w:rPr>
              <w:t>4.</w:t>
            </w:r>
            <w:r w:rsidRPr="00B732CA">
              <w:rPr>
                <w:highlight w:val="white"/>
              </w:rPr>
              <w:t>Desarrollar un plan de implementación de las mejoras propuestas, para facilitar su adopción en los proyectos futuros.</w:t>
            </w:r>
          </w:p>
          <w:p w14:paraId="00000240" w14:textId="77777777" w:rsidR="00A2355F" w:rsidRDefault="00A2355F" w:rsidP="00B732CA">
            <w:pPr>
              <w:spacing w:line="240" w:lineRule="auto"/>
              <w:ind w:left="709" w:firstLine="0"/>
              <w:rPr>
                <w:highlight w:val="white"/>
              </w:rPr>
            </w:pPr>
          </w:p>
          <w:p w14:paraId="00000242" w14:textId="1AE9C453" w:rsidR="00A2355F" w:rsidRPr="00B732CA" w:rsidRDefault="00B732CA" w:rsidP="00B732CA">
            <w:pPr>
              <w:pBdr>
                <w:top w:val="nil"/>
                <w:left w:val="nil"/>
                <w:bottom w:val="nil"/>
                <w:right w:val="nil"/>
                <w:between w:val="nil"/>
              </w:pBdr>
              <w:spacing w:line="240" w:lineRule="auto"/>
              <w:ind w:left="360" w:firstLine="0"/>
              <w:rPr>
                <w:sz w:val="24"/>
              </w:rPr>
            </w:pPr>
            <w:r>
              <w:t>5.</w:t>
            </w:r>
            <w:r w:rsidR="00882CBF" w:rsidRPr="004D0870">
              <w:t>Comparar los procesos actuales con las propuestas de mejora desarrolladas, para identificar sus principales diferencias y beneficios en la gestión de proyectos “Design &amp; Build” en Contract Workplaces.</w:t>
            </w:r>
          </w:p>
        </w:tc>
      </w:tr>
      <w:bookmarkEnd w:id="229"/>
    </w:tbl>
    <w:p w14:paraId="00000243" w14:textId="77777777" w:rsidR="00A2355F" w:rsidRDefault="00A2355F">
      <w:pPr>
        <w:spacing w:line="240" w:lineRule="auto"/>
        <w:ind w:left="720" w:firstLine="0"/>
        <w:rPr>
          <w:sz w:val="24"/>
        </w:rPr>
      </w:pPr>
    </w:p>
    <w:p w14:paraId="00000244" w14:textId="77777777" w:rsidR="00A2355F" w:rsidRDefault="00A2355F">
      <w:pPr>
        <w:spacing w:line="240" w:lineRule="auto"/>
        <w:ind w:firstLine="0"/>
        <w:rPr>
          <w:sz w:val="24"/>
        </w:rPr>
      </w:pPr>
    </w:p>
    <w:p w14:paraId="00000245" w14:textId="77777777" w:rsidR="00A2355F" w:rsidRDefault="00A2355F">
      <w:pPr>
        <w:spacing w:line="240" w:lineRule="auto"/>
        <w:ind w:firstLine="0"/>
        <w:rPr>
          <w:sz w:val="24"/>
        </w:rPr>
      </w:pPr>
    </w:p>
    <w:p w14:paraId="00000246" w14:textId="77777777" w:rsidR="00A2355F" w:rsidRDefault="00A2355F">
      <w:pPr>
        <w:spacing w:line="240" w:lineRule="auto"/>
        <w:ind w:firstLine="0"/>
        <w:rPr>
          <w:sz w:val="24"/>
        </w:rPr>
      </w:pPr>
    </w:p>
    <w:p w14:paraId="00000247" w14:textId="77777777" w:rsidR="00A2355F" w:rsidRDefault="00A2355F">
      <w:pPr>
        <w:spacing w:line="240" w:lineRule="auto"/>
        <w:ind w:firstLine="0"/>
        <w:rPr>
          <w:sz w:val="24"/>
        </w:rPr>
      </w:pPr>
    </w:p>
    <w:p w14:paraId="00000248" w14:textId="77777777" w:rsidR="00A2355F" w:rsidRDefault="00990D5A">
      <w:pPr>
        <w:numPr>
          <w:ilvl w:val="0"/>
          <w:numId w:val="5"/>
        </w:numPr>
        <w:spacing w:line="240" w:lineRule="auto"/>
        <w:jc w:val="both"/>
        <w:rPr>
          <w:sz w:val="24"/>
        </w:rPr>
      </w:pPr>
      <w:r>
        <w:rPr>
          <w:sz w:val="24"/>
        </w:rPr>
        <w:t>Justificación del PFG</w:t>
      </w:r>
    </w:p>
    <w:tbl>
      <w:tblPr>
        <w:tblStyle w:val="7"/>
        <w:tblpPr w:leftFromText="141" w:rightFromText="141" w:vertAnchor="text" w:tblpX="335" w:tblpY="114"/>
        <w:tblW w:w="869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92"/>
      </w:tblGrid>
      <w:tr w:rsidR="00A2355F" w14:paraId="0A20514F" w14:textId="77777777">
        <w:tc>
          <w:tcPr>
            <w:tcW w:w="8692" w:type="dxa"/>
          </w:tcPr>
          <w:p w14:paraId="00000249" w14:textId="29850470" w:rsidR="00A2355F" w:rsidRDefault="00990D5A" w:rsidP="004E4589">
            <w:pPr>
              <w:spacing w:line="240" w:lineRule="auto"/>
              <w:ind w:firstLine="0"/>
            </w:pPr>
            <w:r>
              <w:t xml:space="preserve">El presente Proyecto Final de Graduación tiene como propósito proponer mejoras en los procesos de planificación y control en proyectos desarrollados bajo la modalidad “Design &amp; Build” en la empresa Contract Workplaces. Este tipo de modalidad requiere </w:t>
            </w:r>
            <w:r>
              <w:lastRenderedPageBreak/>
              <w:t>una integración eficiente entre diseño y ejecución para lograr resultados óptimos en tiempo, costo y calidad. La importancia de este proyecto radica en que identifica oportunidades de mejora en los procesos de gestión de proyectos, lo cual puede impactar positivamente en la eficiencia operativa y en la toma de decisiones dentro de la empresa.</w:t>
            </w:r>
          </w:p>
          <w:p w14:paraId="0000024A" w14:textId="77777777" w:rsidR="00A2355F" w:rsidRDefault="00990D5A" w:rsidP="004E4589">
            <w:pPr>
              <w:spacing w:line="240" w:lineRule="auto"/>
              <w:ind w:firstLine="0"/>
            </w:pPr>
            <w:r>
              <w:t>Además, un estudio de la Universidad Estatal de Pensilvania demostró que los proyectos bajo la modalidad “Design &amp; Build” pueden ser en promedio un 33% más rápidos en su entrega total, un 12% más rápidos en la fase de construcción y presentan un costo unitario un 6% menor en comparación con los proyectos tradicionales tipo “Design-Bid-Build”. Estos datos refuerzan la necesidad de optimizar los procesos de planificación y control, ya que pueden generar impactos positivos y cuantificables en los resultados del proyecto (Sanvido &amp; Konchar, 1999).</w:t>
            </w:r>
          </w:p>
          <w:p w14:paraId="0000024B" w14:textId="77777777" w:rsidR="00A2355F" w:rsidRDefault="00990D5A" w:rsidP="004E4589">
            <w:pPr>
              <w:spacing w:line="240" w:lineRule="auto"/>
              <w:ind w:firstLine="0"/>
            </w:pPr>
            <w:r>
              <w:t>El desarrollo de este PFG permitirá estructurar una propuesta basada en buenas prácticas y marcos metodológicos validados, aportando una herramienta útil para Contract Workplaces. Asimismo, el documento servirá como base para futuras implementaciones o estudios más profundos en torno a la gestión integral de proyectos de oficinas corporativas bajo el enfoque “Design &amp; Build”.</w:t>
            </w:r>
          </w:p>
          <w:p w14:paraId="0000024C" w14:textId="77777777" w:rsidR="00A2355F" w:rsidRDefault="00A2355F">
            <w:pPr>
              <w:ind w:left="360" w:firstLine="0"/>
            </w:pPr>
          </w:p>
        </w:tc>
      </w:tr>
    </w:tbl>
    <w:p w14:paraId="0000024D" w14:textId="77777777" w:rsidR="00A2355F" w:rsidRDefault="00A2355F">
      <w:pPr>
        <w:spacing w:line="240" w:lineRule="auto"/>
        <w:ind w:left="720" w:firstLine="0"/>
        <w:jc w:val="both"/>
        <w:rPr>
          <w:sz w:val="24"/>
        </w:rPr>
      </w:pPr>
    </w:p>
    <w:p w14:paraId="0000024E" w14:textId="77777777" w:rsidR="00A2355F" w:rsidRDefault="00A2355F">
      <w:pPr>
        <w:spacing w:line="240" w:lineRule="auto"/>
        <w:ind w:firstLine="0"/>
        <w:rPr>
          <w:sz w:val="24"/>
        </w:rPr>
      </w:pPr>
    </w:p>
    <w:p w14:paraId="0000024F" w14:textId="77777777" w:rsidR="00A2355F" w:rsidRDefault="00990D5A">
      <w:pPr>
        <w:numPr>
          <w:ilvl w:val="0"/>
          <w:numId w:val="5"/>
        </w:numPr>
        <w:spacing w:line="240" w:lineRule="auto"/>
      </w:pPr>
      <w:r>
        <w:t xml:space="preserve">Estructura de desglose de trabajo (EDT). En forma tabular, que describa el entregable principal y los secundarios -productos o servicios que generará el PFG-. </w:t>
      </w:r>
    </w:p>
    <w:tbl>
      <w:tblPr>
        <w:tblStyle w:val="6"/>
        <w:tblW w:w="8648"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8"/>
      </w:tblGrid>
      <w:tr w:rsidR="00A2355F" w14:paraId="14DBF335" w14:textId="77777777">
        <w:tc>
          <w:tcPr>
            <w:tcW w:w="8648" w:type="dxa"/>
          </w:tcPr>
          <w:p w14:paraId="00000250" w14:textId="77777777" w:rsidR="00A2355F" w:rsidRDefault="00990D5A">
            <w:pPr>
              <w:spacing w:before="240" w:after="240" w:line="240" w:lineRule="auto"/>
              <w:ind w:firstLine="0"/>
            </w:pPr>
            <w:r>
              <w:t>1. PFG</w:t>
            </w:r>
          </w:p>
          <w:p w14:paraId="00000251" w14:textId="77777777" w:rsidR="00A2355F" w:rsidRDefault="00990D5A">
            <w:pPr>
              <w:spacing w:before="240" w:after="240" w:line="240" w:lineRule="auto"/>
              <w:ind w:firstLine="0"/>
            </w:pPr>
            <w:r>
              <w:t xml:space="preserve">  1.1 Perfil del PFG</w:t>
            </w:r>
          </w:p>
          <w:p w14:paraId="00000252" w14:textId="77777777" w:rsidR="00A2355F" w:rsidRDefault="00990D5A">
            <w:pPr>
              <w:spacing w:before="240" w:after="240" w:line="240" w:lineRule="auto"/>
              <w:ind w:firstLine="0"/>
            </w:pPr>
            <w:r>
              <w:t xml:space="preserve">    1.1.1 Acta de Proyecto-Investigación bibliográfica preliminar</w:t>
            </w:r>
          </w:p>
          <w:p w14:paraId="00000253" w14:textId="77777777" w:rsidR="00A2355F" w:rsidRDefault="00990D5A">
            <w:pPr>
              <w:spacing w:before="240" w:after="240" w:line="240" w:lineRule="auto"/>
              <w:ind w:firstLine="0"/>
            </w:pPr>
            <w:r>
              <w:t xml:space="preserve">    1.1.2 Acta de Proyecto-EDT-Cronograma</w:t>
            </w:r>
          </w:p>
          <w:p w14:paraId="00000254" w14:textId="77777777" w:rsidR="00A2355F" w:rsidRDefault="00990D5A">
            <w:pPr>
              <w:spacing w:before="240" w:after="240" w:line="240" w:lineRule="auto"/>
              <w:ind w:firstLine="0"/>
            </w:pPr>
            <w:r>
              <w:t xml:space="preserve">    1.1.3 Marco Teórico I Parte</w:t>
            </w:r>
          </w:p>
          <w:p w14:paraId="00000255" w14:textId="77777777" w:rsidR="00A2355F" w:rsidRDefault="00990D5A">
            <w:pPr>
              <w:spacing w:before="240" w:after="240" w:line="240" w:lineRule="auto"/>
              <w:ind w:firstLine="0"/>
            </w:pPr>
            <w:r>
              <w:t xml:space="preserve">    1.1.4 Marco Teórico II Parte</w:t>
            </w:r>
          </w:p>
          <w:p w14:paraId="00000256" w14:textId="77777777" w:rsidR="00A2355F" w:rsidRDefault="00990D5A">
            <w:pPr>
              <w:spacing w:before="240" w:after="240" w:line="240" w:lineRule="auto"/>
              <w:ind w:firstLine="0"/>
            </w:pPr>
            <w:r>
              <w:t xml:space="preserve">    1.1.5 Marco Metodológico</w:t>
            </w:r>
          </w:p>
          <w:p w14:paraId="00000257" w14:textId="77777777" w:rsidR="00A2355F" w:rsidRDefault="00990D5A">
            <w:pPr>
              <w:spacing w:before="240" w:after="240" w:line="240" w:lineRule="auto"/>
              <w:ind w:firstLine="0"/>
            </w:pPr>
            <w:r>
              <w:t xml:space="preserve">    1.1.6 Introducción</w:t>
            </w:r>
          </w:p>
          <w:p w14:paraId="00000258" w14:textId="77777777" w:rsidR="00A2355F" w:rsidRDefault="00990D5A">
            <w:pPr>
              <w:spacing w:before="240" w:after="240" w:line="240" w:lineRule="auto"/>
              <w:ind w:firstLine="0"/>
            </w:pPr>
            <w:r>
              <w:t xml:space="preserve">    1.1.7 Documento integrado</w:t>
            </w:r>
          </w:p>
          <w:p w14:paraId="00000259" w14:textId="77777777" w:rsidR="00A2355F" w:rsidRDefault="00990D5A">
            <w:pPr>
              <w:spacing w:before="240" w:after="240" w:line="240" w:lineRule="auto"/>
              <w:ind w:firstLine="0"/>
            </w:pPr>
            <w:r>
              <w:t xml:space="preserve">    1.1.8 Revisión Documento integrado</w:t>
            </w:r>
          </w:p>
          <w:p w14:paraId="0000025A" w14:textId="77777777" w:rsidR="00A2355F" w:rsidRDefault="00990D5A">
            <w:pPr>
              <w:spacing w:before="240" w:after="240" w:line="240" w:lineRule="auto"/>
              <w:ind w:firstLine="0"/>
            </w:pPr>
            <w:r>
              <w:t xml:space="preserve">    1.1.9 Seminario de Graduación aprobado</w:t>
            </w:r>
          </w:p>
          <w:p w14:paraId="0000025B" w14:textId="77777777" w:rsidR="00A2355F" w:rsidRDefault="00990D5A">
            <w:pPr>
              <w:spacing w:before="240" w:after="240" w:line="240" w:lineRule="auto"/>
              <w:ind w:firstLine="0"/>
            </w:pPr>
            <w:r>
              <w:t xml:space="preserve">  1.2 Desarrollo del PFG</w:t>
            </w:r>
          </w:p>
          <w:p w14:paraId="40901038" w14:textId="67772506" w:rsidR="00376FED" w:rsidRPr="00376FED" w:rsidRDefault="00990D5A" w:rsidP="00376FED">
            <w:pPr>
              <w:spacing w:before="240" w:after="240" w:line="240" w:lineRule="auto"/>
              <w:ind w:firstLine="0"/>
              <w:rPr>
                <w:lang w:val="es-CR"/>
              </w:rPr>
            </w:pPr>
            <w:r>
              <w:t xml:space="preserve">    1.2.1</w:t>
            </w:r>
            <w:r w:rsidR="00376FED">
              <w:rPr>
                <w:b/>
                <w:bCs/>
                <w:lang w:val="es-CR"/>
              </w:rPr>
              <w:t xml:space="preserve"> </w:t>
            </w:r>
            <w:r w:rsidR="00376FED" w:rsidRPr="00376FED">
              <w:rPr>
                <w:lang w:val="es-CR"/>
              </w:rPr>
              <w:t xml:space="preserve">Analizar el grupo de procesos actual de planificación y control de proyectos “Design &amp; Build” en Contract Workplaces, para identificar las fortalezas, debilidades y </w:t>
            </w:r>
            <w:r w:rsidR="00376FED" w:rsidRPr="00376FED">
              <w:rPr>
                <w:lang w:val="es-CR"/>
              </w:rPr>
              <w:lastRenderedPageBreak/>
              <w:t>oportunidades de mejora.</w:t>
            </w:r>
            <w:r w:rsidR="00376FED" w:rsidRPr="00376FED">
              <w:rPr>
                <w:lang w:val="es-CR"/>
              </w:rPr>
              <w:br/>
            </w:r>
            <w:r w:rsidR="00376FED" w:rsidRPr="00376FED">
              <w:rPr>
                <w:lang w:val="es-CR"/>
              </w:rPr>
              <w:t> </w:t>
            </w:r>
            <w:r w:rsidR="00376FED" w:rsidRPr="0098201D">
              <w:rPr>
                <w:lang w:val="es-CR"/>
              </w:rPr>
              <w:t>1.2.1.1</w:t>
            </w:r>
            <w:r w:rsidR="00376FED" w:rsidRPr="00376FED">
              <w:rPr>
                <w:lang w:val="es-CR"/>
              </w:rPr>
              <w:t xml:space="preserve"> Informe del proceso actual en proyectos Design &amp; Build en Contract Workplaces</w:t>
            </w:r>
            <w:r w:rsidR="00376FED" w:rsidRPr="00376FED">
              <w:rPr>
                <w:lang w:val="es-CR"/>
              </w:rPr>
              <w:br/>
            </w:r>
            <w:r w:rsidR="00376FED" w:rsidRPr="00376FED">
              <w:rPr>
                <w:lang w:val="es-CR"/>
              </w:rPr>
              <w:t> </w:t>
            </w:r>
            <w:r w:rsidR="00376FED" w:rsidRPr="0098201D">
              <w:rPr>
                <w:lang w:val="es-CR"/>
              </w:rPr>
              <w:t>1.2.1.2</w:t>
            </w:r>
            <w:r w:rsidR="00376FED" w:rsidRPr="00376FED">
              <w:rPr>
                <w:lang w:val="es-CR"/>
              </w:rPr>
              <w:t xml:space="preserve"> Mapa de flujo actual de planificación, diseño y ejecución</w:t>
            </w:r>
            <w:r w:rsidR="00376FED" w:rsidRPr="00376FED">
              <w:rPr>
                <w:lang w:val="es-CR"/>
              </w:rPr>
              <w:br/>
            </w:r>
            <w:r w:rsidR="00376FED" w:rsidRPr="00376FED">
              <w:rPr>
                <w:lang w:val="es-CR"/>
              </w:rPr>
              <w:t> </w:t>
            </w:r>
            <w:r w:rsidR="00376FED" w:rsidRPr="008B17A9">
              <w:rPr>
                <w:lang w:val="es-CR"/>
              </w:rPr>
              <w:t>1.2.1.</w:t>
            </w:r>
            <w:r w:rsidR="00376FED">
              <w:rPr>
                <w:lang w:val="es-CR"/>
              </w:rPr>
              <w:t>3</w:t>
            </w:r>
            <w:r w:rsidR="00376FED" w:rsidRPr="00376FED">
              <w:rPr>
                <w:lang w:val="es-CR"/>
              </w:rPr>
              <w:t xml:space="preserve"> Identificación de debilidades o fallas de integración</w:t>
            </w:r>
          </w:p>
          <w:p w14:paraId="71CB08A3" w14:textId="608451B7" w:rsidR="00376FED" w:rsidRPr="00376FED" w:rsidRDefault="00376FED" w:rsidP="00376FED">
            <w:pPr>
              <w:spacing w:before="240" w:after="240" w:line="240" w:lineRule="auto"/>
              <w:ind w:firstLine="0"/>
              <w:rPr>
                <w:lang w:val="es-CR"/>
              </w:rPr>
            </w:pPr>
            <w:r>
              <w:t xml:space="preserve">1.2.2 </w:t>
            </w:r>
            <w:r w:rsidRPr="00376FED">
              <w:rPr>
                <w:lang w:val="es-CR"/>
              </w:rPr>
              <w:t>Determinar las necesidades de integración entre diseño y ejecución, para fortalecer la toma de decisiones durante la ejecución del proyecto.</w:t>
            </w:r>
            <w:r w:rsidRPr="00376FED">
              <w:rPr>
                <w:lang w:val="es-CR"/>
              </w:rPr>
              <w:br/>
            </w:r>
            <w:r w:rsidRPr="00376FED">
              <w:rPr>
                <w:lang w:val="es-CR"/>
              </w:rPr>
              <w:t> </w:t>
            </w:r>
            <w:r w:rsidRPr="008B17A9">
              <w:rPr>
                <w:lang w:val="es-CR"/>
              </w:rPr>
              <w:t>1.2.</w:t>
            </w:r>
            <w:r>
              <w:rPr>
                <w:lang w:val="es-CR"/>
              </w:rPr>
              <w:t>2</w:t>
            </w:r>
            <w:r w:rsidRPr="008B17A9">
              <w:rPr>
                <w:lang w:val="es-CR"/>
              </w:rPr>
              <w:t>.</w:t>
            </w:r>
            <w:r>
              <w:rPr>
                <w:lang w:val="es-CR"/>
              </w:rPr>
              <w:t>1</w:t>
            </w:r>
            <w:r w:rsidRPr="00376FED">
              <w:rPr>
                <w:lang w:val="es-CR"/>
              </w:rPr>
              <w:t xml:space="preserve"> Análisis de metodologías de gestión de proyectos (PMI, Lean, IPD)</w:t>
            </w:r>
            <w:r w:rsidRPr="00376FED">
              <w:rPr>
                <w:lang w:val="es-CR"/>
              </w:rPr>
              <w:br/>
            </w:r>
            <w:r w:rsidRPr="00376FED">
              <w:rPr>
                <w:lang w:val="es-CR"/>
              </w:rPr>
              <w:t> </w:t>
            </w:r>
            <w:r w:rsidRPr="008B17A9">
              <w:rPr>
                <w:lang w:val="es-CR"/>
              </w:rPr>
              <w:t>1.2.</w:t>
            </w:r>
            <w:r>
              <w:rPr>
                <w:lang w:val="es-CR"/>
              </w:rPr>
              <w:t>2</w:t>
            </w:r>
            <w:r w:rsidRPr="008B17A9">
              <w:rPr>
                <w:lang w:val="es-CR"/>
              </w:rPr>
              <w:t>.</w:t>
            </w:r>
            <w:r>
              <w:rPr>
                <w:lang w:val="es-CR"/>
              </w:rPr>
              <w:t>2</w:t>
            </w:r>
            <w:r w:rsidRPr="00376FED">
              <w:rPr>
                <w:lang w:val="es-CR"/>
              </w:rPr>
              <w:t xml:space="preserve"> Cuadro comparativo de herramientas y enfoques</w:t>
            </w:r>
            <w:r w:rsidRPr="00376FED">
              <w:rPr>
                <w:lang w:val="es-CR"/>
              </w:rPr>
              <w:br/>
            </w:r>
            <w:r w:rsidRPr="00376FED">
              <w:rPr>
                <w:lang w:val="es-CR"/>
              </w:rPr>
              <w:t> </w:t>
            </w:r>
            <w:r w:rsidRPr="008B17A9">
              <w:rPr>
                <w:lang w:val="es-CR"/>
              </w:rPr>
              <w:t>1.2.</w:t>
            </w:r>
            <w:r>
              <w:rPr>
                <w:lang w:val="es-CR"/>
              </w:rPr>
              <w:t>2</w:t>
            </w:r>
            <w:r w:rsidRPr="008B17A9">
              <w:rPr>
                <w:lang w:val="es-CR"/>
              </w:rPr>
              <w:t>.</w:t>
            </w:r>
            <w:r>
              <w:rPr>
                <w:lang w:val="es-CR"/>
              </w:rPr>
              <w:t>3</w:t>
            </w:r>
            <w:r w:rsidRPr="00376FED">
              <w:rPr>
                <w:lang w:val="es-CR"/>
              </w:rPr>
              <w:t xml:space="preserve"> Casos similares en diseño y construcción de oficinas</w:t>
            </w:r>
          </w:p>
          <w:p w14:paraId="15173C52" w14:textId="1F0892CF" w:rsidR="00376FED" w:rsidRPr="00376FED" w:rsidRDefault="00376FED" w:rsidP="00376FED">
            <w:pPr>
              <w:spacing w:before="240" w:after="240" w:line="240" w:lineRule="auto"/>
              <w:ind w:firstLine="0"/>
              <w:rPr>
                <w:lang w:val="es-CR"/>
              </w:rPr>
            </w:pPr>
            <w:r>
              <w:t xml:space="preserve">1.2.3 </w:t>
            </w:r>
            <w:r w:rsidRPr="00376FED">
              <w:rPr>
                <w:lang w:val="es-CR"/>
              </w:rPr>
              <w:t xml:space="preserve"> Diseñar propuestas de mejora en los procesos de planificación y control, para optimizar la integración entre diseño y construcción y mejorar los resultados del proyecto.</w:t>
            </w:r>
            <w:r w:rsidRPr="00376FED">
              <w:rPr>
                <w:lang w:val="es-CR"/>
              </w:rPr>
              <w:br/>
            </w:r>
            <w:r w:rsidRPr="00376FED">
              <w:rPr>
                <w:lang w:val="es-CR"/>
              </w:rPr>
              <w:t> </w:t>
            </w:r>
            <w:r w:rsidRPr="008B17A9">
              <w:rPr>
                <w:lang w:val="es-CR"/>
              </w:rPr>
              <w:t>1.2.</w:t>
            </w:r>
            <w:r>
              <w:rPr>
                <w:lang w:val="es-CR"/>
              </w:rPr>
              <w:t>3</w:t>
            </w:r>
            <w:r w:rsidRPr="008B17A9">
              <w:rPr>
                <w:lang w:val="es-CR"/>
              </w:rPr>
              <w:t>.</w:t>
            </w:r>
            <w:r>
              <w:rPr>
                <w:lang w:val="es-CR"/>
              </w:rPr>
              <w:t>1</w:t>
            </w:r>
            <w:r w:rsidRPr="00376FED">
              <w:rPr>
                <w:lang w:val="es-CR"/>
              </w:rPr>
              <w:t xml:space="preserve">  Nuevo flujo de trabajo propuesto</w:t>
            </w:r>
            <w:r w:rsidRPr="00376FED">
              <w:rPr>
                <w:lang w:val="es-CR"/>
              </w:rPr>
              <w:br/>
            </w:r>
            <w:r w:rsidRPr="00376FED">
              <w:rPr>
                <w:lang w:val="es-CR"/>
              </w:rPr>
              <w:t> </w:t>
            </w:r>
            <w:r w:rsidRPr="008B17A9">
              <w:rPr>
                <w:lang w:val="es-CR"/>
              </w:rPr>
              <w:t>1.2.</w:t>
            </w:r>
            <w:r>
              <w:rPr>
                <w:lang w:val="es-CR"/>
              </w:rPr>
              <w:t>3</w:t>
            </w:r>
            <w:r w:rsidRPr="008B17A9">
              <w:rPr>
                <w:lang w:val="es-CR"/>
              </w:rPr>
              <w:t>.</w:t>
            </w:r>
            <w:r>
              <w:rPr>
                <w:lang w:val="es-CR"/>
              </w:rPr>
              <w:t>2</w:t>
            </w:r>
            <w:r w:rsidRPr="00376FED">
              <w:rPr>
                <w:lang w:val="es-CR"/>
              </w:rPr>
              <w:t xml:space="preserve"> Herramientas sugeridas para planificación y control</w:t>
            </w:r>
            <w:r w:rsidRPr="00376FED">
              <w:rPr>
                <w:lang w:val="es-CR"/>
              </w:rPr>
              <w:br/>
            </w:r>
            <w:r w:rsidRPr="00376FED">
              <w:rPr>
                <w:lang w:val="es-CR"/>
              </w:rPr>
              <w:t> </w:t>
            </w:r>
            <w:r w:rsidRPr="008B17A9">
              <w:rPr>
                <w:lang w:val="es-CR"/>
              </w:rPr>
              <w:t>1.2.</w:t>
            </w:r>
            <w:r>
              <w:rPr>
                <w:lang w:val="es-CR"/>
              </w:rPr>
              <w:t>3</w:t>
            </w:r>
            <w:r w:rsidRPr="008B17A9">
              <w:rPr>
                <w:lang w:val="es-CR"/>
              </w:rPr>
              <w:t>.</w:t>
            </w:r>
            <w:r>
              <w:rPr>
                <w:lang w:val="es-CR"/>
              </w:rPr>
              <w:t>3</w:t>
            </w:r>
            <w:r w:rsidRPr="00376FED">
              <w:rPr>
                <w:lang w:val="es-CR"/>
              </w:rPr>
              <w:t xml:space="preserve"> Reconocimientos organizacionales y de roles</w:t>
            </w:r>
          </w:p>
          <w:p w14:paraId="3771C6DE" w14:textId="2E282581" w:rsidR="00376FED" w:rsidRPr="00376FED" w:rsidRDefault="00376FED" w:rsidP="00376FED">
            <w:pPr>
              <w:spacing w:before="240" w:after="240" w:line="240" w:lineRule="auto"/>
              <w:ind w:firstLine="0"/>
              <w:rPr>
                <w:lang w:val="es-CR"/>
              </w:rPr>
            </w:pPr>
            <w:r w:rsidRPr="0098201D">
              <w:rPr>
                <w:lang w:val="es-CR"/>
              </w:rPr>
              <w:t>1.2.4</w:t>
            </w:r>
            <w:r w:rsidRPr="00376FED">
              <w:rPr>
                <w:lang w:val="es-CR"/>
              </w:rPr>
              <w:t xml:space="preserve"> Desarrollar un plan de implementación de las mejoras propuestas, para facilitar su adopción en los proyectos futuros</w:t>
            </w:r>
            <w:r w:rsidRPr="00376FED">
              <w:rPr>
                <w:lang w:val="es-CR"/>
              </w:rPr>
              <w:br/>
            </w:r>
            <w:r w:rsidRPr="00376FED">
              <w:rPr>
                <w:lang w:val="es-CR"/>
              </w:rPr>
              <w:t> </w:t>
            </w:r>
            <w:r w:rsidRPr="008B17A9">
              <w:rPr>
                <w:lang w:val="es-CR"/>
              </w:rPr>
              <w:t>1.2.</w:t>
            </w:r>
            <w:r>
              <w:rPr>
                <w:lang w:val="es-CR"/>
              </w:rPr>
              <w:t>4</w:t>
            </w:r>
            <w:r w:rsidRPr="008B17A9">
              <w:rPr>
                <w:lang w:val="es-CR"/>
              </w:rPr>
              <w:t>.</w:t>
            </w:r>
            <w:r>
              <w:rPr>
                <w:lang w:val="es-CR"/>
              </w:rPr>
              <w:t xml:space="preserve">1 </w:t>
            </w:r>
            <w:r w:rsidRPr="00376FED">
              <w:rPr>
                <w:lang w:val="es-CR"/>
              </w:rPr>
              <w:t>Objetivo y alcance del plan de implementación</w:t>
            </w:r>
            <w:r w:rsidRPr="00376FED">
              <w:rPr>
                <w:lang w:val="es-CR"/>
              </w:rPr>
              <w:br/>
            </w:r>
            <w:r w:rsidRPr="00376FED">
              <w:rPr>
                <w:lang w:val="es-CR"/>
              </w:rPr>
              <w:t> </w:t>
            </w:r>
            <w:r w:rsidRPr="00376FED">
              <w:rPr>
                <w:lang w:val="es-CR"/>
              </w:rPr>
              <w:t xml:space="preserve"> </w:t>
            </w:r>
            <w:r w:rsidRPr="008B17A9">
              <w:rPr>
                <w:lang w:val="es-CR"/>
              </w:rPr>
              <w:t>1.2.</w:t>
            </w:r>
            <w:r>
              <w:rPr>
                <w:lang w:val="es-CR"/>
              </w:rPr>
              <w:t>4</w:t>
            </w:r>
            <w:r w:rsidRPr="008B17A9">
              <w:rPr>
                <w:lang w:val="es-CR"/>
              </w:rPr>
              <w:t>.</w:t>
            </w:r>
            <w:r>
              <w:rPr>
                <w:lang w:val="es-CR"/>
              </w:rPr>
              <w:t xml:space="preserve">2 </w:t>
            </w:r>
            <w:r w:rsidRPr="00376FED">
              <w:rPr>
                <w:lang w:val="es-CR"/>
              </w:rPr>
              <w:t>Estrategia de implementación basada en acciones, roles y herramientas colaborativas</w:t>
            </w:r>
            <w:r w:rsidRPr="00376FED">
              <w:rPr>
                <w:lang w:val="es-CR"/>
              </w:rPr>
              <w:br/>
            </w:r>
            <w:r w:rsidRPr="00376FED">
              <w:rPr>
                <w:lang w:val="es-CR"/>
              </w:rPr>
              <w:t> </w:t>
            </w:r>
            <w:r w:rsidRPr="008B17A9">
              <w:rPr>
                <w:lang w:val="es-CR"/>
              </w:rPr>
              <w:t>1.2.</w:t>
            </w:r>
            <w:r>
              <w:rPr>
                <w:lang w:val="es-CR"/>
              </w:rPr>
              <w:t>4</w:t>
            </w:r>
            <w:r w:rsidRPr="008B17A9">
              <w:rPr>
                <w:lang w:val="es-CR"/>
              </w:rPr>
              <w:t>.</w:t>
            </w:r>
            <w:r>
              <w:rPr>
                <w:lang w:val="es-CR"/>
              </w:rPr>
              <w:t>3</w:t>
            </w:r>
            <w:r w:rsidRPr="00376FED">
              <w:rPr>
                <w:lang w:val="es-CR"/>
              </w:rPr>
              <w:t xml:space="preserve"> Fases de ejecución e indicadores para el seguimiento y medición del éxito</w:t>
            </w:r>
          </w:p>
          <w:p w14:paraId="3A45D4EC" w14:textId="55D1C87C" w:rsidR="00882CBF" w:rsidRDefault="00376FED" w:rsidP="00376FED">
            <w:pPr>
              <w:spacing w:before="240" w:after="240" w:line="240" w:lineRule="auto"/>
              <w:ind w:firstLine="0"/>
            </w:pPr>
            <w:r w:rsidRPr="008B17A9">
              <w:rPr>
                <w:lang w:val="es-CR"/>
              </w:rPr>
              <w:t>1.2.</w:t>
            </w:r>
            <w:r>
              <w:rPr>
                <w:lang w:val="es-CR"/>
              </w:rPr>
              <w:t>5</w:t>
            </w:r>
            <w:r w:rsidRPr="00376FED">
              <w:rPr>
                <w:lang w:val="es-CR"/>
              </w:rPr>
              <w:t xml:space="preserve"> Comparar los procesos actuales con las propuestas de mejora desarrolladas, para identificar sus principales diferencias y beneficios en la gestión de proyectos “Design &amp; Build” en Contract Workplaces</w:t>
            </w:r>
            <w:r w:rsidRPr="00376FED">
              <w:rPr>
                <w:lang w:val="es-CR"/>
              </w:rPr>
              <w:br/>
            </w:r>
            <w:r w:rsidRPr="00376FED">
              <w:rPr>
                <w:lang w:val="es-CR"/>
              </w:rPr>
              <w:t> </w:t>
            </w:r>
            <w:r w:rsidRPr="008B17A9">
              <w:rPr>
                <w:lang w:val="es-CR"/>
              </w:rPr>
              <w:t>1.2.</w:t>
            </w:r>
            <w:r>
              <w:rPr>
                <w:lang w:val="es-CR"/>
              </w:rPr>
              <w:t>5</w:t>
            </w:r>
            <w:r w:rsidRPr="008B17A9">
              <w:rPr>
                <w:lang w:val="es-CR"/>
              </w:rPr>
              <w:t>.</w:t>
            </w:r>
            <w:r>
              <w:rPr>
                <w:lang w:val="es-CR"/>
              </w:rPr>
              <w:t>1</w:t>
            </w:r>
            <w:r w:rsidRPr="00376FED">
              <w:rPr>
                <w:lang w:val="es-CR"/>
              </w:rPr>
              <w:t xml:space="preserve">  Comparación entre el proceso actual y el proceso propuesto</w:t>
            </w:r>
            <w:r w:rsidRPr="00376FED">
              <w:rPr>
                <w:lang w:val="es-CR"/>
              </w:rPr>
              <w:br/>
            </w:r>
            <w:r w:rsidRPr="00376FED">
              <w:rPr>
                <w:lang w:val="es-CR"/>
              </w:rPr>
              <w:t> </w:t>
            </w:r>
            <w:r w:rsidRPr="008B17A9">
              <w:rPr>
                <w:lang w:val="es-CR"/>
              </w:rPr>
              <w:t>1.2.</w:t>
            </w:r>
            <w:r>
              <w:rPr>
                <w:lang w:val="es-CR"/>
              </w:rPr>
              <w:t>5</w:t>
            </w:r>
            <w:r w:rsidRPr="008B17A9">
              <w:rPr>
                <w:lang w:val="es-CR"/>
              </w:rPr>
              <w:t>.</w:t>
            </w:r>
            <w:r>
              <w:rPr>
                <w:lang w:val="es-CR"/>
              </w:rPr>
              <w:t>2</w:t>
            </w:r>
            <w:r w:rsidRPr="00376FED">
              <w:rPr>
                <w:lang w:val="es-CR"/>
              </w:rPr>
              <w:t xml:space="preserve">   Identificación de diferencias clave en planificación, control e integración</w:t>
            </w:r>
            <w:r w:rsidRPr="00376FED">
              <w:rPr>
                <w:lang w:val="es-CR"/>
              </w:rPr>
              <w:br/>
            </w:r>
            <w:r w:rsidRPr="00376FED">
              <w:rPr>
                <w:lang w:val="es-CR"/>
              </w:rPr>
              <w:t> </w:t>
            </w:r>
            <w:r w:rsidRPr="008B17A9">
              <w:rPr>
                <w:lang w:val="es-CR"/>
              </w:rPr>
              <w:t>1.2.</w:t>
            </w:r>
            <w:r>
              <w:rPr>
                <w:lang w:val="es-CR"/>
              </w:rPr>
              <w:t>5</w:t>
            </w:r>
            <w:r w:rsidRPr="008B17A9">
              <w:rPr>
                <w:lang w:val="es-CR"/>
              </w:rPr>
              <w:t>.</w:t>
            </w:r>
            <w:r>
              <w:rPr>
                <w:lang w:val="es-CR"/>
              </w:rPr>
              <w:t>3</w:t>
            </w:r>
            <w:r w:rsidRPr="00376FED">
              <w:rPr>
                <w:lang w:val="es-CR"/>
              </w:rPr>
              <w:t xml:space="preserve">   Análisis de beneficios potenciales en tiempo, costo y calidad</w:t>
            </w:r>
          </w:p>
          <w:p w14:paraId="0000026B" w14:textId="6C052FE9" w:rsidR="00A2355F" w:rsidRDefault="00990D5A">
            <w:pPr>
              <w:spacing w:before="240" w:after="240" w:line="240" w:lineRule="auto"/>
              <w:ind w:firstLine="0"/>
            </w:pPr>
            <w:r>
              <w:t xml:space="preserve">    1.2.</w:t>
            </w:r>
            <w:r w:rsidR="00376FED">
              <w:t>6</w:t>
            </w:r>
            <w:r>
              <w:t xml:space="preserve"> Conclusiones</w:t>
            </w:r>
          </w:p>
          <w:p w14:paraId="0000026C" w14:textId="1E0BE8F2" w:rsidR="00A2355F" w:rsidRDefault="00990D5A">
            <w:pPr>
              <w:spacing w:before="240" w:after="240" w:line="240" w:lineRule="auto"/>
              <w:ind w:firstLine="0"/>
            </w:pPr>
            <w:r>
              <w:t xml:space="preserve">    1.2.</w:t>
            </w:r>
            <w:r w:rsidR="00376FED">
              <w:t>7</w:t>
            </w:r>
            <w:r>
              <w:t xml:space="preserve"> Recomendaciones</w:t>
            </w:r>
          </w:p>
          <w:p w14:paraId="0000026D" w14:textId="49F44396" w:rsidR="00A2355F" w:rsidRDefault="00990D5A">
            <w:pPr>
              <w:spacing w:before="240" w:after="240" w:line="240" w:lineRule="auto"/>
              <w:ind w:firstLine="0"/>
            </w:pPr>
            <w:r>
              <w:t xml:space="preserve">    1.2.</w:t>
            </w:r>
            <w:r w:rsidR="00376FED">
              <w:t>8</w:t>
            </w:r>
            <w:r>
              <w:t xml:space="preserve"> Listas de referencias</w:t>
            </w:r>
          </w:p>
          <w:p w14:paraId="0000026E" w14:textId="3AD1A9C2" w:rsidR="00A2355F" w:rsidRDefault="00990D5A">
            <w:pPr>
              <w:spacing w:before="240" w:after="240" w:line="240" w:lineRule="auto"/>
              <w:ind w:firstLine="0"/>
            </w:pPr>
            <w:r>
              <w:t xml:space="preserve">    1.2.</w:t>
            </w:r>
            <w:r w:rsidR="00376FED">
              <w:t>9</w:t>
            </w:r>
            <w:r>
              <w:t xml:space="preserve"> Anexos</w:t>
            </w:r>
          </w:p>
          <w:p w14:paraId="0000026F" w14:textId="186A5045" w:rsidR="00A2355F" w:rsidRDefault="00990D5A">
            <w:pPr>
              <w:spacing w:before="240" w:after="240" w:line="240" w:lineRule="auto"/>
              <w:ind w:firstLine="0"/>
            </w:pPr>
            <w:r>
              <w:t xml:space="preserve">    1.2.</w:t>
            </w:r>
            <w:r w:rsidR="00376FED">
              <w:t>10</w:t>
            </w:r>
            <w:r>
              <w:t xml:space="preserve"> Aprobación del tutor para lectura</w:t>
            </w:r>
          </w:p>
          <w:p w14:paraId="00000270" w14:textId="77777777" w:rsidR="00A2355F" w:rsidRDefault="00990D5A">
            <w:pPr>
              <w:spacing w:before="240" w:after="240" w:line="240" w:lineRule="auto"/>
              <w:ind w:firstLine="0"/>
            </w:pPr>
            <w:r>
              <w:t xml:space="preserve">  1.3 Revisión de lectores</w:t>
            </w:r>
          </w:p>
          <w:p w14:paraId="00000271" w14:textId="77777777" w:rsidR="00A2355F" w:rsidRDefault="00990D5A">
            <w:pPr>
              <w:spacing w:before="240" w:after="240" w:line="240" w:lineRule="auto"/>
              <w:ind w:firstLine="0"/>
            </w:pPr>
            <w:r>
              <w:t xml:space="preserve">  1.4 Evaluación</w:t>
            </w:r>
          </w:p>
        </w:tc>
      </w:tr>
    </w:tbl>
    <w:p w14:paraId="00000272" w14:textId="77777777" w:rsidR="00A2355F" w:rsidRDefault="00A2355F">
      <w:pPr>
        <w:spacing w:line="240" w:lineRule="auto"/>
        <w:ind w:firstLine="0"/>
        <w:rPr>
          <w:sz w:val="24"/>
        </w:rPr>
      </w:pPr>
    </w:p>
    <w:p w14:paraId="00000273" w14:textId="77777777" w:rsidR="00A2355F" w:rsidRDefault="00990D5A">
      <w:pPr>
        <w:numPr>
          <w:ilvl w:val="0"/>
          <w:numId w:val="5"/>
        </w:numPr>
        <w:spacing w:line="240" w:lineRule="auto"/>
      </w:pPr>
      <w:r>
        <w:t>Presupuesto del PFG</w:t>
      </w:r>
    </w:p>
    <w:tbl>
      <w:tblPr>
        <w:tblStyle w:val="5"/>
        <w:tblpPr w:leftFromText="141" w:rightFromText="141" w:vertAnchor="text" w:tblpX="335" w:tblpY="115"/>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0"/>
        <w:gridCol w:w="4680"/>
      </w:tblGrid>
      <w:tr w:rsidR="00A2355F" w14:paraId="550DF1DF" w14:textId="77777777">
        <w:tc>
          <w:tcPr>
            <w:tcW w:w="46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274" w14:textId="77777777" w:rsidR="00A2355F" w:rsidRDefault="00990D5A">
            <w:pPr>
              <w:spacing w:before="240" w:line="276" w:lineRule="auto"/>
              <w:ind w:firstLine="0"/>
            </w:pPr>
            <w:r>
              <w:lastRenderedPageBreak/>
              <w:t>Ítem</w:t>
            </w:r>
          </w:p>
        </w:tc>
        <w:tc>
          <w:tcPr>
            <w:tcW w:w="468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0000275" w14:textId="77777777" w:rsidR="00A2355F" w:rsidRDefault="00990D5A">
            <w:pPr>
              <w:spacing w:before="240" w:line="276" w:lineRule="auto"/>
              <w:ind w:firstLine="0"/>
              <w:jc w:val="both"/>
            </w:pPr>
            <w:r>
              <w:t>Costo estimado (USD)</w:t>
            </w:r>
          </w:p>
        </w:tc>
      </w:tr>
      <w:tr w:rsidR="00A2355F" w14:paraId="1304EC01" w14:textId="77777777">
        <w:tc>
          <w:tcPr>
            <w:tcW w:w="468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000276" w14:textId="77777777" w:rsidR="00A2355F" w:rsidRDefault="00990D5A">
            <w:pPr>
              <w:spacing w:before="240" w:line="276" w:lineRule="auto"/>
              <w:ind w:firstLine="0"/>
              <w:jc w:val="both"/>
            </w:pPr>
            <w:r>
              <w:t>Licencia Microsoft Office</w:t>
            </w:r>
          </w:p>
        </w:tc>
        <w:tc>
          <w:tcPr>
            <w:tcW w:w="4680" w:type="dxa"/>
            <w:tcBorders>
              <w:top w:val="nil"/>
              <w:left w:val="nil"/>
              <w:bottom w:val="single" w:sz="4" w:space="0" w:color="000000"/>
              <w:right w:val="single" w:sz="4" w:space="0" w:color="000000"/>
            </w:tcBorders>
            <w:tcMar>
              <w:top w:w="0" w:type="dxa"/>
              <w:left w:w="100" w:type="dxa"/>
              <w:bottom w:w="0" w:type="dxa"/>
              <w:right w:w="100" w:type="dxa"/>
            </w:tcMar>
          </w:tcPr>
          <w:p w14:paraId="00000277" w14:textId="77777777" w:rsidR="00A2355F" w:rsidRDefault="00990D5A">
            <w:pPr>
              <w:spacing w:before="240" w:line="276" w:lineRule="auto"/>
              <w:ind w:firstLine="0"/>
              <w:jc w:val="both"/>
            </w:pPr>
            <w:r>
              <w:t>$50</w:t>
            </w:r>
          </w:p>
        </w:tc>
      </w:tr>
      <w:tr w:rsidR="00A2355F" w14:paraId="3EDE9CBC" w14:textId="77777777">
        <w:tc>
          <w:tcPr>
            <w:tcW w:w="468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000278" w14:textId="77777777" w:rsidR="00A2355F" w:rsidRDefault="00990D5A">
            <w:pPr>
              <w:spacing w:before="240" w:line="276" w:lineRule="auto"/>
              <w:ind w:firstLine="0"/>
              <w:jc w:val="both"/>
            </w:pPr>
            <w:r>
              <w:t>Transporte para encuentros o entrevistas presenciales</w:t>
            </w:r>
          </w:p>
        </w:tc>
        <w:tc>
          <w:tcPr>
            <w:tcW w:w="4680" w:type="dxa"/>
            <w:tcBorders>
              <w:top w:val="nil"/>
              <w:left w:val="nil"/>
              <w:bottom w:val="single" w:sz="4" w:space="0" w:color="000000"/>
              <w:right w:val="single" w:sz="4" w:space="0" w:color="000000"/>
            </w:tcBorders>
            <w:tcMar>
              <w:top w:w="0" w:type="dxa"/>
              <w:left w:w="100" w:type="dxa"/>
              <w:bottom w:w="0" w:type="dxa"/>
              <w:right w:w="100" w:type="dxa"/>
            </w:tcMar>
          </w:tcPr>
          <w:p w14:paraId="00000279" w14:textId="77777777" w:rsidR="00A2355F" w:rsidRDefault="00990D5A">
            <w:pPr>
              <w:spacing w:before="240" w:line="276" w:lineRule="auto"/>
              <w:ind w:firstLine="0"/>
              <w:jc w:val="both"/>
            </w:pPr>
            <w:r>
              <w:t>$20</w:t>
            </w:r>
          </w:p>
        </w:tc>
      </w:tr>
      <w:tr w:rsidR="00A2355F" w14:paraId="7D2F9EE0" w14:textId="77777777">
        <w:tc>
          <w:tcPr>
            <w:tcW w:w="468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00027A" w14:textId="77777777" w:rsidR="00A2355F" w:rsidRDefault="00990D5A">
            <w:pPr>
              <w:spacing w:before="240" w:line="276" w:lineRule="auto"/>
              <w:ind w:firstLine="0"/>
              <w:jc w:val="both"/>
            </w:pPr>
            <w:r>
              <w:t>Suscripción mensual a Asana por usuario/mes</w:t>
            </w:r>
          </w:p>
        </w:tc>
        <w:tc>
          <w:tcPr>
            <w:tcW w:w="4680" w:type="dxa"/>
            <w:tcBorders>
              <w:top w:val="nil"/>
              <w:left w:val="nil"/>
              <w:bottom w:val="single" w:sz="4" w:space="0" w:color="000000"/>
              <w:right w:val="single" w:sz="4" w:space="0" w:color="000000"/>
            </w:tcBorders>
            <w:tcMar>
              <w:top w:w="0" w:type="dxa"/>
              <w:left w:w="100" w:type="dxa"/>
              <w:bottom w:w="0" w:type="dxa"/>
              <w:right w:w="100" w:type="dxa"/>
            </w:tcMar>
          </w:tcPr>
          <w:p w14:paraId="0000027B" w14:textId="77777777" w:rsidR="00A2355F" w:rsidRDefault="00990D5A">
            <w:pPr>
              <w:spacing w:before="240" w:line="276" w:lineRule="auto"/>
              <w:ind w:firstLine="0"/>
              <w:jc w:val="both"/>
            </w:pPr>
            <w:r>
              <w:t>$30</w:t>
            </w:r>
          </w:p>
        </w:tc>
      </w:tr>
      <w:tr w:rsidR="00A2355F" w14:paraId="26EEFBA0" w14:textId="77777777">
        <w:tc>
          <w:tcPr>
            <w:tcW w:w="468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00027C" w14:textId="77777777" w:rsidR="00A2355F" w:rsidRDefault="00990D5A">
            <w:pPr>
              <w:spacing w:before="240" w:line="276" w:lineRule="auto"/>
              <w:ind w:firstLine="0"/>
              <w:jc w:val="both"/>
            </w:pPr>
            <w:r>
              <w:t>Licencia de Autodesk Revit/ BIM por mes</w:t>
            </w:r>
          </w:p>
        </w:tc>
        <w:tc>
          <w:tcPr>
            <w:tcW w:w="4680" w:type="dxa"/>
            <w:tcBorders>
              <w:top w:val="nil"/>
              <w:left w:val="nil"/>
              <w:bottom w:val="single" w:sz="4" w:space="0" w:color="000000"/>
              <w:right w:val="single" w:sz="4" w:space="0" w:color="000000"/>
            </w:tcBorders>
            <w:tcMar>
              <w:top w:w="0" w:type="dxa"/>
              <w:left w:w="100" w:type="dxa"/>
              <w:bottom w:w="0" w:type="dxa"/>
              <w:right w:w="100" w:type="dxa"/>
            </w:tcMar>
          </w:tcPr>
          <w:p w14:paraId="0000027D" w14:textId="77777777" w:rsidR="00A2355F" w:rsidRDefault="00990D5A">
            <w:pPr>
              <w:spacing w:before="240" w:line="276" w:lineRule="auto"/>
              <w:ind w:firstLine="0"/>
              <w:jc w:val="both"/>
            </w:pPr>
            <w:r>
              <w:t>$224</w:t>
            </w:r>
          </w:p>
        </w:tc>
      </w:tr>
      <w:tr w:rsidR="00A2355F" w14:paraId="3937F388" w14:textId="77777777">
        <w:tc>
          <w:tcPr>
            <w:tcW w:w="468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00027E" w14:textId="77777777" w:rsidR="00A2355F" w:rsidRDefault="00990D5A">
            <w:pPr>
              <w:spacing w:before="240" w:line="276" w:lineRule="auto"/>
              <w:ind w:firstLine="0"/>
              <w:jc w:val="both"/>
            </w:pPr>
            <w:r>
              <w:t>Licencia de Microsoft Project</w:t>
            </w:r>
          </w:p>
        </w:tc>
        <w:tc>
          <w:tcPr>
            <w:tcW w:w="4680" w:type="dxa"/>
            <w:tcBorders>
              <w:top w:val="nil"/>
              <w:left w:val="nil"/>
              <w:bottom w:val="single" w:sz="4" w:space="0" w:color="000000"/>
              <w:right w:val="single" w:sz="4" w:space="0" w:color="000000"/>
            </w:tcBorders>
            <w:tcMar>
              <w:top w:w="0" w:type="dxa"/>
              <w:left w:w="100" w:type="dxa"/>
              <w:bottom w:w="0" w:type="dxa"/>
              <w:right w:w="100" w:type="dxa"/>
            </w:tcMar>
          </w:tcPr>
          <w:p w14:paraId="0000027F" w14:textId="77777777" w:rsidR="00A2355F" w:rsidRDefault="00990D5A">
            <w:pPr>
              <w:spacing w:before="240" w:line="276" w:lineRule="auto"/>
              <w:ind w:firstLine="0"/>
              <w:jc w:val="both"/>
            </w:pPr>
            <w:r>
              <w:t>$30</w:t>
            </w:r>
          </w:p>
        </w:tc>
      </w:tr>
      <w:tr w:rsidR="00A2355F" w14:paraId="32866A0B" w14:textId="77777777">
        <w:tc>
          <w:tcPr>
            <w:tcW w:w="468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000280" w14:textId="77777777" w:rsidR="00A2355F" w:rsidRDefault="00990D5A">
            <w:pPr>
              <w:spacing w:before="240" w:line="276" w:lineRule="auto"/>
              <w:ind w:firstLine="0"/>
              <w:jc w:val="both"/>
            </w:pPr>
            <w:r>
              <w:t>Cursos o capacitaciones cortas</w:t>
            </w:r>
          </w:p>
        </w:tc>
        <w:tc>
          <w:tcPr>
            <w:tcW w:w="4680" w:type="dxa"/>
            <w:tcBorders>
              <w:top w:val="nil"/>
              <w:left w:val="nil"/>
              <w:bottom w:val="single" w:sz="4" w:space="0" w:color="000000"/>
              <w:right w:val="single" w:sz="4" w:space="0" w:color="000000"/>
            </w:tcBorders>
            <w:tcMar>
              <w:top w:w="0" w:type="dxa"/>
              <w:left w:w="100" w:type="dxa"/>
              <w:bottom w:w="0" w:type="dxa"/>
              <w:right w:w="100" w:type="dxa"/>
            </w:tcMar>
          </w:tcPr>
          <w:p w14:paraId="00000281" w14:textId="77777777" w:rsidR="00A2355F" w:rsidRDefault="00990D5A">
            <w:pPr>
              <w:spacing w:before="240" w:line="276" w:lineRule="auto"/>
              <w:ind w:firstLine="0"/>
              <w:jc w:val="both"/>
            </w:pPr>
            <w:r>
              <w:t>$60</w:t>
            </w:r>
          </w:p>
        </w:tc>
      </w:tr>
      <w:tr w:rsidR="00A2355F" w14:paraId="699F0654" w14:textId="77777777">
        <w:tc>
          <w:tcPr>
            <w:tcW w:w="468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000282" w14:textId="77777777" w:rsidR="00A2355F" w:rsidRDefault="00990D5A">
            <w:pPr>
              <w:spacing w:before="240" w:line="276" w:lineRule="auto"/>
              <w:ind w:firstLine="0"/>
              <w:jc w:val="both"/>
            </w:pPr>
            <w:r>
              <w:t>Impresión</w:t>
            </w:r>
          </w:p>
        </w:tc>
        <w:tc>
          <w:tcPr>
            <w:tcW w:w="4680" w:type="dxa"/>
            <w:tcBorders>
              <w:top w:val="nil"/>
              <w:left w:val="nil"/>
              <w:bottom w:val="single" w:sz="4" w:space="0" w:color="000000"/>
              <w:right w:val="single" w:sz="4" w:space="0" w:color="000000"/>
            </w:tcBorders>
            <w:tcMar>
              <w:top w:w="0" w:type="dxa"/>
              <w:left w:w="100" w:type="dxa"/>
              <w:bottom w:w="0" w:type="dxa"/>
              <w:right w:w="100" w:type="dxa"/>
            </w:tcMar>
          </w:tcPr>
          <w:p w14:paraId="00000283" w14:textId="77777777" w:rsidR="00A2355F" w:rsidRDefault="00990D5A">
            <w:pPr>
              <w:spacing w:before="240" w:line="276" w:lineRule="auto"/>
              <w:ind w:firstLine="0"/>
              <w:jc w:val="both"/>
            </w:pPr>
            <w:r>
              <w:t>$20</w:t>
            </w:r>
          </w:p>
        </w:tc>
      </w:tr>
      <w:tr w:rsidR="00A2355F" w14:paraId="14C2B8A8" w14:textId="77777777">
        <w:tc>
          <w:tcPr>
            <w:tcW w:w="468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000284" w14:textId="77777777" w:rsidR="00A2355F" w:rsidRDefault="00990D5A">
            <w:pPr>
              <w:spacing w:before="240" w:line="276" w:lineRule="auto"/>
              <w:ind w:firstLine="0"/>
              <w:jc w:val="both"/>
            </w:pPr>
            <w:r>
              <w:t>Internet</w:t>
            </w:r>
          </w:p>
        </w:tc>
        <w:tc>
          <w:tcPr>
            <w:tcW w:w="4680" w:type="dxa"/>
            <w:tcBorders>
              <w:top w:val="nil"/>
              <w:left w:val="nil"/>
              <w:bottom w:val="single" w:sz="4" w:space="0" w:color="000000"/>
              <w:right w:val="single" w:sz="4" w:space="0" w:color="000000"/>
            </w:tcBorders>
            <w:tcMar>
              <w:top w:w="0" w:type="dxa"/>
              <w:left w:w="100" w:type="dxa"/>
              <w:bottom w:w="0" w:type="dxa"/>
              <w:right w:w="100" w:type="dxa"/>
            </w:tcMar>
          </w:tcPr>
          <w:p w14:paraId="00000285" w14:textId="77777777" w:rsidR="00A2355F" w:rsidRDefault="00990D5A">
            <w:pPr>
              <w:spacing w:before="240" w:line="276" w:lineRule="auto"/>
              <w:ind w:firstLine="0"/>
              <w:jc w:val="both"/>
            </w:pPr>
            <w:r>
              <w:t>$50</w:t>
            </w:r>
          </w:p>
        </w:tc>
      </w:tr>
      <w:tr w:rsidR="00A2355F" w14:paraId="0D32CD57" w14:textId="77777777">
        <w:tc>
          <w:tcPr>
            <w:tcW w:w="468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000286" w14:textId="77777777" w:rsidR="00A2355F" w:rsidRDefault="00990D5A">
            <w:pPr>
              <w:spacing w:before="240" w:line="276" w:lineRule="auto"/>
              <w:ind w:firstLine="0"/>
              <w:jc w:val="both"/>
            </w:pPr>
            <w:r>
              <w:t>Consultoría técnica</w:t>
            </w:r>
          </w:p>
        </w:tc>
        <w:tc>
          <w:tcPr>
            <w:tcW w:w="4680" w:type="dxa"/>
            <w:tcBorders>
              <w:top w:val="nil"/>
              <w:left w:val="nil"/>
              <w:bottom w:val="single" w:sz="4" w:space="0" w:color="000000"/>
              <w:right w:val="single" w:sz="4" w:space="0" w:color="000000"/>
            </w:tcBorders>
            <w:tcMar>
              <w:top w:w="0" w:type="dxa"/>
              <w:left w:w="100" w:type="dxa"/>
              <w:bottom w:w="0" w:type="dxa"/>
              <w:right w:w="100" w:type="dxa"/>
            </w:tcMar>
          </w:tcPr>
          <w:p w14:paraId="00000287" w14:textId="77777777" w:rsidR="00A2355F" w:rsidRDefault="00990D5A">
            <w:pPr>
              <w:spacing w:before="240" w:line="276" w:lineRule="auto"/>
              <w:ind w:firstLine="0"/>
              <w:jc w:val="both"/>
            </w:pPr>
            <w:r>
              <w:t>$150</w:t>
            </w:r>
          </w:p>
        </w:tc>
      </w:tr>
      <w:tr w:rsidR="00A2355F" w14:paraId="70FC40F1" w14:textId="77777777">
        <w:tc>
          <w:tcPr>
            <w:tcW w:w="468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000288" w14:textId="77777777" w:rsidR="00A2355F" w:rsidRDefault="00990D5A">
            <w:pPr>
              <w:spacing w:before="240" w:line="276" w:lineRule="auto"/>
              <w:ind w:firstLine="0"/>
              <w:jc w:val="both"/>
            </w:pPr>
            <w:r>
              <w:t>Herramientas de inteligencia artificial</w:t>
            </w:r>
          </w:p>
        </w:tc>
        <w:tc>
          <w:tcPr>
            <w:tcW w:w="4680" w:type="dxa"/>
            <w:tcBorders>
              <w:top w:val="nil"/>
              <w:left w:val="nil"/>
              <w:bottom w:val="single" w:sz="4" w:space="0" w:color="000000"/>
              <w:right w:val="single" w:sz="4" w:space="0" w:color="000000"/>
            </w:tcBorders>
            <w:tcMar>
              <w:top w:w="0" w:type="dxa"/>
              <w:left w:w="100" w:type="dxa"/>
              <w:bottom w:w="0" w:type="dxa"/>
              <w:right w:w="100" w:type="dxa"/>
            </w:tcMar>
          </w:tcPr>
          <w:p w14:paraId="00000289" w14:textId="77777777" w:rsidR="00A2355F" w:rsidRDefault="00990D5A">
            <w:pPr>
              <w:spacing w:before="240" w:line="276" w:lineRule="auto"/>
              <w:ind w:firstLine="0"/>
              <w:jc w:val="both"/>
            </w:pPr>
            <w:r>
              <w:t>$20</w:t>
            </w:r>
          </w:p>
        </w:tc>
      </w:tr>
      <w:tr w:rsidR="00A2355F" w14:paraId="1854628D" w14:textId="77777777">
        <w:tc>
          <w:tcPr>
            <w:tcW w:w="468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00028A" w14:textId="77777777" w:rsidR="00A2355F" w:rsidRDefault="00990D5A">
            <w:pPr>
              <w:spacing w:before="240" w:line="276" w:lineRule="auto"/>
              <w:ind w:firstLine="0"/>
              <w:jc w:val="right"/>
              <w:rPr>
                <w:b/>
              </w:rPr>
            </w:pPr>
            <w:r>
              <w:rPr>
                <w:b/>
              </w:rPr>
              <w:t>Total</w:t>
            </w:r>
          </w:p>
        </w:tc>
        <w:tc>
          <w:tcPr>
            <w:tcW w:w="4680" w:type="dxa"/>
            <w:tcBorders>
              <w:top w:val="nil"/>
              <w:left w:val="nil"/>
              <w:bottom w:val="single" w:sz="4" w:space="0" w:color="000000"/>
              <w:right w:val="single" w:sz="4" w:space="0" w:color="000000"/>
            </w:tcBorders>
            <w:tcMar>
              <w:top w:w="0" w:type="dxa"/>
              <w:left w:w="100" w:type="dxa"/>
              <w:bottom w:w="0" w:type="dxa"/>
              <w:right w:w="100" w:type="dxa"/>
            </w:tcMar>
          </w:tcPr>
          <w:p w14:paraId="0000028B" w14:textId="77777777" w:rsidR="00A2355F" w:rsidRDefault="00990D5A">
            <w:pPr>
              <w:spacing w:before="240" w:line="276" w:lineRule="auto"/>
              <w:ind w:firstLine="0"/>
              <w:jc w:val="both"/>
              <w:rPr>
                <w:b/>
              </w:rPr>
            </w:pPr>
            <w:r>
              <w:rPr>
                <w:b/>
              </w:rPr>
              <w:t>$654</w:t>
            </w:r>
          </w:p>
        </w:tc>
      </w:tr>
    </w:tbl>
    <w:p w14:paraId="0000028C" w14:textId="77777777" w:rsidR="00A2355F" w:rsidRDefault="00A2355F">
      <w:pPr>
        <w:spacing w:line="240" w:lineRule="auto"/>
        <w:ind w:left="720" w:firstLine="0"/>
        <w:rPr>
          <w:sz w:val="24"/>
        </w:rPr>
      </w:pPr>
    </w:p>
    <w:p w14:paraId="0000028D" w14:textId="77777777" w:rsidR="00A2355F" w:rsidRDefault="00A2355F">
      <w:pPr>
        <w:spacing w:line="240" w:lineRule="auto"/>
        <w:ind w:firstLine="0"/>
        <w:rPr>
          <w:sz w:val="24"/>
        </w:rPr>
      </w:pPr>
    </w:p>
    <w:p w14:paraId="0000028E" w14:textId="77777777" w:rsidR="00A2355F" w:rsidRDefault="00990D5A">
      <w:pPr>
        <w:numPr>
          <w:ilvl w:val="0"/>
          <w:numId w:val="5"/>
        </w:numPr>
        <w:spacing w:line="240" w:lineRule="auto"/>
        <w:rPr>
          <w:sz w:val="24"/>
        </w:rPr>
      </w:pPr>
      <w:r>
        <w:rPr>
          <w:sz w:val="24"/>
        </w:rPr>
        <w:t>Supuestos para la elaboración del PFG</w:t>
      </w:r>
    </w:p>
    <w:tbl>
      <w:tblPr>
        <w:tblStyle w:val="4"/>
        <w:tblpPr w:leftFromText="141" w:rightFromText="141" w:vertAnchor="text" w:tblpX="335" w:tblpY="127"/>
        <w:tblW w:w="869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92"/>
      </w:tblGrid>
      <w:tr w:rsidR="00A2355F" w14:paraId="78557E95" w14:textId="77777777">
        <w:tc>
          <w:tcPr>
            <w:tcW w:w="8692" w:type="dxa"/>
          </w:tcPr>
          <w:p w14:paraId="0000028F" w14:textId="77777777" w:rsidR="00A2355F" w:rsidRDefault="00990D5A">
            <w:pPr>
              <w:spacing w:before="240" w:after="240" w:line="240" w:lineRule="auto"/>
              <w:ind w:firstLine="0"/>
              <w:rPr>
                <w:highlight w:val="white"/>
              </w:rPr>
            </w:pPr>
            <w:r>
              <w:rPr>
                <w:highlight w:val="white"/>
              </w:rPr>
              <w:t>1. Se tendrá acceso a la información de procesos internos de Contract Workplaces necesaria para el análisis del flujo actual de trabajo.</w:t>
            </w:r>
          </w:p>
          <w:p w14:paraId="00000290" w14:textId="77777777" w:rsidR="00A2355F" w:rsidRDefault="00990D5A">
            <w:pPr>
              <w:spacing w:before="240" w:after="240" w:line="240" w:lineRule="auto"/>
              <w:ind w:firstLine="0"/>
              <w:rPr>
                <w:highlight w:val="white"/>
              </w:rPr>
            </w:pPr>
            <w:r>
              <w:rPr>
                <w:highlight w:val="white"/>
              </w:rPr>
              <w:t>2. Las herramientas de software seleccionadas (Asana, Revit, BIM, Project) estarán disponibles para su uso académico o de prueba durante el tiempo del PFG.</w:t>
            </w:r>
          </w:p>
          <w:p w14:paraId="00000291" w14:textId="77777777" w:rsidR="00A2355F" w:rsidRDefault="00990D5A">
            <w:pPr>
              <w:spacing w:before="240" w:after="240" w:line="240" w:lineRule="auto"/>
              <w:ind w:firstLine="0"/>
              <w:rPr>
                <w:highlight w:val="white"/>
              </w:rPr>
            </w:pPr>
            <w:r>
              <w:rPr>
                <w:highlight w:val="white"/>
              </w:rPr>
              <w:t>3. La planificación personal permitirá mantener una dedicación constante al desarrollo del proyecto durante todo el periodo de tutoría.</w:t>
            </w:r>
          </w:p>
          <w:p w14:paraId="00000292" w14:textId="77777777" w:rsidR="00A2355F" w:rsidRDefault="00990D5A">
            <w:pPr>
              <w:spacing w:before="240" w:after="240" w:line="240" w:lineRule="auto"/>
              <w:ind w:firstLine="0"/>
              <w:rPr>
                <w:highlight w:val="white"/>
              </w:rPr>
            </w:pPr>
            <w:r>
              <w:rPr>
                <w:highlight w:val="white"/>
              </w:rPr>
              <w:t>4. Los colaboradores de la empresa brindarán su colaboración para entrevistas o revisiones cuando se les solicite, según la planificación del proyecto.</w:t>
            </w:r>
          </w:p>
          <w:p w14:paraId="00000293" w14:textId="77777777" w:rsidR="00A2355F" w:rsidRDefault="00A2355F">
            <w:pPr>
              <w:spacing w:line="240" w:lineRule="auto"/>
              <w:ind w:firstLine="0"/>
              <w:rPr>
                <w:sz w:val="24"/>
              </w:rPr>
            </w:pPr>
          </w:p>
        </w:tc>
      </w:tr>
    </w:tbl>
    <w:p w14:paraId="00000294" w14:textId="77777777" w:rsidR="00A2355F" w:rsidRDefault="00A2355F">
      <w:pPr>
        <w:spacing w:line="240" w:lineRule="auto"/>
        <w:ind w:left="720" w:firstLine="0"/>
        <w:rPr>
          <w:sz w:val="24"/>
        </w:rPr>
      </w:pPr>
    </w:p>
    <w:p w14:paraId="00000295" w14:textId="77777777" w:rsidR="00A2355F" w:rsidRDefault="00A2355F">
      <w:pPr>
        <w:spacing w:line="240" w:lineRule="auto"/>
        <w:ind w:firstLine="0"/>
        <w:rPr>
          <w:sz w:val="24"/>
        </w:rPr>
      </w:pPr>
    </w:p>
    <w:p w14:paraId="00000296" w14:textId="77777777" w:rsidR="00A2355F" w:rsidRDefault="00990D5A">
      <w:pPr>
        <w:numPr>
          <w:ilvl w:val="0"/>
          <w:numId w:val="5"/>
        </w:numPr>
        <w:spacing w:line="240" w:lineRule="auto"/>
        <w:rPr>
          <w:sz w:val="24"/>
        </w:rPr>
      </w:pPr>
      <w:r>
        <w:rPr>
          <w:sz w:val="24"/>
        </w:rPr>
        <w:t>Restricciones para la elaboración del PFG</w:t>
      </w:r>
    </w:p>
    <w:tbl>
      <w:tblPr>
        <w:tblStyle w:val="3"/>
        <w:tblpPr w:leftFromText="141" w:rightFromText="141" w:vertAnchor="text" w:tblpX="335" w:tblpY="62"/>
        <w:tblW w:w="869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92"/>
      </w:tblGrid>
      <w:tr w:rsidR="00A2355F" w14:paraId="02E5FF49" w14:textId="77777777">
        <w:tc>
          <w:tcPr>
            <w:tcW w:w="8692" w:type="dxa"/>
          </w:tcPr>
          <w:p w14:paraId="00000297" w14:textId="77777777" w:rsidR="00A2355F" w:rsidRDefault="00990D5A">
            <w:pPr>
              <w:spacing w:before="240" w:after="240" w:line="240" w:lineRule="auto"/>
              <w:ind w:firstLine="0"/>
              <w:rPr>
                <w:highlight w:val="white"/>
              </w:rPr>
            </w:pPr>
            <w:r>
              <w:rPr>
                <w:highlight w:val="white"/>
              </w:rPr>
              <w:lastRenderedPageBreak/>
              <w:t>1. No se podrá realizar implementación práctica de las mejoras propuestas durante el desarrollo del PFG.</w:t>
            </w:r>
          </w:p>
          <w:p w14:paraId="00000298" w14:textId="77777777" w:rsidR="00A2355F" w:rsidRDefault="00990D5A">
            <w:pPr>
              <w:spacing w:before="240" w:after="240" w:line="240" w:lineRule="auto"/>
              <w:ind w:firstLine="0"/>
              <w:rPr>
                <w:highlight w:val="white"/>
              </w:rPr>
            </w:pPr>
            <w:r>
              <w:rPr>
                <w:highlight w:val="white"/>
              </w:rPr>
              <w:t>2. El acceso a ciertas herramientas de software estará condicionado por la disponibilidad de licencias gratuitas, versiones académicas o el presupuesto autorizado por la empresa, lo cual podría limitar el uso completo de sus funcionalidades durante el desarrollo del PFG.</w:t>
            </w:r>
          </w:p>
          <w:p w14:paraId="00000299" w14:textId="77A2C626" w:rsidR="00A2355F" w:rsidRPr="00990C1A" w:rsidRDefault="00990D5A">
            <w:pPr>
              <w:spacing w:before="240" w:after="240" w:line="240" w:lineRule="auto"/>
              <w:ind w:firstLine="0"/>
            </w:pPr>
            <w:r w:rsidRPr="00990C1A">
              <w:t>3.</w:t>
            </w:r>
            <w:r w:rsidR="00FC06B2" w:rsidRPr="00990C1A">
              <w:t xml:space="preserve"> </w:t>
            </w:r>
            <w:r w:rsidR="00BC33AC" w:rsidRPr="00990C1A">
              <w:t>La confidencialidad de ciertos datos internos de la empresa limitará el acceso a información sensible, como presupuestos detallados, contratos comerciales o métricas financieras específicas, lo cual podría restringir la profundidad del análisis en algunos apartados.</w:t>
            </w:r>
          </w:p>
          <w:p w14:paraId="0000029B" w14:textId="35705CE3" w:rsidR="00A2355F" w:rsidRDefault="00990D5A" w:rsidP="00FC06B2">
            <w:pPr>
              <w:spacing w:before="240" w:after="240" w:line="240" w:lineRule="auto"/>
              <w:ind w:firstLine="0"/>
              <w:rPr>
                <w:highlight w:val="yellow"/>
              </w:rPr>
            </w:pPr>
            <w:r w:rsidRPr="004D0870">
              <w:t>4.</w:t>
            </w:r>
            <w:r w:rsidR="00FC06B2" w:rsidRPr="004D0870">
              <w:t xml:space="preserve"> La disponibilidad de tiempo para entrevistas, revisiones o aportes por parte del equipo interno de Contract Workplaces estará sujeta a su carga operativa, lo cual podría afectar los tiempos de recolección de información.</w:t>
            </w:r>
          </w:p>
        </w:tc>
      </w:tr>
    </w:tbl>
    <w:p w14:paraId="0000029C" w14:textId="77777777" w:rsidR="00A2355F" w:rsidRDefault="00A2355F">
      <w:pPr>
        <w:spacing w:line="240" w:lineRule="auto"/>
        <w:ind w:left="720" w:firstLine="0"/>
        <w:rPr>
          <w:sz w:val="24"/>
        </w:rPr>
      </w:pPr>
    </w:p>
    <w:p w14:paraId="0000029D" w14:textId="77777777" w:rsidR="00A2355F" w:rsidRDefault="00A2355F">
      <w:pPr>
        <w:spacing w:line="240" w:lineRule="auto"/>
        <w:ind w:firstLine="0"/>
        <w:rPr>
          <w:sz w:val="24"/>
        </w:rPr>
      </w:pPr>
    </w:p>
    <w:p w14:paraId="0000029E" w14:textId="77777777" w:rsidR="00A2355F" w:rsidRDefault="00990D5A">
      <w:pPr>
        <w:numPr>
          <w:ilvl w:val="0"/>
          <w:numId w:val="5"/>
        </w:numPr>
        <w:spacing w:line="240" w:lineRule="auto"/>
        <w:rPr>
          <w:sz w:val="24"/>
        </w:rPr>
      </w:pPr>
      <w:r>
        <w:rPr>
          <w:sz w:val="24"/>
        </w:rPr>
        <w:t>Descripción de riesgos de la elaboración del PFG</w:t>
      </w:r>
    </w:p>
    <w:p w14:paraId="0000029F" w14:textId="77777777" w:rsidR="00A2355F" w:rsidRDefault="00A2355F">
      <w:pPr>
        <w:spacing w:line="240" w:lineRule="auto"/>
        <w:ind w:left="720" w:firstLine="0"/>
        <w:rPr>
          <w:sz w:val="24"/>
        </w:rPr>
      </w:pPr>
    </w:p>
    <w:tbl>
      <w:tblPr>
        <w:tblStyle w:val="2"/>
        <w:tblpPr w:leftFromText="141" w:rightFromText="141" w:vertAnchor="text" w:tblpX="335"/>
        <w:tblW w:w="869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92"/>
      </w:tblGrid>
      <w:tr w:rsidR="00A2355F" w14:paraId="4C7F4F63" w14:textId="77777777">
        <w:tc>
          <w:tcPr>
            <w:tcW w:w="8692" w:type="dxa"/>
          </w:tcPr>
          <w:p w14:paraId="000002A0" w14:textId="77777777" w:rsidR="00A2355F" w:rsidRDefault="00990D5A" w:rsidP="00D87210">
            <w:pPr>
              <w:numPr>
                <w:ilvl w:val="0"/>
                <w:numId w:val="60"/>
              </w:numPr>
              <w:spacing w:line="240" w:lineRule="auto"/>
            </w:pPr>
            <w:r>
              <w:t>La falta de disponibilidad de colaboradores clave en Contract Workplaces podría retrasar las entrevistas o la recolección de información necesaria, lo que afectaría el análisis del proceso actual y el cumplimiento del cronograma.</w:t>
            </w:r>
            <w:r>
              <w:br/>
            </w:r>
          </w:p>
          <w:p w14:paraId="000002A1" w14:textId="77777777" w:rsidR="00A2355F" w:rsidRDefault="00990D5A" w:rsidP="00D87210">
            <w:pPr>
              <w:numPr>
                <w:ilvl w:val="0"/>
                <w:numId w:val="60"/>
              </w:numPr>
              <w:spacing w:line="240" w:lineRule="auto"/>
            </w:pPr>
            <w:r>
              <w:t>Un cambio en la estructura organizativa o procesos internos de la empresa durante el desarrollo del PFG podría hacer que parte del diagnóstico o propuesta quede desactualizada, reduciendo su aplicabilidad.</w:t>
            </w:r>
            <w:r>
              <w:br/>
            </w:r>
          </w:p>
          <w:p w14:paraId="000002A2" w14:textId="77777777" w:rsidR="00A2355F" w:rsidRDefault="00990D5A" w:rsidP="00D87210">
            <w:pPr>
              <w:numPr>
                <w:ilvl w:val="0"/>
                <w:numId w:val="60"/>
              </w:numPr>
              <w:spacing w:line="240" w:lineRule="auto"/>
            </w:pPr>
            <w:r>
              <w:t>Problemas técnicos con el acceso o uso de herramientas como Revit, Asana, BIM o Project podrían dificultar la elaboración de diagramas, cronogramas o plantillas propuestas, afectando la calidad de los entregables.</w:t>
            </w:r>
            <w:r>
              <w:br/>
            </w:r>
          </w:p>
          <w:p w14:paraId="000002A3" w14:textId="77777777" w:rsidR="00A2355F" w:rsidRDefault="00990D5A" w:rsidP="00D87210">
            <w:pPr>
              <w:numPr>
                <w:ilvl w:val="0"/>
                <w:numId w:val="60"/>
              </w:numPr>
              <w:spacing w:line="240" w:lineRule="auto"/>
            </w:pPr>
            <w:r>
              <w:t>La saturación de otras responsabilidades académicas o laborales del estudiante podría limitar el tiempo efectivo dedicado al PFG, comprometiendo la profundidad del análisis o la calidad de la propuesta.</w:t>
            </w:r>
          </w:p>
          <w:p w14:paraId="000002A4" w14:textId="77777777" w:rsidR="00A2355F" w:rsidRDefault="00A2355F">
            <w:pPr>
              <w:spacing w:line="240" w:lineRule="auto"/>
              <w:ind w:firstLine="0"/>
              <w:jc w:val="both"/>
              <w:rPr>
                <w:highlight w:val="yellow"/>
              </w:rPr>
            </w:pPr>
          </w:p>
          <w:p w14:paraId="000002A5" w14:textId="77777777" w:rsidR="00A2355F" w:rsidRDefault="00A2355F">
            <w:pPr>
              <w:spacing w:line="240" w:lineRule="auto"/>
              <w:ind w:firstLine="0"/>
              <w:rPr>
                <w:sz w:val="24"/>
              </w:rPr>
            </w:pPr>
          </w:p>
        </w:tc>
      </w:tr>
    </w:tbl>
    <w:p w14:paraId="000002A6" w14:textId="77777777" w:rsidR="00A2355F" w:rsidRDefault="00A2355F">
      <w:pPr>
        <w:spacing w:line="240" w:lineRule="auto"/>
        <w:ind w:firstLine="0"/>
        <w:rPr>
          <w:sz w:val="24"/>
        </w:rPr>
      </w:pPr>
    </w:p>
    <w:p w14:paraId="000002A7" w14:textId="77777777" w:rsidR="00A2355F" w:rsidRDefault="00990D5A">
      <w:pPr>
        <w:numPr>
          <w:ilvl w:val="0"/>
          <w:numId w:val="5"/>
        </w:numPr>
        <w:spacing w:line="240" w:lineRule="auto"/>
        <w:rPr>
          <w:sz w:val="24"/>
        </w:rPr>
      </w:pPr>
      <w:r>
        <w:rPr>
          <w:sz w:val="24"/>
        </w:rPr>
        <w:t>Principales hitos del PFG</w:t>
      </w:r>
    </w:p>
    <w:p w14:paraId="000002A8" w14:textId="77777777" w:rsidR="00A2355F" w:rsidRDefault="00A2355F">
      <w:pPr>
        <w:spacing w:line="240" w:lineRule="auto"/>
        <w:ind w:left="720" w:firstLine="0"/>
        <w:rPr>
          <w:sz w:val="24"/>
        </w:rPr>
      </w:pPr>
    </w:p>
    <w:tbl>
      <w:tblPr>
        <w:tblStyle w:val="1"/>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40"/>
        <w:gridCol w:w="4425"/>
      </w:tblGrid>
      <w:tr w:rsidR="00A2355F" w14:paraId="4B1567D3" w14:textId="77777777">
        <w:trPr>
          <w:trHeight w:val="285"/>
        </w:trPr>
        <w:tc>
          <w:tcPr>
            <w:tcW w:w="44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2A9" w14:textId="77777777" w:rsidR="00A2355F" w:rsidRDefault="00990D5A">
            <w:pPr>
              <w:spacing w:before="240" w:line="276" w:lineRule="auto"/>
              <w:ind w:firstLine="0"/>
              <w:rPr>
                <w:b/>
              </w:rPr>
            </w:pPr>
            <w:r>
              <w:rPr>
                <w:b/>
              </w:rPr>
              <w:t>Entregable (Código EDT)</w:t>
            </w:r>
          </w:p>
        </w:tc>
        <w:tc>
          <w:tcPr>
            <w:tcW w:w="442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00002AA" w14:textId="77777777" w:rsidR="00A2355F" w:rsidRDefault="00990D5A">
            <w:pPr>
              <w:spacing w:before="240" w:line="276" w:lineRule="auto"/>
              <w:ind w:firstLine="0"/>
              <w:rPr>
                <w:b/>
              </w:rPr>
            </w:pPr>
            <w:r>
              <w:rPr>
                <w:b/>
              </w:rPr>
              <w:t>Fecha estimada de finalización</w:t>
            </w:r>
          </w:p>
        </w:tc>
      </w:tr>
      <w:tr w:rsidR="00A2355F" w14:paraId="0F3CF8D9" w14:textId="77777777">
        <w:trPr>
          <w:trHeight w:val="285"/>
        </w:trPr>
        <w:tc>
          <w:tcPr>
            <w:tcW w:w="44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0002AB" w14:textId="77777777" w:rsidR="00A2355F" w:rsidRDefault="00990D5A">
            <w:pPr>
              <w:spacing w:before="240" w:line="276" w:lineRule="auto"/>
              <w:ind w:firstLine="0"/>
            </w:pPr>
            <w:r>
              <w:t>1.1 Perfil del PFG</w:t>
            </w:r>
          </w:p>
        </w:tc>
        <w:tc>
          <w:tcPr>
            <w:tcW w:w="4425" w:type="dxa"/>
            <w:tcBorders>
              <w:top w:val="nil"/>
              <w:left w:val="nil"/>
              <w:bottom w:val="single" w:sz="4" w:space="0" w:color="000000"/>
              <w:right w:val="single" w:sz="4" w:space="0" w:color="000000"/>
            </w:tcBorders>
            <w:tcMar>
              <w:top w:w="0" w:type="dxa"/>
              <w:left w:w="100" w:type="dxa"/>
              <w:bottom w:w="0" w:type="dxa"/>
              <w:right w:w="100" w:type="dxa"/>
            </w:tcMar>
          </w:tcPr>
          <w:p w14:paraId="000002AC" w14:textId="77777777" w:rsidR="00A2355F" w:rsidRDefault="00990D5A">
            <w:pPr>
              <w:spacing w:before="240" w:line="276" w:lineRule="auto"/>
              <w:ind w:firstLine="0"/>
            </w:pPr>
            <w:r>
              <w:t>Mayo 2025</w:t>
            </w:r>
          </w:p>
        </w:tc>
      </w:tr>
      <w:tr w:rsidR="00A2355F" w14:paraId="31236597" w14:textId="77777777">
        <w:trPr>
          <w:trHeight w:val="570"/>
        </w:trPr>
        <w:tc>
          <w:tcPr>
            <w:tcW w:w="44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0002AD" w14:textId="77777777" w:rsidR="00A2355F" w:rsidRDefault="00990D5A">
            <w:pPr>
              <w:spacing w:before="240" w:line="276" w:lineRule="auto"/>
              <w:ind w:firstLine="0"/>
            </w:pPr>
            <w:r>
              <w:lastRenderedPageBreak/>
              <w:t xml:space="preserve">  1.1.1 Acta de Proyecto e Investigación bibliográfica preliminar</w:t>
            </w:r>
          </w:p>
        </w:tc>
        <w:tc>
          <w:tcPr>
            <w:tcW w:w="4425" w:type="dxa"/>
            <w:tcBorders>
              <w:top w:val="nil"/>
              <w:left w:val="nil"/>
              <w:bottom w:val="single" w:sz="4" w:space="0" w:color="000000"/>
              <w:right w:val="single" w:sz="4" w:space="0" w:color="000000"/>
            </w:tcBorders>
            <w:tcMar>
              <w:top w:w="0" w:type="dxa"/>
              <w:left w:w="100" w:type="dxa"/>
              <w:bottom w:w="0" w:type="dxa"/>
              <w:right w:w="100" w:type="dxa"/>
            </w:tcMar>
          </w:tcPr>
          <w:p w14:paraId="000002AE" w14:textId="77777777" w:rsidR="00A2355F" w:rsidRDefault="00990D5A">
            <w:pPr>
              <w:spacing w:before="240" w:line="276" w:lineRule="auto"/>
              <w:ind w:firstLine="0"/>
            </w:pPr>
            <w:r>
              <w:t>Mayo 2025</w:t>
            </w:r>
          </w:p>
        </w:tc>
      </w:tr>
      <w:tr w:rsidR="00A2355F" w14:paraId="35FD13A5" w14:textId="77777777">
        <w:trPr>
          <w:trHeight w:val="570"/>
        </w:trPr>
        <w:tc>
          <w:tcPr>
            <w:tcW w:w="44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0002AF" w14:textId="77777777" w:rsidR="00A2355F" w:rsidRDefault="00990D5A">
            <w:pPr>
              <w:spacing w:before="240" w:line="276" w:lineRule="auto"/>
              <w:ind w:firstLine="0"/>
            </w:pPr>
            <w:r>
              <w:t xml:space="preserve">  1.1.2 Objetivos, justificación, hipótesis y pregunta</w:t>
            </w:r>
          </w:p>
        </w:tc>
        <w:tc>
          <w:tcPr>
            <w:tcW w:w="4425" w:type="dxa"/>
            <w:tcBorders>
              <w:top w:val="nil"/>
              <w:left w:val="nil"/>
              <w:bottom w:val="single" w:sz="4" w:space="0" w:color="000000"/>
              <w:right w:val="single" w:sz="4" w:space="0" w:color="000000"/>
            </w:tcBorders>
            <w:tcMar>
              <w:top w:w="0" w:type="dxa"/>
              <w:left w:w="100" w:type="dxa"/>
              <w:bottom w:w="0" w:type="dxa"/>
              <w:right w:w="100" w:type="dxa"/>
            </w:tcMar>
          </w:tcPr>
          <w:p w14:paraId="000002B0" w14:textId="77777777" w:rsidR="00A2355F" w:rsidRDefault="00990D5A">
            <w:pPr>
              <w:spacing w:before="240" w:line="276" w:lineRule="auto"/>
              <w:ind w:firstLine="0"/>
            </w:pPr>
            <w:r>
              <w:t>Mayo 2025</w:t>
            </w:r>
          </w:p>
        </w:tc>
      </w:tr>
      <w:tr w:rsidR="00A2355F" w14:paraId="48E766D9" w14:textId="77777777">
        <w:trPr>
          <w:trHeight w:val="570"/>
        </w:trPr>
        <w:tc>
          <w:tcPr>
            <w:tcW w:w="44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0002B1" w14:textId="77777777" w:rsidR="00A2355F" w:rsidRDefault="00990D5A">
            <w:pPr>
              <w:spacing w:before="240" w:line="276" w:lineRule="auto"/>
              <w:ind w:firstLine="0"/>
            </w:pPr>
            <w:r>
              <w:t xml:space="preserve">  1.1.3 Estructura de Desglose del Trabajo (EDT)</w:t>
            </w:r>
          </w:p>
        </w:tc>
        <w:tc>
          <w:tcPr>
            <w:tcW w:w="4425" w:type="dxa"/>
            <w:tcBorders>
              <w:top w:val="nil"/>
              <w:left w:val="nil"/>
              <w:bottom w:val="single" w:sz="4" w:space="0" w:color="000000"/>
              <w:right w:val="single" w:sz="4" w:space="0" w:color="000000"/>
            </w:tcBorders>
            <w:tcMar>
              <w:top w:w="0" w:type="dxa"/>
              <w:left w:w="100" w:type="dxa"/>
              <w:bottom w:w="0" w:type="dxa"/>
              <w:right w:w="100" w:type="dxa"/>
            </w:tcMar>
          </w:tcPr>
          <w:p w14:paraId="000002B2" w14:textId="77777777" w:rsidR="00A2355F" w:rsidRDefault="00990D5A">
            <w:pPr>
              <w:spacing w:before="240" w:line="276" w:lineRule="auto"/>
              <w:ind w:firstLine="0"/>
            </w:pPr>
            <w:r>
              <w:t>Mayo 2025</w:t>
            </w:r>
          </w:p>
        </w:tc>
      </w:tr>
      <w:tr w:rsidR="00A2355F" w14:paraId="70617EBA" w14:textId="77777777">
        <w:trPr>
          <w:trHeight w:val="285"/>
        </w:trPr>
        <w:tc>
          <w:tcPr>
            <w:tcW w:w="44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0002B3" w14:textId="77777777" w:rsidR="00A2355F" w:rsidRDefault="00990D5A">
            <w:pPr>
              <w:spacing w:before="240" w:line="276" w:lineRule="auto"/>
              <w:ind w:firstLine="0"/>
            </w:pPr>
            <w:r>
              <w:t>1.2 Desarrollo del PFG</w:t>
            </w:r>
          </w:p>
        </w:tc>
        <w:tc>
          <w:tcPr>
            <w:tcW w:w="4425" w:type="dxa"/>
            <w:tcBorders>
              <w:top w:val="nil"/>
              <w:left w:val="nil"/>
              <w:bottom w:val="single" w:sz="4" w:space="0" w:color="000000"/>
              <w:right w:val="single" w:sz="4" w:space="0" w:color="000000"/>
            </w:tcBorders>
            <w:tcMar>
              <w:top w:w="0" w:type="dxa"/>
              <w:left w:w="100" w:type="dxa"/>
              <w:bottom w:w="0" w:type="dxa"/>
              <w:right w:w="100" w:type="dxa"/>
            </w:tcMar>
          </w:tcPr>
          <w:p w14:paraId="000002B4" w14:textId="77777777" w:rsidR="00A2355F" w:rsidRDefault="00990D5A">
            <w:pPr>
              <w:spacing w:before="240" w:line="276" w:lineRule="auto"/>
              <w:ind w:firstLine="0"/>
            </w:pPr>
            <w:r>
              <w:t>Agosto 2025</w:t>
            </w:r>
          </w:p>
        </w:tc>
      </w:tr>
      <w:tr w:rsidR="00A2355F" w14:paraId="674794FD" w14:textId="77777777">
        <w:trPr>
          <w:trHeight w:val="570"/>
        </w:trPr>
        <w:tc>
          <w:tcPr>
            <w:tcW w:w="44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0002B5" w14:textId="77777777" w:rsidR="00A2355F" w:rsidRDefault="00990D5A">
            <w:pPr>
              <w:spacing w:before="240" w:line="276" w:lineRule="auto"/>
              <w:ind w:firstLine="0"/>
            </w:pPr>
            <w:r>
              <w:t xml:space="preserve">  1.2.1 Informe de análisis del proceso actual</w:t>
            </w:r>
          </w:p>
        </w:tc>
        <w:tc>
          <w:tcPr>
            <w:tcW w:w="4425" w:type="dxa"/>
            <w:tcBorders>
              <w:top w:val="nil"/>
              <w:left w:val="nil"/>
              <w:bottom w:val="single" w:sz="4" w:space="0" w:color="000000"/>
              <w:right w:val="single" w:sz="4" w:space="0" w:color="000000"/>
            </w:tcBorders>
            <w:tcMar>
              <w:top w:w="0" w:type="dxa"/>
              <w:left w:w="100" w:type="dxa"/>
              <w:bottom w:w="0" w:type="dxa"/>
              <w:right w:w="100" w:type="dxa"/>
            </w:tcMar>
          </w:tcPr>
          <w:p w14:paraId="000002B6" w14:textId="77777777" w:rsidR="00A2355F" w:rsidRDefault="00990D5A">
            <w:pPr>
              <w:spacing w:before="240" w:line="276" w:lineRule="auto"/>
              <w:ind w:firstLine="0"/>
            </w:pPr>
            <w:r>
              <w:t>Junio 2025</w:t>
            </w:r>
          </w:p>
        </w:tc>
      </w:tr>
      <w:tr w:rsidR="00A2355F" w14:paraId="402B8BA5" w14:textId="77777777">
        <w:trPr>
          <w:trHeight w:val="570"/>
        </w:trPr>
        <w:tc>
          <w:tcPr>
            <w:tcW w:w="44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0002B7" w14:textId="77777777" w:rsidR="00A2355F" w:rsidRDefault="00990D5A">
            <w:pPr>
              <w:spacing w:before="240" w:line="276" w:lineRule="auto"/>
              <w:ind w:firstLine="0"/>
            </w:pPr>
            <w:r>
              <w:t xml:space="preserve">  1.2.2 Informe de necesidades de integración</w:t>
            </w:r>
          </w:p>
        </w:tc>
        <w:tc>
          <w:tcPr>
            <w:tcW w:w="4425" w:type="dxa"/>
            <w:tcBorders>
              <w:top w:val="nil"/>
              <w:left w:val="nil"/>
              <w:bottom w:val="single" w:sz="4" w:space="0" w:color="000000"/>
              <w:right w:val="single" w:sz="4" w:space="0" w:color="000000"/>
            </w:tcBorders>
            <w:tcMar>
              <w:top w:w="0" w:type="dxa"/>
              <w:left w:w="100" w:type="dxa"/>
              <w:bottom w:w="0" w:type="dxa"/>
              <w:right w:w="100" w:type="dxa"/>
            </w:tcMar>
          </w:tcPr>
          <w:p w14:paraId="000002B8" w14:textId="77777777" w:rsidR="00A2355F" w:rsidRDefault="00990D5A">
            <w:pPr>
              <w:spacing w:before="240" w:line="276" w:lineRule="auto"/>
              <w:ind w:firstLine="0"/>
            </w:pPr>
            <w:r>
              <w:t>Junio 2025</w:t>
            </w:r>
          </w:p>
        </w:tc>
      </w:tr>
      <w:tr w:rsidR="00A2355F" w14:paraId="61991BB2" w14:textId="77777777">
        <w:trPr>
          <w:trHeight w:val="285"/>
        </w:trPr>
        <w:tc>
          <w:tcPr>
            <w:tcW w:w="44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0002B9" w14:textId="77777777" w:rsidR="00A2355F" w:rsidRDefault="00990D5A">
            <w:pPr>
              <w:spacing w:before="240" w:line="276" w:lineRule="auto"/>
              <w:ind w:firstLine="0"/>
            </w:pPr>
            <w:r>
              <w:t xml:space="preserve">  1.2.3 Documento con propuesta de mejora</w:t>
            </w:r>
          </w:p>
        </w:tc>
        <w:tc>
          <w:tcPr>
            <w:tcW w:w="4425" w:type="dxa"/>
            <w:tcBorders>
              <w:top w:val="nil"/>
              <w:left w:val="nil"/>
              <w:bottom w:val="single" w:sz="4" w:space="0" w:color="000000"/>
              <w:right w:val="single" w:sz="4" w:space="0" w:color="000000"/>
            </w:tcBorders>
            <w:tcMar>
              <w:top w:w="0" w:type="dxa"/>
              <w:left w:w="100" w:type="dxa"/>
              <w:bottom w:w="0" w:type="dxa"/>
              <w:right w:w="100" w:type="dxa"/>
            </w:tcMar>
          </w:tcPr>
          <w:p w14:paraId="000002BA" w14:textId="77777777" w:rsidR="00A2355F" w:rsidRDefault="00990D5A">
            <w:pPr>
              <w:spacing w:before="240" w:line="276" w:lineRule="auto"/>
              <w:ind w:firstLine="0"/>
            </w:pPr>
            <w:r>
              <w:t>Julio 2025</w:t>
            </w:r>
          </w:p>
        </w:tc>
      </w:tr>
      <w:tr w:rsidR="00A2355F" w14:paraId="49C864F0" w14:textId="77777777">
        <w:trPr>
          <w:trHeight w:val="285"/>
        </w:trPr>
        <w:tc>
          <w:tcPr>
            <w:tcW w:w="44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0002BB" w14:textId="77777777" w:rsidR="00A2355F" w:rsidRDefault="00990D5A">
            <w:pPr>
              <w:spacing w:before="240" w:line="276" w:lineRule="auto"/>
              <w:ind w:firstLine="0"/>
            </w:pPr>
            <w:r>
              <w:t xml:space="preserve">  1.2.4 Plan de implementación teórico</w:t>
            </w:r>
          </w:p>
        </w:tc>
        <w:tc>
          <w:tcPr>
            <w:tcW w:w="4425" w:type="dxa"/>
            <w:tcBorders>
              <w:top w:val="nil"/>
              <w:left w:val="nil"/>
              <w:bottom w:val="single" w:sz="4" w:space="0" w:color="000000"/>
              <w:right w:val="single" w:sz="4" w:space="0" w:color="000000"/>
            </w:tcBorders>
            <w:tcMar>
              <w:top w:w="0" w:type="dxa"/>
              <w:left w:w="100" w:type="dxa"/>
              <w:bottom w:w="0" w:type="dxa"/>
              <w:right w:w="100" w:type="dxa"/>
            </w:tcMar>
          </w:tcPr>
          <w:p w14:paraId="000002BC" w14:textId="77777777" w:rsidR="00A2355F" w:rsidRDefault="00990D5A">
            <w:pPr>
              <w:spacing w:before="240" w:line="276" w:lineRule="auto"/>
              <w:ind w:firstLine="0"/>
            </w:pPr>
            <w:r>
              <w:t>Julio 2025</w:t>
            </w:r>
          </w:p>
        </w:tc>
      </w:tr>
      <w:tr w:rsidR="00A2355F" w14:paraId="27D52CE5" w14:textId="77777777">
        <w:trPr>
          <w:trHeight w:val="570"/>
        </w:trPr>
        <w:tc>
          <w:tcPr>
            <w:tcW w:w="44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0002BD" w14:textId="77777777" w:rsidR="00A2355F" w:rsidRDefault="00990D5A">
            <w:pPr>
              <w:spacing w:before="240" w:line="276" w:lineRule="auto"/>
              <w:ind w:firstLine="0"/>
            </w:pPr>
            <w:r>
              <w:t xml:space="preserve">  1.2.5 Validación metodológica de la propuesta</w:t>
            </w:r>
          </w:p>
        </w:tc>
        <w:tc>
          <w:tcPr>
            <w:tcW w:w="4425" w:type="dxa"/>
            <w:tcBorders>
              <w:top w:val="nil"/>
              <w:left w:val="nil"/>
              <w:bottom w:val="single" w:sz="4" w:space="0" w:color="000000"/>
              <w:right w:val="single" w:sz="4" w:space="0" w:color="000000"/>
            </w:tcBorders>
            <w:tcMar>
              <w:top w:w="0" w:type="dxa"/>
              <w:left w:w="100" w:type="dxa"/>
              <w:bottom w:w="0" w:type="dxa"/>
              <w:right w:w="100" w:type="dxa"/>
            </w:tcMar>
          </w:tcPr>
          <w:p w14:paraId="000002BE" w14:textId="77777777" w:rsidR="00A2355F" w:rsidRDefault="00990D5A">
            <w:pPr>
              <w:spacing w:before="240" w:line="276" w:lineRule="auto"/>
              <w:ind w:firstLine="0"/>
            </w:pPr>
            <w:r>
              <w:t>Septiembre 2025</w:t>
            </w:r>
          </w:p>
        </w:tc>
      </w:tr>
      <w:tr w:rsidR="00A2355F" w14:paraId="382821A3" w14:textId="77777777">
        <w:trPr>
          <w:trHeight w:val="285"/>
        </w:trPr>
        <w:tc>
          <w:tcPr>
            <w:tcW w:w="44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0002BF" w14:textId="77777777" w:rsidR="00A2355F" w:rsidRDefault="00990D5A">
            <w:pPr>
              <w:spacing w:before="240" w:line="276" w:lineRule="auto"/>
              <w:ind w:firstLine="0"/>
            </w:pPr>
            <w:r>
              <w:t>1.3 Revisión de lectores</w:t>
            </w:r>
          </w:p>
        </w:tc>
        <w:tc>
          <w:tcPr>
            <w:tcW w:w="4425" w:type="dxa"/>
            <w:tcBorders>
              <w:top w:val="nil"/>
              <w:left w:val="nil"/>
              <w:bottom w:val="single" w:sz="4" w:space="0" w:color="000000"/>
              <w:right w:val="single" w:sz="4" w:space="0" w:color="000000"/>
            </w:tcBorders>
            <w:tcMar>
              <w:top w:w="0" w:type="dxa"/>
              <w:left w:w="100" w:type="dxa"/>
              <w:bottom w:w="0" w:type="dxa"/>
              <w:right w:w="100" w:type="dxa"/>
            </w:tcMar>
          </w:tcPr>
          <w:p w14:paraId="000002C0" w14:textId="77777777" w:rsidR="00A2355F" w:rsidRDefault="00990D5A">
            <w:pPr>
              <w:spacing w:before="240" w:line="276" w:lineRule="auto"/>
              <w:ind w:firstLine="0"/>
            </w:pPr>
            <w:r>
              <w:t>Septiembre 2025</w:t>
            </w:r>
          </w:p>
        </w:tc>
      </w:tr>
      <w:tr w:rsidR="00A2355F" w14:paraId="769F38E3" w14:textId="77777777">
        <w:trPr>
          <w:trHeight w:val="285"/>
        </w:trPr>
        <w:tc>
          <w:tcPr>
            <w:tcW w:w="44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0002C1" w14:textId="77777777" w:rsidR="00A2355F" w:rsidRDefault="00990D5A">
            <w:pPr>
              <w:spacing w:before="240" w:line="276" w:lineRule="auto"/>
              <w:ind w:firstLine="0"/>
            </w:pPr>
            <w:r>
              <w:t>1.4 Evaluación del tribunal</w:t>
            </w:r>
          </w:p>
        </w:tc>
        <w:tc>
          <w:tcPr>
            <w:tcW w:w="4425" w:type="dxa"/>
            <w:tcBorders>
              <w:top w:val="nil"/>
              <w:left w:val="nil"/>
              <w:bottom w:val="single" w:sz="4" w:space="0" w:color="000000"/>
              <w:right w:val="single" w:sz="4" w:space="0" w:color="000000"/>
            </w:tcBorders>
            <w:tcMar>
              <w:top w:w="0" w:type="dxa"/>
              <w:left w:w="100" w:type="dxa"/>
              <w:bottom w:w="0" w:type="dxa"/>
              <w:right w:w="100" w:type="dxa"/>
            </w:tcMar>
          </w:tcPr>
          <w:p w14:paraId="000002C2" w14:textId="77777777" w:rsidR="00A2355F" w:rsidRDefault="00990D5A">
            <w:pPr>
              <w:spacing w:before="240" w:line="276" w:lineRule="auto"/>
              <w:ind w:firstLine="0"/>
            </w:pPr>
            <w:r>
              <w:t>Noviembre 2025</w:t>
            </w:r>
          </w:p>
        </w:tc>
      </w:tr>
    </w:tbl>
    <w:p w14:paraId="000002C3" w14:textId="77777777" w:rsidR="00A2355F" w:rsidRDefault="00A2355F">
      <w:pPr>
        <w:spacing w:line="240" w:lineRule="auto"/>
        <w:ind w:left="720" w:firstLine="0"/>
        <w:rPr>
          <w:sz w:val="24"/>
        </w:rPr>
      </w:pPr>
    </w:p>
    <w:p w14:paraId="000002C4" w14:textId="77777777" w:rsidR="00A2355F" w:rsidRPr="004E4589" w:rsidRDefault="00A2355F">
      <w:pPr>
        <w:spacing w:line="240" w:lineRule="auto"/>
        <w:ind w:firstLine="0"/>
        <w:rPr>
          <w:rFonts w:ascii="Times New Roman" w:eastAsia="Times New Roman" w:hAnsi="Times New Roman" w:cs="Times New Roman"/>
          <w:b/>
          <w:bCs/>
          <w:sz w:val="24"/>
          <w:highlight w:val="magenta"/>
        </w:rPr>
      </w:pPr>
    </w:p>
    <w:p w14:paraId="000002C5" w14:textId="77777777" w:rsidR="00A2355F" w:rsidRPr="004E4589" w:rsidRDefault="00990D5A">
      <w:pPr>
        <w:numPr>
          <w:ilvl w:val="0"/>
          <w:numId w:val="5"/>
        </w:numPr>
        <w:pBdr>
          <w:top w:val="nil"/>
          <w:left w:val="nil"/>
          <w:bottom w:val="nil"/>
          <w:right w:val="nil"/>
          <w:between w:val="nil"/>
        </w:pBdr>
        <w:rPr>
          <w:b/>
          <w:bCs/>
        </w:rPr>
      </w:pPr>
      <w:r w:rsidRPr="004E4589">
        <w:rPr>
          <w:b/>
          <w:bCs/>
          <w:color w:val="000000"/>
        </w:rPr>
        <w:t>Principales involucrados en el desarrollo del PFG</w:t>
      </w:r>
    </w:p>
    <w:p w14:paraId="000002C6" w14:textId="77777777" w:rsidR="00A2355F" w:rsidRPr="009463E2" w:rsidRDefault="00990D5A">
      <w:pPr>
        <w:pBdr>
          <w:top w:val="nil"/>
          <w:left w:val="nil"/>
          <w:bottom w:val="nil"/>
          <w:right w:val="nil"/>
          <w:between w:val="nil"/>
        </w:pBdr>
        <w:ind w:left="720" w:firstLine="0"/>
        <w:rPr>
          <w:b/>
          <w:bCs/>
          <w:color w:val="000000"/>
        </w:rPr>
      </w:pPr>
      <w:r w:rsidRPr="009463E2">
        <w:rPr>
          <w:b/>
          <w:bCs/>
          <w:color w:val="000000"/>
        </w:rPr>
        <w:t>Involucrados directos</w:t>
      </w:r>
    </w:p>
    <w:p w14:paraId="6EB99A4F" w14:textId="2E02F517" w:rsidR="009463E2" w:rsidRPr="009463E2" w:rsidRDefault="009463E2">
      <w:pPr>
        <w:numPr>
          <w:ilvl w:val="0"/>
          <w:numId w:val="6"/>
        </w:numPr>
        <w:pBdr>
          <w:top w:val="nil"/>
          <w:left w:val="nil"/>
          <w:bottom w:val="nil"/>
          <w:right w:val="nil"/>
          <w:between w:val="nil"/>
        </w:pBdr>
        <w:tabs>
          <w:tab w:val="num" w:pos="720"/>
        </w:tabs>
        <w:rPr>
          <w:color w:val="000000"/>
          <w:lang w:val="es-CR"/>
        </w:rPr>
      </w:pPr>
      <w:r w:rsidRPr="009463E2">
        <w:rPr>
          <w:b/>
          <w:bCs/>
          <w:color w:val="000000"/>
          <w:lang w:val="es-CR"/>
        </w:rPr>
        <w:t>Estudiante responsable del PFG:</w:t>
      </w:r>
      <w:r>
        <w:rPr>
          <w:color w:val="000000"/>
          <w:lang w:val="es-CR"/>
        </w:rPr>
        <w:t xml:space="preserve"> </w:t>
      </w:r>
      <w:r w:rsidRPr="009463E2">
        <w:rPr>
          <w:color w:val="000000"/>
          <w:lang w:val="es-CR"/>
        </w:rPr>
        <w:t>Encargado de analizar, diseñar y redactar la propuesta de mejora de los procesos “Design &amp; Build” dentro de Contract Workplaces, así como de recolectar la información necesaria internamente.</w:t>
      </w:r>
    </w:p>
    <w:p w14:paraId="6161B113" w14:textId="0EB2AE9A" w:rsidR="009463E2" w:rsidRPr="009463E2" w:rsidRDefault="009463E2">
      <w:pPr>
        <w:numPr>
          <w:ilvl w:val="0"/>
          <w:numId w:val="6"/>
        </w:numPr>
        <w:pBdr>
          <w:top w:val="nil"/>
          <w:left w:val="nil"/>
          <w:bottom w:val="nil"/>
          <w:right w:val="nil"/>
          <w:between w:val="nil"/>
        </w:pBdr>
        <w:tabs>
          <w:tab w:val="num" w:pos="720"/>
        </w:tabs>
        <w:rPr>
          <w:color w:val="000000"/>
          <w:lang w:val="es-CR"/>
        </w:rPr>
      </w:pPr>
      <w:r w:rsidRPr="009463E2">
        <w:rPr>
          <w:b/>
          <w:bCs/>
          <w:color w:val="000000"/>
          <w:lang w:val="es-CR"/>
        </w:rPr>
        <w:t>Jefatura de diseño de Contract Workplaces:</w:t>
      </w:r>
      <w:r>
        <w:rPr>
          <w:color w:val="000000"/>
          <w:lang w:val="es-CR"/>
        </w:rPr>
        <w:t xml:space="preserve"> </w:t>
      </w:r>
      <w:r w:rsidRPr="009463E2">
        <w:rPr>
          <w:color w:val="000000"/>
          <w:lang w:val="es-CR"/>
        </w:rPr>
        <w:t>Proporcionan acceso a los procesos actuales, documentación y entrevistas para identificar oportunidades de mejora y validar los hallazgos.</w:t>
      </w:r>
    </w:p>
    <w:p w14:paraId="18E7FFD4" w14:textId="0115E864" w:rsidR="009463E2" w:rsidRPr="009463E2" w:rsidRDefault="009463E2">
      <w:pPr>
        <w:numPr>
          <w:ilvl w:val="0"/>
          <w:numId w:val="6"/>
        </w:numPr>
        <w:pBdr>
          <w:top w:val="nil"/>
          <w:left w:val="nil"/>
          <w:bottom w:val="nil"/>
          <w:right w:val="nil"/>
          <w:between w:val="nil"/>
        </w:pBdr>
        <w:rPr>
          <w:color w:val="000000"/>
          <w:lang w:val="es-CR"/>
        </w:rPr>
      </w:pPr>
      <w:r>
        <w:rPr>
          <w:b/>
          <w:bCs/>
          <w:color w:val="000000"/>
          <w:lang w:val="es-CR"/>
        </w:rPr>
        <w:lastRenderedPageBreak/>
        <w:t>Jefatura de construcción</w:t>
      </w:r>
      <w:r>
        <w:rPr>
          <w:color w:val="000000"/>
          <w:lang w:val="es-CR"/>
        </w:rPr>
        <w:t xml:space="preserve">: </w:t>
      </w:r>
      <w:r w:rsidRPr="009463E2">
        <w:rPr>
          <w:color w:val="000000"/>
          <w:lang w:val="es-CR"/>
        </w:rPr>
        <w:t>Aportan desde su experiencia operativa observaciones clave sobre la integración entre diseño y ejecución, tiempos, costos y calidad.</w:t>
      </w:r>
    </w:p>
    <w:p w14:paraId="68D22BE2" w14:textId="2729DD67" w:rsidR="009463E2" w:rsidRPr="009463E2" w:rsidRDefault="009463E2" w:rsidP="009463E2">
      <w:pPr>
        <w:pBdr>
          <w:top w:val="nil"/>
          <w:left w:val="nil"/>
          <w:bottom w:val="nil"/>
          <w:right w:val="nil"/>
          <w:between w:val="nil"/>
        </w:pBdr>
        <w:ind w:firstLine="720"/>
        <w:rPr>
          <w:b/>
          <w:bCs/>
          <w:color w:val="000000"/>
          <w:lang w:val="es-CR"/>
        </w:rPr>
      </w:pPr>
      <w:r>
        <w:rPr>
          <w:rFonts w:ascii="Segoe UI Emoji" w:hAnsi="Segoe UI Emoji" w:cs="Segoe UI Emoji"/>
          <w:b/>
          <w:bCs/>
          <w:color w:val="000000"/>
          <w:lang w:val="es-CR"/>
        </w:rPr>
        <w:t>I</w:t>
      </w:r>
      <w:r w:rsidRPr="009463E2">
        <w:rPr>
          <w:b/>
          <w:bCs/>
          <w:color w:val="000000"/>
          <w:lang w:val="es-CR"/>
        </w:rPr>
        <w:t>nvolucrados indirectos:</w:t>
      </w:r>
    </w:p>
    <w:p w14:paraId="61EA6985" w14:textId="36B9E6DA" w:rsidR="009463E2" w:rsidRPr="009463E2" w:rsidRDefault="009463E2">
      <w:pPr>
        <w:numPr>
          <w:ilvl w:val="0"/>
          <w:numId w:val="7"/>
        </w:numPr>
        <w:pBdr>
          <w:top w:val="nil"/>
          <w:left w:val="nil"/>
          <w:bottom w:val="nil"/>
          <w:right w:val="nil"/>
          <w:between w:val="nil"/>
        </w:pBdr>
        <w:tabs>
          <w:tab w:val="num" w:pos="720"/>
        </w:tabs>
        <w:rPr>
          <w:color w:val="000000"/>
          <w:lang w:val="es-CR"/>
        </w:rPr>
      </w:pPr>
      <w:r>
        <w:rPr>
          <w:b/>
          <w:bCs/>
          <w:color w:val="000000"/>
          <w:lang w:val="es-CR"/>
        </w:rPr>
        <w:t xml:space="preserve">Country manager </w:t>
      </w:r>
      <w:r w:rsidRPr="009463E2">
        <w:rPr>
          <w:b/>
          <w:bCs/>
          <w:color w:val="000000"/>
          <w:lang w:val="es-CR"/>
        </w:rPr>
        <w:t>de Contract Workplaces</w:t>
      </w:r>
      <w:r>
        <w:rPr>
          <w:color w:val="000000"/>
          <w:lang w:val="es-CR"/>
        </w:rPr>
        <w:t xml:space="preserve">: </w:t>
      </w:r>
      <w:r w:rsidRPr="009463E2">
        <w:rPr>
          <w:color w:val="000000"/>
          <w:lang w:val="es-CR"/>
        </w:rPr>
        <w:t>Brinda el aval institucional para el desarrollo del PFG dentro de la empresa y puede influir en la futura implementación de las recomendaciones.</w:t>
      </w:r>
    </w:p>
    <w:p w14:paraId="78DF0D26" w14:textId="34CEF104" w:rsidR="009463E2" w:rsidRPr="009463E2" w:rsidRDefault="009463E2">
      <w:pPr>
        <w:numPr>
          <w:ilvl w:val="0"/>
          <w:numId w:val="7"/>
        </w:numPr>
        <w:pBdr>
          <w:top w:val="nil"/>
          <w:left w:val="nil"/>
          <w:bottom w:val="nil"/>
          <w:right w:val="nil"/>
          <w:between w:val="nil"/>
        </w:pBdr>
        <w:tabs>
          <w:tab w:val="num" w:pos="720"/>
        </w:tabs>
        <w:rPr>
          <w:color w:val="000000"/>
          <w:lang w:val="es-CR"/>
        </w:rPr>
      </w:pPr>
      <w:r w:rsidRPr="009463E2">
        <w:rPr>
          <w:b/>
          <w:bCs/>
          <w:color w:val="000000"/>
          <w:lang w:val="es-CR"/>
        </w:rPr>
        <w:t>Áreas de soporte como RRHH</w:t>
      </w:r>
      <w:r>
        <w:rPr>
          <w:b/>
          <w:bCs/>
          <w:color w:val="000000"/>
          <w:lang w:val="es-CR"/>
        </w:rPr>
        <w:t xml:space="preserve">: </w:t>
      </w:r>
      <w:r w:rsidRPr="009463E2">
        <w:rPr>
          <w:color w:val="000000"/>
          <w:lang w:val="es-CR"/>
        </w:rPr>
        <w:t>Podrían aportar datos relevantes sobre gestión de procesos, estructura organizacional y desempeño histórico de proyectos.</w:t>
      </w:r>
    </w:p>
    <w:p w14:paraId="200851FC" w14:textId="33F88D40" w:rsidR="009463E2" w:rsidRPr="009463E2" w:rsidRDefault="009463E2">
      <w:pPr>
        <w:numPr>
          <w:ilvl w:val="0"/>
          <w:numId w:val="7"/>
        </w:numPr>
        <w:pBdr>
          <w:top w:val="nil"/>
          <w:left w:val="nil"/>
          <w:bottom w:val="nil"/>
          <w:right w:val="nil"/>
          <w:between w:val="nil"/>
        </w:pBdr>
        <w:tabs>
          <w:tab w:val="num" w:pos="720"/>
        </w:tabs>
        <w:rPr>
          <w:color w:val="000000"/>
          <w:lang w:val="es-CR"/>
        </w:rPr>
      </w:pPr>
      <w:r w:rsidRPr="009463E2">
        <w:rPr>
          <w:b/>
          <w:bCs/>
          <w:color w:val="000000"/>
          <w:lang w:val="es-CR"/>
        </w:rPr>
        <w:t>Colaboradores con experiencia en proyectos recientes “Design &amp; Build”</w:t>
      </w:r>
      <w:r>
        <w:rPr>
          <w:b/>
          <w:bCs/>
          <w:color w:val="000000"/>
          <w:lang w:val="es-CR"/>
        </w:rPr>
        <w:t>:</w:t>
      </w:r>
      <w:r>
        <w:rPr>
          <w:color w:val="000000"/>
          <w:lang w:val="es-CR"/>
        </w:rPr>
        <w:t xml:space="preserve"> </w:t>
      </w:r>
      <w:r w:rsidRPr="009463E2">
        <w:rPr>
          <w:color w:val="000000"/>
          <w:lang w:val="es-CR"/>
        </w:rPr>
        <w:t>Su participación indirecta puede enriquecer el análisis con antecedentes, informes y lecciones aprendidas aplicables al PFG.</w:t>
      </w:r>
    </w:p>
    <w:p w14:paraId="000002C9" w14:textId="77777777" w:rsidR="00A2355F" w:rsidRDefault="00A2355F" w:rsidP="009463E2">
      <w:pPr>
        <w:pBdr>
          <w:top w:val="nil"/>
          <w:left w:val="nil"/>
          <w:bottom w:val="nil"/>
          <w:right w:val="nil"/>
          <w:between w:val="nil"/>
        </w:pBdr>
        <w:ind w:left="360" w:firstLine="0"/>
        <w:rPr>
          <w:color w:val="000000"/>
        </w:rPr>
      </w:pPr>
    </w:p>
    <w:p w14:paraId="2B7FA34B" w14:textId="05DF72A2" w:rsidR="009A0FBA" w:rsidRDefault="009A0FBA">
      <w:pPr>
        <w:pStyle w:val="Ttulo3"/>
        <w:sectPr w:rsidR="009A0FBA">
          <w:headerReference w:type="default" r:id="rId76"/>
          <w:footerReference w:type="even" r:id="rId77"/>
          <w:footerReference w:type="default" r:id="rId78"/>
          <w:pgSz w:w="12242" w:h="15842"/>
          <w:pgMar w:top="1440" w:right="1440" w:bottom="1440" w:left="1440" w:header="709" w:footer="709" w:gutter="0"/>
          <w:cols w:space="720"/>
        </w:sectPr>
      </w:pPr>
    </w:p>
    <w:p w14:paraId="5939A6D4" w14:textId="7C5EC680" w:rsidR="009A0FBA" w:rsidRPr="009A0FBA" w:rsidRDefault="00990D5A" w:rsidP="00CD0932">
      <w:pPr>
        <w:pStyle w:val="Ttulo3"/>
        <w:jc w:val="left"/>
      </w:pPr>
      <w:bookmarkStart w:id="230" w:name="_Toc200286383"/>
      <w:bookmarkStart w:id="231" w:name="_Toc212406400"/>
      <w:r w:rsidRPr="007166EC">
        <w:lastRenderedPageBreak/>
        <w:t>Anexo 2: EDT del PFG</w:t>
      </w:r>
      <w:bookmarkEnd w:id="230"/>
      <w:bookmarkEnd w:id="231"/>
    </w:p>
    <w:p w14:paraId="4460B82D" w14:textId="660F59C7" w:rsidR="002C2864" w:rsidRDefault="009A0FBA" w:rsidP="00DB1B11">
      <w:pPr>
        <w:pStyle w:val="Figura1"/>
        <w:rPr>
          <w:highlight w:val="magenta"/>
        </w:rPr>
        <w:sectPr w:rsidR="002C2864" w:rsidSect="002C2864">
          <w:pgSz w:w="24477" w:h="15842" w:orient="landscape" w:code="3"/>
          <w:pgMar w:top="1440" w:right="1440" w:bottom="1440" w:left="1440" w:header="709" w:footer="709" w:gutter="0"/>
          <w:cols w:space="720"/>
        </w:sectPr>
      </w:pPr>
      <w:bookmarkStart w:id="232" w:name="_Toc200286384"/>
      <w:bookmarkStart w:id="233" w:name="_Toc200391803"/>
      <w:r>
        <w:rPr>
          <w:noProof/>
        </w:rPr>
        <w:drawing>
          <wp:inline distT="0" distB="0" distL="0" distR="0" wp14:anchorId="69F9DF83" wp14:editId="047C0434">
            <wp:extent cx="13333228" cy="7506586"/>
            <wp:effectExtent l="0" t="0" r="0" b="18415"/>
            <wp:docPr id="2048213672"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9" r:lo="rId80" r:qs="rId81" r:cs="rId82"/>
              </a:graphicData>
            </a:graphic>
          </wp:inline>
        </w:drawing>
      </w:r>
      <w:bookmarkEnd w:id="232"/>
      <w:bookmarkEnd w:id="233"/>
    </w:p>
    <w:p w14:paraId="2C224A54" w14:textId="36CC6AD9" w:rsidR="00832199" w:rsidRDefault="002C2864" w:rsidP="00237B6D">
      <w:pPr>
        <w:pStyle w:val="Ttulo3"/>
      </w:pPr>
      <w:bookmarkStart w:id="234" w:name="_Toc200286385"/>
      <w:bookmarkStart w:id="235" w:name="_Toc212406401"/>
      <w:r w:rsidRPr="002C2864">
        <w:lastRenderedPageBreak/>
        <w:t>Anexo 3: CRONOGRAMA del PFG</w:t>
      </w:r>
      <w:bookmarkEnd w:id="234"/>
      <w:bookmarkEnd w:id="235"/>
    </w:p>
    <w:p w14:paraId="783202C3" w14:textId="46731ED0" w:rsidR="001B1D74" w:rsidRPr="001B1D74" w:rsidRDefault="001B1D74" w:rsidP="0052155A">
      <w:pPr>
        <w:ind w:firstLine="0"/>
        <w:sectPr w:rsidR="001B1D74" w:rsidRPr="001B1D74" w:rsidSect="00832199">
          <w:pgSz w:w="24477" w:h="15842" w:orient="landscape" w:code="3"/>
          <w:pgMar w:top="1440" w:right="1440" w:bottom="1440" w:left="1440" w:header="709" w:footer="709" w:gutter="0"/>
          <w:cols w:space="720"/>
        </w:sectPr>
      </w:pPr>
      <w:r>
        <w:br/>
      </w:r>
      <w:r w:rsidR="0052155A" w:rsidRPr="0052155A">
        <w:rPr>
          <w:noProof/>
        </w:rPr>
        <w:drawing>
          <wp:inline distT="0" distB="0" distL="0" distR="0" wp14:anchorId="4971FF08" wp14:editId="4EC750B8">
            <wp:extent cx="12486290" cy="7271005"/>
            <wp:effectExtent l="0" t="0" r="0" b="6350"/>
            <wp:docPr id="11688169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816948" name=""/>
                    <pic:cNvPicPr/>
                  </pic:nvPicPr>
                  <pic:blipFill>
                    <a:blip r:embed="rId84"/>
                    <a:stretch>
                      <a:fillRect/>
                    </a:stretch>
                  </pic:blipFill>
                  <pic:spPr>
                    <a:xfrm>
                      <a:off x="0" y="0"/>
                      <a:ext cx="12503173" cy="7280836"/>
                    </a:xfrm>
                    <a:prstGeom prst="rect">
                      <a:avLst/>
                    </a:prstGeom>
                  </pic:spPr>
                </pic:pic>
              </a:graphicData>
            </a:graphic>
          </wp:inline>
        </w:drawing>
      </w:r>
    </w:p>
    <w:p w14:paraId="00764AD2" w14:textId="1FC6CB86" w:rsidR="002C5648" w:rsidRPr="002C5648" w:rsidRDefault="006303C9" w:rsidP="00750B4B">
      <w:pPr>
        <w:ind w:firstLine="0"/>
        <w:jc w:val="both"/>
      </w:pPr>
      <w:bookmarkStart w:id="236" w:name="_Toc200286386"/>
      <w:r>
        <w:lastRenderedPageBreak/>
        <w:t>A</w:t>
      </w:r>
      <w:r w:rsidR="00990D5A">
        <w:t>nexo 4: Investigación bibliográfica</w:t>
      </w:r>
      <w:r w:rsidR="00F73136">
        <w:t xml:space="preserve"> prelimina</w:t>
      </w:r>
      <w:bookmarkEnd w:id="236"/>
      <w:r w:rsidR="000640BF">
        <w:t>r</w:t>
      </w:r>
    </w:p>
    <w:p w14:paraId="2455F5B0" w14:textId="77777777" w:rsidR="002C5648" w:rsidRPr="001C6FB5" w:rsidRDefault="002C5648" w:rsidP="002C5648">
      <w:pPr>
        <w:ind w:firstLine="0"/>
      </w:pPr>
      <w:r w:rsidRPr="00D23DCD">
        <w:t xml:space="preserve">Ameijide, J. (2016). </w:t>
      </w:r>
      <w:r w:rsidRPr="00D23DCD">
        <w:rPr>
          <w:i/>
          <w:iCs/>
        </w:rPr>
        <w:t>Gestión de proyectos tradicionales y ágiles</w:t>
      </w:r>
      <w:r w:rsidRPr="00D23DCD">
        <w:t>. Ediciones Profesionales.</w:t>
      </w:r>
    </w:p>
    <w:p w14:paraId="10BF1CCF" w14:textId="77777777" w:rsidR="002C5648" w:rsidRPr="001C6FB5" w:rsidRDefault="002C5648" w:rsidP="002C5648"/>
    <w:p w14:paraId="0848A6DA" w14:textId="491C398E" w:rsidR="006A58C5" w:rsidRPr="001C6FB5" w:rsidRDefault="002C5648" w:rsidP="006A58C5">
      <w:r w:rsidRPr="001C6FB5">
        <w:t>Explora y compara enfoques de gestión tradicionales y ágiles, lo que permite seleccionar metodologías adecuadas para proyectos según su complejidad y contexto.</w:t>
      </w:r>
    </w:p>
    <w:p w14:paraId="5C0E1C06" w14:textId="77777777" w:rsidR="002C5648" w:rsidRPr="001C6FB5" w:rsidRDefault="002C5648" w:rsidP="002C5648">
      <w:pPr>
        <w:ind w:firstLine="0"/>
      </w:pPr>
    </w:p>
    <w:p w14:paraId="4CF63343" w14:textId="77777777" w:rsidR="00EA6EF7" w:rsidRPr="00AE4839" w:rsidRDefault="00E53F97" w:rsidP="00EA6EF7">
      <w:pPr>
        <w:ind w:firstLine="0"/>
        <w:rPr>
          <w:i/>
          <w:iCs/>
          <w:lang w:val="da-DK"/>
        </w:rPr>
      </w:pPr>
      <w:r w:rsidRPr="00AE4839">
        <w:rPr>
          <w:lang w:val="da-DK"/>
        </w:rPr>
        <w:t xml:space="preserve">Azhar, S., Carlton, W. A., Olsen, D., &amp; Ahmad, I. (2011). </w:t>
      </w:r>
      <w:r w:rsidRPr="00AE4839">
        <w:rPr>
          <w:i/>
          <w:iCs/>
          <w:lang w:val="da-DK"/>
        </w:rPr>
        <w:t xml:space="preserve">Building information modeling for </w:t>
      </w:r>
      <w:r w:rsidR="00EA6EF7" w:rsidRPr="00AE4839">
        <w:rPr>
          <w:i/>
          <w:iCs/>
          <w:lang w:val="da-DK"/>
        </w:rPr>
        <w:t xml:space="preserve"> </w:t>
      </w:r>
    </w:p>
    <w:p w14:paraId="79231863" w14:textId="36253886" w:rsidR="00E53F97" w:rsidRPr="001C6FB5" w:rsidRDefault="00E53F97" w:rsidP="00EA6EF7">
      <w:pPr>
        <w:ind w:left="709" w:firstLine="0"/>
      </w:pPr>
      <w:r w:rsidRPr="00AE4839">
        <w:rPr>
          <w:i/>
          <w:iCs/>
          <w:lang w:val="da-DK"/>
        </w:rPr>
        <w:t>sustainable design and LEED® rating analysis</w:t>
      </w:r>
      <w:r w:rsidRPr="00AE4839">
        <w:rPr>
          <w:lang w:val="da-DK"/>
        </w:rPr>
        <w:t>. </w:t>
      </w:r>
      <w:r w:rsidRPr="00D23DCD">
        <w:rPr>
          <w:i/>
          <w:iCs/>
        </w:rPr>
        <w:t>Automation in Construction</w:t>
      </w:r>
      <w:r w:rsidRPr="00D23DCD">
        <w:t>, </w:t>
      </w:r>
      <w:r w:rsidRPr="00D23DCD">
        <w:rPr>
          <w:i/>
          <w:iCs/>
        </w:rPr>
        <w:t>20</w:t>
      </w:r>
      <w:r w:rsidRPr="00D23DCD">
        <w:t xml:space="preserve">(2), 217–224. </w:t>
      </w:r>
      <w:hyperlink r:id="rId85" w:history="1">
        <w:r w:rsidRPr="00D23DCD">
          <w:rPr>
            <w:rStyle w:val="Hipervnculo"/>
          </w:rPr>
          <w:t>https://doi.org/10.1016/j.autcon.2010.09.019</w:t>
        </w:r>
      </w:hyperlink>
    </w:p>
    <w:p w14:paraId="16AFE0EA" w14:textId="77777777" w:rsidR="00DA7253" w:rsidRPr="001C6FB5" w:rsidRDefault="00DA7253" w:rsidP="00233F1C"/>
    <w:p w14:paraId="1238B8D9" w14:textId="77777777" w:rsidR="00233F1C" w:rsidRPr="001C6FB5" w:rsidRDefault="00233F1C" w:rsidP="00E53F97">
      <w:r w:rsidRPr="001C6FB5">
        <w:t>Este artículo da una visión sobre cómo BIM puede aplicarse para mejorar el diseño sostenible, apoyando la planificación y control en proyectos “Design &amp; Build” al integrar criterios de sostenibilidad desde el inicio.</w:t>
      </w:r>
    </w:p>
    <w:p w14:paraId="468F04C8" w14:textId="77777777" w:rsidR="00DA7253" w:rsidRPr="001C6FB5" w:rsidRDefault="00DA7253" w:rsidP="00233F1C">
      <w:pPr>
        <w:ind w:left="360"/>
      </w:pPr>
    </w:p>
    <w:p w14:paraId="53EF4361" w14:textId="77777777" w:rsidR="00EA6EF7" w:rsidRPr="00D23DCD" w:rsidRDefault="00233F1C" w:rsidP="00E53F97">
      <w:pPr>
        <w:ind w:firstLine="0"/>
        <w:rPr>
          <w:i/>
          <w:iCs/>
        </w:rPr>
      </w:pPr>
      <w:r w:rsidRPr="00D23DCD">
        <w:t xml:space="preserve">Darrington, J. W. (2011). </w:t>
      </w:r>
      <w:r w:rsidRPr="00D23DCD">
        <w:rPr>
          <w:i/>
          <w:iCs/>
        </w:rPr>
        <w:t xml:space="preserve">Using a design-build contract for Lean Integrated Project Delivery. </w:t>
      </w:r>
    </w:p>
    <w:p w14:paraId="25182A03" w14:textId="769F2F87" w:rsidR="00233F1C" w:rsidRPr="001C6FB5" w:rsidRDefault="00233F1C" w:rsidP="00EA6EF7">
      <w:r w:rsidRPr="00D23DCD">
        <w:rPr>
          <w:i/>
          <w:iCs/>
        </w:rPr>
        <w:t>Lean Construction Journal</w:t>
      </w:r>
      <w:r w:rsidRPr="00D23DCD">
        <w:t xml:space="preserve">. </w:t>
      </w:r>
      <w:hyperlink r:id="rId86" w:history="1">
        <w:r w:rsidR="00DA7253" w:rsidRPr="00D23DCD">
          <w:rPr>
            <w:rStyle w:val="Hipervnculo"/>
          </w:rPr>
          <w:t>https://doi.org/10.60164/o99f9ppz9</w:t>
        </w:r>
      </w:hyperlink>
    </w:p>
    <w:p w14:paraId="4AB6E33A" w14:textId="77777777" w:rsidR="00DA7253" w:rsidRPr="001C6FB5" w:rsidRDefault="00DA7253" w:rsidP="00233F1C"/>
    <w:p w14:paraId="2B106C04" w14:textId="77777777" w:rsidR="00233F1C" w:rsidRPr="001C6FB5" w:rsidRDefault="00233F1C" w:rsidP="00E53F97">
      <w:r w:rsidRPr="001C6FB5">
        <w:t>Este artículo estudia el uso de contratos de diseño-construcción en metodologías Lean, lo que aporta herramientas para optimizar la integración entre diseño y construcción y mejorar tiempos y costos en proyectos.</w:t>
      </w:r>
    </w:p>
    <w:p w14:paraId="45FF745C" w14:textId="77777777" w:rsidR="00DA7253" w:rsidRPr="001C6FB5" w:rsidRDefault="00DA7253" w:rsidP="00233F1C">
      <w:pPr>
        <w:ind w:left="360"/>
      </w:pPr>
    </w:p>
    <w:p w14:paraId="5F3B6136" w14:textId="77777777" w:rsidR="00EA6EF7" w:rsidRPr="00D23DCD" w:rsidRDefault="00233F1C" w:rsidP="00E53F97">
      <w:pPr>
        <w:ind w:firstLine="0"/>
        <w:rPr>
          <w:i/>
          <w:iCs/>
        </w:rPr>
      </w:pPr>
      <w:r w:rsidRPr="00D23DCD">
        <w:t xml:space="preserve">Federal Highway Administration. (2006). </w:t>
      </w:r>
      <w:r w:rsidRPr="00D23DCD">
        <w:rPr>
          <w:i/>
          <w:iCs/>
        </w:rPr>
        <w:t>Design-build project delivery: A performance study.</w:t>
      </w:r>
    </w:p>
    <w:p w14:paraId="300C8E66" w14:textId="1DBB09A1" w:rsidR="00233F1C" w:rsidRPr="001C6FB5" w:rsidRDefault="00233F1C" w:rsidP="00EA6EF7">
      <w:pPr>
        <w:ind w:left="709" w:firstLine="0"/>
      </w:pPr>
      <w:r w:rsidRPr="00D23DCD">
        <w:rPr>
          <w:i/>
          <w:iCs/>
        </w:rPr>
        <w:t>U.S. Department of Transportation</w:t>
      </w:r>
      <w:r w:rsidRPr="00D23DCD">
        <w:t>.</w:t>
      </w:r>
      <w:r w:rsidR="00EA6EF7" w:rsidRPr="00D23DCD">
        <w:t xml:space="preserve"> </w:t>
      </w:r>
      <w:hyperlink r:id="rId87" w:history="1">
        <w:r w:rsidR="00EA6EF7" w:rsidRPr="00D23DCD">
          <w:rPr>
            <w:rStyle w:val="Hipervnculo"/>
          </w:rPr>
          <w:t>https://www.fhwa.dot.gov/reports/designbuild/designbuild.pdf</w:t>
        </w:r>
      </w:hyperlink>
    </w:p>
    <w:p w14:paraId="02D5BF63" w14:textId="77777777" w:rsidR="00DA7253" w:rsidRPr="001C6FB5" w:rsidRDefault="00DA7253" w:rsidP="00233F1C"/>
    <w:p w14:paraId="6CBFBAB1" w14:textId="77777777" w:rsidR="00233F1C" w:rsidRPr="001C6FB5" w:rsidRDefault="00233F1C" w:rsidP="00E53F97">
      <w:r w:rsidRPr="001C6FB5">
        <w:lastRenderedPageBreak/>
        <w:t>Este informe analiza la eficiencia del modelo Design-Build en comparación con métodos tradicionales, destacando mejoras en tiempo, costo y coordinación.</w:t>
      </w:r>
    </w:p>
    <w:p w14:paraId="686ECAD7" w14:textId="77777777" w:rsidR="00EA6EF7" w:rsidRPr="001C6FB5" w:rsidRDefault="00EA6EF7" w:rsidP="00E53F97"/>
    <w:p w14:paraId="52D42602" w14:textId="77777777" w:rsidR="00EA6EF7" w:rsidRPr="00D23DCD" w:rsidRDefault="00233F1C" w:rsidP="00E53F97">
      <w:pPr>
        <w:ind w:firstLine="0"/>
        <w:rPr>
          <w:i/>
          <w:iCs/>
        </w:rPr>
      </w:pPr>
      <w:r w:rsidRPr="00AE4839">
        <w:rPr>
          <w:lang w:val="da-DK"/>
        </w:rPr>
        <w:t xml:space="preserve">Forsman, S., Bystedt, A. y Öhman, M. (2011). </w:t>
      </w:r>
      <w:r w:rsidRPr="00D23DCD">
        <w:rPr>
          <w:i/>
          <w:iCs/>
        </w:rPr>
        <w:t xml:space="preserve">Interaction in the construction process—System </w:t>
      </w:r>
    </w:p>
    <w:p w14:paraId="1269F7C3" w14:textId="0EED4282" w:rsidR="00233F1C" w:rsidRPr="001C6FB5" w:rsidRDefault="00233F1C" w:rsidP="00EA6EF7">
      <w:pPr>
        <w:ind w:left="709" w:firstLine="0"/>
      </w:pPr>
      <w:r w:rsidRPr="00D23DCD">
        <w:rPr>
          <w:i/>
          <w:iCs/>
        </w:rPr>
        <w:t>effects for a joinery-products supplier.</w:t>
      </w:r>
      <w:r w:rsidRPr="00D23DCD">
        <w:t xml:space="preserve"> </w:t>
      </w:r>
      <w:hyperlink r:id="rId88" w:history="1">
        <w:r w:rsidR="00EA6EF7" w:rsidRPr="00D23DCD">
          <w:rPr>
            <w:rStyle w:val="Hipervnculo"/>
          </w:rPr>
          <w:t>https://leanconstruction.org/wp-content/uploads/2022/08/LCJ_10_023.pdf</w:t>
        </w:r>
      </w:hyperlink>
    </w:p>
    <w:p w14:paraId="237BD645" w14:textId="77777777" w:rsidR="00DA7253" w:rsidRPr="001C6FB5" w:rsidRDefault="00DA7253" w:rsidP="00233F1C"/>
    <w:p w14:paraId="0652B734" w14:textId="77777777" w:rsidR="00233F1C" w:rsidRPr="001C6FB5" w:rsidRDefault="00233F1C" w:rsidP="00E53F97">
      <w:r w:rsidRPr="001C6FB5">
        <w:t>Este estudio analiza los efectos de la interacción entre participantes en el proceso constructivo, enfatizando la colaboración como un factor crítico para mejorar el desempeño de proyectos “Design &amp; Build”.</w:t>
      </w:r>
    </w:p>
    <w:p w14:paraId="50F0915B" w14:textId="77777777" w:rsidR="00DA7253" w:rsidRPr="001C6FB5" w:rsidRDefault="00DA7253" w:rsidP="00233F1C">
      <w:pPr>
        <w:ind w:left="360"/>
      </w:pPr>
    </w:p>
    <w:p w14:paraId="3163A364" w14:textId="77777777" w:rsidR="00EA6EF7" w:rsidRPr="00D23DCD" w:rsidRDefault="00233F1C" w:rsidP="00E53F97">
      <w:pPr>
        <w:ind w:firstLine="0"/>
        <w:rPr>
          <w:i/>
          <w:iCs/>
        </w:rPr>
      </w:pPr>
      <w:r w:rsidRPr="00D23DCD">
        <w:t xml:space="preserve">Harnisch, C. (2024, 11 de diciembre). </w:t>
      </w:r>
      <w:r w:rsidRPr="00D23DCD">
        <w:rPr>
          <w:i/>
          <w:iCs/>
        </w:rPr>
        <w:t xml:space="preserve">Gestión de Proyectos de Construcción: 6 Fases Clave. </w:t>
      </w:r>
    </w:p>
    <w:p w14:paraId="2E4B04AF" w14:textId="6C69C97D" w:rsidR="00233F1C" w:rsidRPr="001C6FB5" w:rsidRDefault="00233F1C" w:rsidP="00EA6EF7">
      <w:r w:rsidRPr="00D23DCD">
        <w:rPr>
          <w:i/>
          <w:iCs/>
        </w:rPr>
        <w:t>Foco en Obra.</w:t>
      </w:r>
      <w:r w:rsidRPr="00D23DCD">
        <w:t xml:space="preserve"> </w:t>
      </w:r>
      <w:hyperlink r:id="rId89" w:history="1">
        <w:r w:rsidR="00DA7253" w:rsidRPr="00D23DCD">
          <w:rPr>
            <w:rStyle w:val="Hipervnculo"/>
          </w:rPr>
          <w:t>https://focoenobra.com/blog/fases-gestion-proyectos-construccion/</w:t>
        </w:r>
      </w:hyperlink>
    </w:p>
    <w:p w14:paraId="376A8225" w14:textId="77777777" w:rsidR="00DA7253" w:rsidRPr="001C6FB5" w:rsidRDefault="00DA7253" w:rsidP="00233F1C"/>
    <w:p w14:paraId="0EFF694C" w14:textId="6F080DE8" w:rsidR="00233F1C" w:rsidRPr="001C6FB5" w:rsidRDefault="00233F1C" w:rsidP="00E53F97">
      <w:r w:rsidRPr="001C6FB5">
        <w:t>Esta fuente describe las fases de la gestión de proyectos de construcción, proporcionando una estructura que puede ser aplicada para optimizar los procesos de planificación y control en Contract Workplaces.</w:t>
      </w:r>
    </w:p>
    <w:p w14:paraId="4D4A8D62" w14:textId="77777777" w:rsidR="00DA7253" w:rsidRPr="001C6FB5" w:rsidRDefault="00DA7253" w:rsidP="00233F1C">
      <w:pPr>
        <w:ind w:left="360"/>
      </w:pPr>
    </w:p>
    <w:p w14:paraId="7F6AEE3E" w14:textId="613E0FD3" w:rsidR="00EA6EF7" w:rsidRPr="00D23DCD" w:rsidRDefault="00233F1C" w:rsidP="00E53F97">
      <w:pPr>
        <w:ind w:firstLine="0"/>
      </w:pPr>
      <w:r w:rsidRPr="00D23DCD">
        <w:t xml:space="preserve">Lean Construction Institute. (2022, 25 de agosto). </w:t>
      </w:r>
      <w:r w:rsidRPr="00D23DCD">
        <w:rPr>
          <w:i/>
          <w:iCs/>
        </w:rPr>
        <w:t xml:space="preserve">Lean Construction Journal: 2011 </w:t>
      </w:r>
      <w:r w:rsidR="00D946A7" w:rsidRPr="00D23DCD">
        <w:rPr>
          <w:i/>
          <w:iCs/>
        </w:rPr>
        <w:t>issue</w:t>
      </w:r>
      <w:r w:rsidRPr="00D23DCD">
        <w:rPr>
          <w:i/>
          <w:iCs/>
        </w:rPr>
        <w:t>.</w:t>
      </w:r>
      <w:r w:rsidRPr="00D23DCD">
        <w:t xml:space="preserve"> </w:t>
      </w:r>
    </w:p>
    <w:p w14:paraId="7777332A" w14:textId="3C3B7E30" w:rsidR="00233F1C" w:rsidRPr="001C6FB5" w:rsidRDefault="00EA6EF7" w:rsidP="00EA6EF7">
      <w:pPr>
        <w:ind w:left="709" w:firstLine="0"/>
      </w:pPr>
      <w:hyperlink r:id="rId90" w:history="1">
        <w:r w:rsidRPr="00D23DCD">
          <w:rPr>
            <w:rStyle w:val="Hipervnculo"/>
          </w:rPr>
          <w:t>https://leanconstruction.org/resources/lean-construction-journal/lcj-back-issues/2011-issue/</w:t>
        </w:r>
      </w:hyperlink>
    </w:p>
    <w:p w14:paraId="22B1F788" w14:textId="77777777" w:rsidR="00E53F97" w:rsidRPr="001C6FB5" w:rsidRDefault="00E53F97" w:rsidP="00E53F97">
      <w:pPr>
        <w:ind w:firstLine="0"/>
      </w:pPr>
    </w:p>
    <w:p w14:paraId="32F2D90E" w14:textId="77777777" w:rsidR="00233F1C" w:rsidRPr="001C6FB5" w:rsidRDefault="00233F1C" w:rsidP="00E53F97">
      <w:r w:rsidRPr="001C6FB5">
        <w:t>El número especial de esta revista reúne investigaciones y estudios de casos sobre la aplicación de Lean en construcción, ofreciendo ejemplos relevantes para mejorar la eficiencia de proyectos “Design &amp; Build”.</w:t>
      </w:r>
    </w:p>
    <w:p w14:paraId="063A14C5" w14:textId="77777777" w:rsidR="002C5648" w:rsidRPr="001C6FB5" w:rsidRDefault="002C5648" w:rsidP="00E53F97"/>
    <w:p w14:paraId="05461F04" w14:textId="77777777" w:rsidR="002C5648" w:rsidRPr="00D23DCD" w:rsidRDefault="002C5648" w:rsidP="002C5648">
      <w:pPr>
        <w:ind w:firstLine="0"/>
      </w:pPr>
      <w:r w:rsidRPr="00D23DCD">
        <w:t xml:space="preserve">Lledó, P. (2017). </w:t>
      </w:r>
      <w:r w:rsidRPr="00D23DCD">
        <w:rPr>
          <w:i/>
          <w:iCs/>
        </w:rPr>
        <w:t>Administración de proyectos: El ABC para un director de proyectos exitoso</w:t>
      </w:r>
      <w:r w:rsidRPr="00D23DCD">
        <w:t xml:space="preserve"> </w:t>
      </w:r>
    </w:p>
    <w:p w14:paraId="6E20A150" w14:textId="2B580DBE" w:rsidR="002C5648" w:rsidRPr="001C6FB5" w:rsidRDefault="002C5648" w:rsidP="002C5648">
      <w:r w:rsidRPr="00D23DCD">
        <w:t>(6.ª ed.</w:t>
      </w:r>
      <w:r w:rsidR="00D946A7" w:rsidRPr="00D23DCD">
        <w:t>).</w:t>
      </w:r>
      <w:r w:rsidRPr="00D23DCD">
        <w:t xml:space="preserve">). </w:t>
      </w:r>
      <w:r w:rsidR="00D946A7" w:rsidRPr="00D23DCD">
        <w:t>Pablo Lled</w:t>
      </w:r>
      <w:r w:rsidR="00D946A7" w:rsidRPr="00D23DCD">
        <w:rPr>
          <w:lang w:val="es-CR"/>
        </w:rPr>
        <w:t>ó.</w:t>
      </w:r>
    </w:p>
    <w:p w14:paraId="74D95EC8" w14:textId="77777777" w:rsidR="002C5648" w:rsidRPr="001C6FB5" w:rsidRDefault="002C5648" w:rsidP="002C5648"/>
    <w:p w14:paraId="52161BDC" w14:textId="77777777" w:rsidR="002C5648" w:rsidRPr="001C6FB5" w:rsidRDefault="002C5648" w:rsidP="002C5648">
      <w:r w:rsidRPr="001C6FB5">
        <w:t>Manual introductorio que resume los fundamentos esenciales que debe dominar un director de proyectos, con ejemplos aplicables a contextos reales.</w:t>
      </w:r>
    </w:p>
    <w:p w14:paraId="1E425D6C" w14:textId="77777777" w:rsidR="002C5648" w:rsidRPr="001C6FB5" w:rsidRDefault="002C5648" w:rsidP="002C5648">
      <w:pPr>
        <w:ind w:firstLine="0"/>
      </w:pPr>
    </w:p>
    <w:p w14:paraId="001DBBA0" w14:textId="77777777" w:rsidR="002C5648" w:rsidRPr="00D23DCD" w:rsidRDefault="002C5648" w:rsidP="002C5648">
      <w:pPr>
        <w:ind w:firstLine="0"/>
      </w:pPr>
      <w:r w:rsidRPr="00D23DCD">
        <w:t xml:space="preserve">Lledó, J. (2017). </w:t>
      </w:r>
      <w:r w:rsidRPr="00D23DCD">
        <w:rPr>
          <w:i/>
          <w:iCs/>
        </w:rPr>
        <w:t>Dirección ágil de proyectos: Cómo aplicar Scrum, Lean y Kanban</w:t>
      </w:r>
      <w:r w:rsidRPr="00D23DCD">
        <w:t xml:space="preserve">. Editorial </w:t>
      </w:r>
    </w:p>
    <w:p w14:paraId="0FB3A885" w14:textId="77777777" w:rsidR="002C5648" w:rsidRPr="001C6FB5" w:rsidRDefault="002C5648" w:rsidP="002C5648">
      <w:r w:rsidRPr="00D23DCD">
        <w:t>UOC.</w:t>
      </w:r>
    </w:p>
    <w:p w14:paraId="7A549D0D" w14:textId="77777777" w:rsidR="002C5648" w:rsidRPr="001C6FB5" w:rsidRDefault="002C5648" w:rsidP="002C5648"/>
    <w:p w14:paraId="1B1A06C6" w14:textId="77777777" w:rsidR="002C5648" w:rsidRPr="001C6FB5" w:rsidRDefault="002C5648" w:rsidP="002C5648">
      <w:r w:rsidRPr="001C6FB5">
        <w:t>Guía sobre metodologías ágiles aplicables en proyectos “Design &amp; Build”, especialmente útiles para mejorar colaboración, iteración y eficiencia.</w:t>
      </w:r>
    </w:p>
    <w:p w14:paraId="671FDC3E" w14:textId="77777777" w:rsidR="002C5648" w:rsidRPr="001C6FB5" w:rsidRDefault="002C5648" w:rsidP="002C5648"/>
    <w:p w14:paraId="32FCE6DA" w14:textId="77777777" w:rsidR="00797FFB" w:rsidRPr="00D23DCD" w:rsidRDefault="00797FFB" w:rsidP="002C5648">
      <w:pPr>
        <w:ind w:firstLine="0"/>
      </w:pPr>
      <w:r w:rsidRPr="00D23DCD">
        <w:t xml:space="preserve">Martínez, C. (2023, 31 de agosto). </w:t>
      </w:r>
      <w:r w:rsidRPr="00D23DCD">
        <w:rPr>
          <w:i/>
          <w:iCs/>
        </w:rPr>
        <w:t>Híbrido no significa caótico: Ventajas de combinar enfoques</w:t>
      </w:r>
      <w:r w:rsidRPr="00D23DCD">
        <w:t xml:space="preserve">. </w:t>
      </w:r>
    </w:p>
    <w:p w14:paraId="53FABEED" w14:textId="32CC21F5" w:rsidR="002C5648" w:rsidRPr="001C6FB5" w:rsidRDefault="00797FFB" w:rsidP="002C5648">
      <w:r w:rsidRPr="00D23DCD">
        <w:rPr>
          <w:i/>
          <w:iCs/>
        </w:rPr>
        <w:t>Revista Gestión de Proyectos</w:t>
      </w:r>
      <w:r w:rsidRPr="00D23DCD">
        <w:t>.</w:t>
      </w:r>
    </w:p>
    <w:p w14:paraId="557B76AB" w14:textId="77777777" w:rsidR="002C5648" w:rsidRPr="001C6FB5" w:rsidRDefault="002C5648" w:rsidP="002C5648">
      <w:r w:rsidRPr="001C6FB5">
        <w:t>Analiza las ventajas del enfoque híbrido en gestión de proyectos, lo que permite integrar prácticas tradicionales y ágiles según necesidades del proyecto.</w:t>
      </w:r>
    </w:p>
    <w:p w14:paraId="64C1F696" w14:textId="77777777" w:rsidR="002C5648" w:rsidRPr="001C6FB5" w:rsidRDefault="002C5648" w:rsidP="002C5648">
      <w:pPr>
        <w:ind w:firstLine="0"/>
      </w:pPr>
    </w:p>
    <w:p w14:paraId="4F427FD6" w14:textId="77777777" w:rsidR="00E53F97" w:rsidRPr="001C6FB5" w:rsidRDefault="00E53F97" w:rsidP="00E53F97">
      <w:pPr>
        <w:ind w:firstLine="0"/>
      </w:pPr>
    </w:p>
    <w:p w14:paraId="3D336B17" w14:textId="77777777" w:rsidR="00EA6EF7" w:rsidRPr="00D23DCD" w:rsidRDefault="00233F1C" w:rsidP="00E53F97">
      <w:pPr>
        <w:ind w:firstLine="0"/>
        <w:rPr>
          <w:i/>
          <w:iCs/>
        </w:rPr>
      </w:pPr>
      <w:r w:rsidRPr="00D23DCD">
        <w:t xml:space="preserve">Martins, J. (2025, 2 de enero). </w:t>
      </w:r>
      <w:r w:rsidRPr="00D23DCD">
        <w:rPr>
          <w:i/>
          <w:iCs/>
        </w:rPr>
        <w:t xml:space="preserve">6 etapas de la gestión de proyectos de construcción (CPM) </w:t>
      </w:r>
    </w:p>
    <w:p w14:paraId="297DBF3C" w14:textId="214A5F36" w:rsidR="00233F1C" w:rsidRPr="001C6FB5" w:rsidRDefault="00233F1C" w:rsidP="00EA6EF7">
      <w:r w:rsidRPr="00D23DCD">
        <w:rPr>
          <w:i/>
          <w:iCs/>
        </w:rPr>
        <w:t>[2025]. Asana.</w:t>
      </w:r>
      <w:r w:rsidRPr="00D23DCD">
        <w:t xml:space="preserve"> https://asana.com/es/resources/construction-project-management</w:t>
      </w:r>
    </w:p>
    <w:p w14:paraId="581E2FC5" w14:textId="77777777" w:rsidR="00233F1C" w:rsidRPr="001C6FB5" w:rsidRDefault="00233F1C" w:rsidP="00E53F97">
      <w:r w:rsidRPr="001C6FB5">
        <w:t>Este recurso identifica las seis etapas clave de la gestión de proyectos de construcción y aporta metodologías aplicables a la optimización del ciclo de vida del proyecto en modalidad “Design &amp; Build”.</w:t>
      </w:r>
    </w:p>
    <w:p w14:paraId="2FDE3032" w14:textId="77777777" w:rsidR="00DA7253" w:rsidRPr="001C6FB5" w:rsidRDefault="00DA7253" w:rsidP="00233F1C">
      <w:pPr>
        <w:ind w:left="360"/>
      </w:pPr>
    </w:p>
    <w:p w14:paraId="1C1DF6ED" w14:textId="77777777" w:rsidR="00797FFB" w:rsidRPr="00D23DCD" w:rsidRDefault="00797FFB" w:rsidP="00797FFB">
      <w:pPr>
        <w:ind w:firstLine="0"/>
        <w:rPr>
          <w:i/>
          <w:iCs/>
          <w:lang w:val="es-CR"/>
        </w:rPr>
      </w:pPr>
      <w:r w:rsidRPr="00D23DCD">
        <w:rPr>
          <w:lang w:val="es-CR"/>
        </w:rPr>
        <w:lastRenderedPageBreak/>
        <w:t xml:space="preserve">Mesa, F., Valderrama, A., &amp; Diéguez, G. (2023). </w:t>
      </w:r>
      <w:r w:rsidRPr="00D23DCD">
        <w:rPr>
          <w:i/>
          <w:iCs/>
          <w:lang w:val="es-CR"/>
        </w:rPr>
        <w:t xml:space="preserve">Design build studios in Latin America: </w:t>
      </w:r>
    </w:p>
    <w:p w14:paraId="7B222627" w14:textId="489520F3" w:rsidR="00797FFB" w:rsidRPr="00D23DCD" w:rsidRDefault="00797FFB" w:rsidP="00990C1A">
      <w:pPr>
        <w:ind w:firstLine="720"/>
        <w:rPr>
          <w:lang w:val="es-CR"/>
        </w:rPr>
      </w:pPr>
      <w:r w:rsidRPr="00D23DCD">
        <w:rPr>
          <w:i/>
          <w:iCs/>
          <w:lang w:val="es-CR"/>
        </w:rPr>
        <w:t>Teaching through a social agenda</w:t>
      </w:r>
      <w:r w:rsidRPr="00D23DCD">
        <w:rPr>
          <w:lang w:val="es-CR"/>
        </w:rPr>
        <w:t>. ORO Editions.</w:t>
      </w:r>
    </w:p>
    <w:p w14:paraId="63AFB3B1" w14:textId="77777777" w:rsidR="00DA7253" w:rsidRPr="001C6FB5" w:rsidRDefault="00DA7253" w:rsidP="00233F1C"/>
    <w:p w14:paraId="4F95F3B5" w14:textId="77777777" w:rsidR="00233F1C" w:rsidRPr="001C6FB5" w:rsidRDefault="00233F1C" w:rsidP="00E53F97">
      <w:r w:rsidRPr="001C6FB5">
        <w:t>Este libro analiza experiencias de proyectos “Design &amp; Build” en América Latina, proporcionando ejemplos prácticos que ayudan a entender cómo integrar diseño y ejecución de manera eficiente en contextos reales.</w:t>
      </w:r>
    </w:p>
    <w:p w14:paraId="3E257B9D" w14:textId="77777777" w:rsidR="002C5648" w:rsidRPr="001C6FB5" w:rsidRDefault="002C5648" w:rsidP="00E53F97"/>
    <w:p w14:paraId="01AC4322" w14:textId="77777777" w:rsidR="002C5648" w:rsidRPr="00AE4839" w:rsidRDefault="002C5648" w:rsidP="002C5648">
      <w:pPr>
        <w:ind w:firstLine="0"/>
        <w:rPr>
          <w:i/>
          <w:iCs/>
          <w:lang w:val="da-DK"/>
        </w:rPr>
      </w:pPr>
      <w:r w:rsidRPr="00D23DCD">
        <w:t xml:space="preserve">Morris, P. W. G. y Pinto, J. K. (2007). </w:t>
      </w:r>
      <w:r w:rsidRPr="00AE4839">
        <w:rPr>
          <w:i/>
          <w:iCs/>
          <w:lang w:val="da-DK"/>
        </w:rPr>
        <w:t xml:space="preserve">The Wiley Guide to Project, Program, and Portfolio </w:t>
      </w:r>
    </w:p>
    <w:p w14:paraId="489829CC" w14:textId="77777777" w:rsidR="002C5648" w:rsidRPr="001C6FB5" w:rsidRDefault="002C5648" w:rsidP="002C5648">
      <w:r w:rsidRPr="00D23DCD">
        <w:rPr>
          <w:i/>
          <w:iCs/>
        </w:rPr>
        <w:t>Management. John Wiley &amp; Sons.</w:t>
      </w:r>
    </w:p>
    <w:p w14:paraId="108844AA" w14:textId="77777777" w:rsidR="002C5648" w:rsidRPr="001C6FB5" w:rsidRDefault="002C5648" w:rsidP="002C5648"/>
    <w:p w14:paraId="56BEF829" w14:textId="77777777" w:rsidR="002C5648" w:rsidRPr="001C6FB5" w:rsidRDefault="002C5648" w:rsidP="002C5648">
      <w:r w:rsidRPr="001C6FB5">
        <w:t>Obra de referencia que analiza en profundidad la gestión de proyectos, programas y portafolios, con aportes relevantes para una visión integral de la gestión organizacional.</w:t>
      </w:r>
    </w:p>
    <w:p w14:paraId="1B96C264" w14:textId="77777777" w:rsidR="002C5648" w:rsidRPr="001C6FB5" w:rsidRDefault="002C5648" w:rsidP="00E53F97"/>
    <w:p w14:paraId="5B920C8A" w14:textId="77777777" w:rsidR="00DA7253" w:rsidRPr="001C6FB5" w:rsidRDefault="00DA7253" w:rsidP="002C5648">
      <w:pPr>
        <w:ind w:firstLine="0"/>
      </w:pPr>
    </w:p>
    <w:p w14:paraId="163CDCE6" w14:textId="77777777" w:rsidR="002C5648" w:rsidRPr="00D23DCD" w:rsidRDefault="002C5648" w:rsidP="002C5648">
      <w:pPr>
        <w:ind w:firstLine="0"/>
        <w:rPr>
          <w:i/>
          <w:iCs/>
        </w:rPr>
      </w:pPr>
      <w:r w:rsidRPr="00D23DCD">
        <w:t xml:space="preserve">Project Management Institute. (2021). </w:t>
      </w:r>
      <w:r w:rsidRPr="00D23DCD">
        <w:rPr>
          <w:i/>
          <w:iCs/>
        </w:rPr>
        <w:t xml:space="preserve">Guía de los fundamentos para la dirección de proyectos </w:t>
      </w:r>
    </w:p>
    <w:p w14:paraId="37F32C9C" w14:textId="77777777" w:rsidR="002C5648" w:rsidRPr="001C6FB5" w:rsidRDefault="002C5648" w:rsidP="002C5648">
      <w:r w:rsidRPr="00D23DCD">
        <w:rPr>
          <w:i/>
          <w:iCs/>
        </w:rPr>
        <w:t>(Guía del PMBOK®)</w:t>
      </w:r>
      <w:r w:rsidRPr="00D23DCD">
        <w:t xml:space="preserve"> (7.ª ed.). Project Management Institute, Inc.</w:t>
      </w:r>
    </w:p>
    <w:p w14:paraId="07033A56" w14:textId="77777777" w:rsidR="002C5648" w:rsidRPr="001C6FB5" w:rsidRDefault="002C5648" w:rsidP="002C5648"/>
    <w:p w14:paraId="21E1AAAB" w14:textId="77777777" w:rsidR="002C5648" w:rsidRPr="001C6FB5" w:rsidRDefault="002C5648" w:rsidP="002C5648">
      <w:r w:rsidRPr="001C6FB5">
        <w:t>Documento base para la dirección de proyectos a nivel mundial, establece principios y dominios clave que respaldan la planificación y ejecución bajo modelos como “Design &amp; Build”.</w:t>
      </w:r>
    </w:p>
    <w:p w14:paraId="7DD51726" w14:textId="77777777" w:rsidR="009A3733" w:rsidRPr="001C6FB5" w:rsidRDefault="009A3733" w:rsidP="002C5648"/>
    <w:p w14:paraId="7DA15979" w14:textId="77777777" w:rsidR="006A58C5" w:rsidRPr="001C6FB5" w:rsidRDefault="006A58C5" w:rsidP="002C5648"/>
    <w:p w14:paraId="23D71C18" w14:textId="77777777" w:rsidR="009A3733" w:rsidRPr="001C6FB5" w:rsidRDefault="006A58C5" w:rsidP="009A3733">
      <w:pPr>
        <w:ind w:firstLine="0"/>
      </w:pPr>
      <w:r w:rsidRPr="001C6FB5">
        <w:t xml:space="preserve">¿QUÉ ES EL LEAN PROJECT DELIVERY SYSTEM? (s/f). </w:t>
      </w:r>
      <w:r w:rsidRPr="001C6FB5">
        <w:rPr>
          <w:i/>
          <w:iCs/>
        </w:rPr>
        <w:t>Besserlean.mx</w:t>
      </w:r>
      <w:r w:rsidRPr="001C6FB5">
        <w:t>. Recuperado el 18</w:t>
      </w:r>
    </w:p>
    <w:p w14:paraId="3B05F23B" w14:textId="14102EDB" w:rsidR="006A58C5" w:rsidRPr="001C6FB5" w:rsidRDefault="006A58C5" w:rsidP="00990C1A">
      <w:pPr>
        <w:ind w:firstLine="720"/>
      </w:pPr>
      <w:r w:rsidRPr="001C6FB5">
        <w:t xml:space="preserve"> de mayo de 2025, de </w:t>
      </w:r>
      <w:r w:rsidR="00797FFB" w:rsidRPr="001C6FB5">
        <w:t>https://besserlean.mx/que-es-el-lean-project-delivery-system/</w:t>
      </w:r>
    </w:p>
    <w:p w14:paraId="1489D078" w14:textId="6B9CC396" w:rsidR="002C5648" w:rsidRPr="001C6FB5" w:rsidRDefault="00797599" w:rsidP="00797599">
      <w:pPr>
        <w:pStyle w:val="Figura1"/>
      </w:pPr>
      <w:r w:rsidRPr="001C6FB5">
        <w:t xml:space="preserve">Comprender los fundamentos del sistema de entrega de proyectos Lean (Lean Project Delivery System - LPDS) y su aplicación en el contexto de la construcción. Me ayudó a </w:t>
      </w:r>
      <w:r w:rsidRPr="001C6FB5">
        <w:lastRenderedPageBreak/>
        <w:t>complementar conceptos clave en la gestión de proyectos bajo metodologías ágiles e integradas.</w:t>
      </w:r>
    </w:p>
    <w:p w14:paraId="14B2276C" w14:textId="77777777" w:rsidR="00797599" w:rsidRPr="001C6FB5" w:rsidRDefault="00797599" w:rsidP="00990C1A">
      <w:pPr>
        <w:pStyle w:val="Figura1"/>
      </w:pPr>
    </w:p>
    <w:p w14:paraId="2390678E" w14:textId="77777777" w:rsidR="002C5648" w:rsidRPr="001C6FB5" w:rsidRDefault="002C5648" w:rsidP="002C5648">
      <w:pPr>
        <w:ind w:firstLine="0"/>
      </w:pPr>
      <w:r w:rsidRPr="00D23DCD">
        <w:t xml:space="preserve">Rodríguez, J. M. (2018). </w:t>
      </w:r>
      <w:r w:rsidRPr="00D23DCD">
        <w:rPr>
          <w:i/>
          <w:iCs/>
        </w:rPr>
        <w:t>Gestión de proyectos: Un enfoque práctico.</w:t>
      </w:r>
      <w:r w:rsidRPr="00D23DCD">
        <w:t xml:space="preserve"> Alfaomega.</w:t>
      </w:r>
    </w:p>
    <w:p w14:paraId="75E171F9" w14:textId="77777777" w:rsidR="002C5648" w:rsidRPr="001C6FB5" w:rsidRDefault="002C5648" w:rsidP="002C5648"/>
    <w:p w14:paraId="64DE50EB" w14:textId="77777777" w:rsidR="002C5648" w:rsidRPr="001C6FB5" w:rsidRDefault="002C5648" w:rsidP="002C5648">
      <w:r w:rsidRPr="001C6FB5">
        <w:t>Este libro proporciona herramientas prácticas y metodologías claras para gestionar proyectos de forma eficiente, especialmente útil para estructurar procesos en Contract Workplaces.</w:t>
      </w:r>
    </w:p>
    <w:p w14:paraId="161AF75D" w14:textId="77777777" w:rsidR="002C5648" w:rsidRPr="001C6FB5" w:rsidRDefault="002C5648" w:rsidP="002C5648"/>
    <w:p w14:paraId="75C4B411" w14:textId="77777777" w:rsidR="002C5648" w:rsidRPr="001C6FB5" w:rsidRDefault="002C5648" w:rsidP="002C5648">
      <w:pPr>
        <w:ind w:firstLine="0"/>
      </w:pPr>
    </w:p>
    <w:p w14:paraId="4FC84C18" w14:textId="77777777" w:rsidR="00EA6EF7" w:rsidRPr="00D23DCD" w:rsidRDefault="00233F1C" w:rsidP="00EA6EF7">
      <w:pPr>
        <w:ind w:firstLine="0"/>
        <w:rPr>
          <w:i/>
          <w:iCs/>
        </w:rPr>
      </w:pPr>
      <w:r w:rsidRPr="00D23DCD">
        <w:t xml:space="preserve">Woodea. (2023, 24 de abril). </w:t>
      </w:r>
      <w:r w:rsidRPr="00D23DCD">
        <w:rPr>
          <w:i/>
          <w:iCs/>
        </w:rPr>
        <w:t xml:space="preserve">Design and Build, el camino hacia una construcción más </w:t>
      </w:r>
    </w:p>
    <w:p w14:paraId="46B34B62" w14:textId="1755C08B" w:rsidR="00233F1C" w:rsidRPr="001C6FB5" w:rsidRDefault="00233F1C" w:rsidP="00EA6EF7">
      <w:pPr>
        <w:ind w:firstLine="720"/>
      </w:pPr>
      <w:r w:rsidRPr="00D23DCD">
        <w:rPr>
          <w:i/>
          <w:iCs/>
        </w:rPr>
        <w:t>eficiente y sostenible. Woodea.</w:t>
      </w:r>
      <w:r w:rsidRPr="00D23DCD">
        <w:t xml:space="preserve"> </w:t>
      </w:r>
      <w:hyperlink r:id="rId91" w:history="1">
        <w:r w:rsidR="00DA7253" w:rsidRPr="00D23DCD">
          <w:rPr>
            <w:rStyle w:val="Hipervnculo"/>
          </w:rPr>
          <w:t>https://woodea.es/design-and-build/</w:t>
        </w:r>
      </w:hyperlink>
    </w:p>
    <w:p w14:paraId="1F13C08F" w14:textId="77777777" w:rsidR="00DA7253" w:rsidRPr="001C6FB5" w:rsidRDefault="00DA7253" w:rsidP="00233F1C"/>
    <w:p w14:paraId="675FC644" w14:textId="77777777" w:rsidR="00233F1C" w:rsidRPr="001C6FB5" w:rsidRDefault="00233F1C" w:rsidP="00E53F97">
      <w:r w:rsidRPr="001C6FB5">
        <w:t>Este artículo explora cómo el enfoque “Design &amp; Build” contribuye a mejorar la eficiencia y sostenibilidad en la construcción, alineándose directamente con el objetivo del PFG de optimizar costos, tiempos y calidad.</w:t>
      </w:r>
    </w:p>
    <w:p w14:paraId="27993E9A" w14:textId="77777777" w:rsidR="00DA7253" w:rsidRPr="001C6FB5" w:rsidRDefault="00DA7253" w:rsidP="00233F1C">
      <w:pPr>
        <w:ind w:left="360"/>
      </w:pPr>
    </w:p>
    <w:p w14:paraId="181FA45E" w14:textId="77777777" w:rsidR="00EA6EF7" w:rsidRPr="00AE4839" w:rsidRDefault="00233F1C" w:rsidP="00EA6EF7">
      <w:pPr>
        <w:ind w:firstLine="0"/>
        <w:rPr>
          <w:i/>
          <w:iCs/>
          <w:lang w:val="da-DK"/>
        </w:rPr>
      </w:pPr>
      <w:r w:rsidRPr="00D23DCD">
        <w:t xml:space="preserve">Zhang, S., Teizer, J., Lee, J.-K., Eastman, C. M. y Venugopal, M. (2013). </w:t>
      </w:r>
      <w:r w:rsidRPr="00AE4839">
        <w:rPr>
          <w:i/>
          <w:iCs/>
          <w:lang w:val="da-DK"/>
        </w:rPr>
        <w:t xml:space="preserve">Building information </w:t>
      </w:r>
    </w:p>
    <w:p w14:paraId="17FA8548" w14:textId="77777777" w:rsidR="00EA6EF7" w:rsidRPr="00AE4839" w:rsidRDefault="00233F1C" w:rsidP="00EA6EF7">
      <w:pPr>
        <w:rPr>
          <w:i/>
          <w:iCs/>
          <w:lang w:val="da-DK"/>
        </w:rPr>
      </w:pPr>
      <w:r w:rsidRPr="00AE4839">
        <w:rPr>
          <w:i/>
          <w:iCs/>
          <w:lang w:val="da-DK"/>
        </w:rPr>
        <w:t xml:space="preserve">modeling (BIM) and safety: Automatic safety checking of construction models and </w:t>
      </w:r>
    </w:p>
    <w:p w14:paraId="72AEA80E" w14:textId="77777777" w:rsidR="00EA6EF7" w:rsidRPr="00D23DCD" w:rsidRDefault="00233F1C" w:rsidP="00EA6EF7">
      <w:r w:rsidRPr="00D23DCD">
        <w:rPr>
          <w:i/>
          <w:iCs/>
        </w:rPr>
        <w:t>schedules. Automation in Construction,</w:t>
      </w:r>
      <w:r w:rsidRPr="00D23DCD">
        <w:t xml:space="preserve"> 29, 183–195. </w:t>
      </w:r>
    </w:p>
    <w:p w14:paraId="60460C79" w14:textId="0B06D40E" w:rsidR="00233F1C" w:rsidRPr="001C6FB5" w:rsidRDefault="00EA6EF7" w:rsidP="00EA6EF7">
      <w:hyperlink r:id="rId92" w:history="1">
        <w:r w:rsidRPr="00D23DCD">
          <w:rPr>
            <w:rStyle w:val="Hipervnculo"/>
          </w:rPr>
          <w:t>https://doi.org/10.1016/j.autcon.2012.05.006</w:t>
        </w:r>
      </w:hyperlink>
    </w:p>
    <w:p w14:paraId="456FDADE" w14:textId="77777777" w:rsidR="00DA7253" w:rsidRPr="001C6FB5" w:rsidRDefault="00DA7253" w:rsidP="00233F1C"/>
    <w:p w14:paraId="000002FE" w14:textId="08829ADD" w:rsidR="00A2355F" w:rsidRDefault="00233F1C" w:rsidP="0003502C">
      <w:pPr>
        <w:ind w:firstLine="0"/>
      </w:pPr>
      <w:r w:rsidRPr="001C6FB5">
        <w:t>Este artículo explica cómo el BIM puede ser utilizado para mejorar la seguridad mediante verificaciones automáticas en modelos y cronogramas, aportando herramientas para fortalecer la planificación y control de proyectos “Design &amp; Build”.</w:t>
      </w:r>
    </w:p>
    <w:sectPr w:rsidR="00A2355F" w:rsidSect="002C2864">
      <w:pgSz w:w="12242" w:h="15842" w:code="1"/>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B3F48" w14:textId="77777777" w:rsidR="00376E7D" w:rsidRDefault="00376E7D">
      <w:pPr>
        <w:spacing w:line="240" w:lineRule="auto"/>
      </w:pPr>
      <w:r>
        <w:separator/>
      </w:r>
    </w:p>
  </w:endnote>
  <w:endnote w:type="continuationSeparator" w:id="0">
    <w:p w14:paraId="6ADA6790" w14:textId="77777777" w:rsidR="00376E7D" w:rsidRDefault="00376E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BFA38" w14:textId="77777777" w:rsidR="00D87210" w:rsidRDefault="00D8721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D1B09E4" w14:textId="77777777" w:rsidR="00D87210" w:rsidRDefault="00D87210">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D35F7" w14:textId="77777777" w:rsidR="00D87210" w:rsidRPr="00804192" w:rsidRDefault="00D87210" w:rsidP="00504CB3">
    <w:pPr>
      <w:pBdr>
        <w:top w:val="nil"/>
        <w:left w:val="nil"/>
        <w:bottom w:val="nil"/>
        <w:right w:val="nil"/>
        <w:between w:val="nil"/>
      </w:pBdr>
      <w:tabs>
        <w:tab w:val="center" w:pos="4252"/>
        <w:tab w:val="right" w:pos="8504"/>
      </w:tabs>
      <w:ind w:firstLine="0"/>
      <w:rPr>
        <w:color w:val="000000"/>
        <w:lang w:val="es-C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0A" w14:textId="77777777" w:rsidR="00A2355F" w:rsidRDefault="00990D5A">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30B" w14:textId="77777777" w:rsidR="00A2355F" w:rsidRDefault="00A2355F">
    <w:pPr>
      <w:pBdr>
        <w:top w:val="nil"/>
        <w:left w:val="nil"/>
        <w:bottom w:val="nil"/>
        <w:right w:val="nil"/>
        <w:between w:val="nil"/>
      </w:pBdr>
      <w:tabs>
        <w:tab w:val="center" w:pos="4252"/>
        <w:tab w:val="right" w:pos="8504"/>
      </w:tabs>
      <w:ind w:right="360"/>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0C" w14:textId="77777777" w:rsidR="00A2355F" w:rsidRPr="00804192" w:rsidRDefault="00A2355F" w:rsidP="00504CB3">
    <w:pPr>
      <w:pBdr>
        <w:top w:val="nil"/>
        <w:left w:val="nil"/>
        <w:bottom w:val="nil"/>
        <w:right w:val="nil"/>
        <w:between w:val="nil"/>
      </w:pBdr>
      <w:tabs>
        <w:tab w:val="center" w:pos="4252"/>
        <w:tab w:val="right" w:pos="8504"/>
      </w:tabs>
      <w:ind w:firstLine="0"/>
      <w:rPr>
        <w:color w:val="000000"/>
        <w:lang w:val="es-CR"/>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B7819" w14:textId="77777777" w:rsidR="00F212FE" w:rsidRDefault="00F212FE">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02B12E1" w14:textId="77777777" w:rsidR="00F212FE" w:rsidRDefault="00F212FE">
    <w:pPr>
      <w:pBdr>
        <w:top w:val="nil"/>
        <w:left w:val="nil"/>
        <w:bottom w:val="nil"/>
        <w:right w:val="nil"/>
        <w:between w:val="nil"/>
      </w:pBdr>
      <w:tabs>
        <w:tab w:val="center" w:pos="4252"/>
        <w:tab w:val="right" w:pos="8504"/>
      </w:tabs>
      <w:ind w:right="360"/>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45404" w14:textId="77777777" w:rsidR="00F212FE" w:rsidRPr="00804192" w:rsidRDefault="00F212FE" w:rsidP="00504CB3">
    <w:pPr>
      <w:pBdr>
        <w:top w:val="nil"/>
        <w:left w:val="nil"/>
        <w:bottom w:val="nil"/>
        <w:right w:val="nil"/>
        <w:between w:val="nil"/>
      </w:pBdr>
      <w:tabs>
        <w:tab w:val="center" w:pos="4252"/>
        <w:tab w:val="right" w:pos="8504"/>
      </w:tabs>
      <w:ind w:firstLine="0"/>
      <w:rPr>
        <w:color w:val="000000"/>
        <w:lang w:val="es-CR"/>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55656" w14:textId="74832DFA" w:rsidR="00A957BE" w:rsidRDefault="00A957BE">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C4DF11D" w14:textId="77777777" w:rsidR="00A957BE" w:rsidRDefault="00A957BE">
    <w:pPr>
      <w:pBdr>
        <w:top w:val="nil"/>
        <w:left w:val="nil"/>
        <w:bottom w:val="nil"/>
        <w:right w:val="nil"/>
        <w:between w:val="nil"/>
      </w:pBdr>
      <w:tabs>
        <w:tab w:val="center" w:pos="4252"/>
        <w:tab w:val="right" w:pos="8504"/>
      </w:tabs>
      <w:ind w:right="360"/>
      <w:rPr>
        <w:color w:val="00000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F2FF1" w14:textId="74AFDEB7" w:rsidR="00A957BE" w:rsidRPr="00804192" w:rsidRDefault="00A957BE" w:rsidP="00504CB3">
    <w:pPr>
      <w:pBdr>
        <w:top w:val="nil"/>
        <w:left w:val="nil"/>
        <w:bottom w:val="nil"/>
        <w:right w:val="nil"/>
        <w:between w:val="nil"/>
      </w:pBdr>
      <w:tabs>
        <w:tab w:val="center" w:pos="4252"/>
        <w:tab w:val="right" w:pos="8504"/>
      </w:tabs>
      <w:ind w:firstLine="0"/>
      <w:rPr>
        <w:color w:val="000000"/>
        <w:lang w:val="es-C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F2ED7" w14:textId="77777777" w:rsidR="00376E7D" w:rsidRDefault="00376E7D">
      <w:pPr>
        <w:spacing w:line="240" w:lineRule="auto"/>
      </w:pPr>
      <w:r>
        <w:separator/>
      </w:r>
    </w:p>
  </w:footnote>
  <w:footnote w:type="continuationSeparator" w:id="0">
    <w:p w14:paraId="385A4AEF" w14:textId="77777777" w:rsidR="00376E7D" w:rsidRDefault="00376E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AF880" w14:textId="77777777" w:rsidR="00D87210" w:rsidRDefault="00D8721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14</w:t>
    </w:r>
    <w:r>
      <w:rPr>
        <w:color w:val="000000"/>
      </w:rPr>
      <w:fldChar w:fldCharType="end"/>
    </w:r>
  </w:p>
  <w:p w14:paraId="64DC0A62" w14:textId="77777777" w:rsidR="00D87210" w:rsidRDefault="00D87210">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05044" w14:textId="77777777" w:rsidR="00815A60" w:rsidRDefault="00815A6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14</w:t>
    </w:r>
    <w:r>
      <w:rPr>
        <w:color w:val="000000"/>
      </w:rPr>
      <w:fldChar w:fldCharType="end"/>
    </w:r>
  </w:p>
  <w:p w14:paraId="60741260" w14:textId="77777777" w:rsidR="00815A60" w:rsidRDefault="00815A60">
    <w:pPr>
      <w:pBdr>
        <w:top w:val="nil"/>
        <w:left w:val="nil"/>
        <w:bottom w:val="nil"/>
        <w:right w:val="nil"/>
        <w:between w:val="nil"/>
      </w:pBdr>
      <w:tabs>
        <w:tab w:val="center" w:pos="4252"/>
        <w:tab w:val="right" w:pos="8504"/>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05" w14:textId="77777777" w:rsidR="00A2355F" w:rsidRDefault="00A2355F" w:rsidP="0098201D">
    <w:pPr>
      <w:pBdr>
        <w:top w:val="nil"/>
        <w:left w:val="nil"/>
        <w:bottom w:val="nil"/>
        <w:right w:val="nil"/>
        <w:between w:val="nil"/>
      </w:pBdr>
      <w:tabs>
        <w:tab w:val="center" w:pos="4252"/>
        <w:tab w:val="right" w:pos="8504"/>
      </w:tabs>
      <w:ind w:firstLine="0"/>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55154" w14:textId="77777777" w:rsidR="00F212FE" w:rsidRDefault="00F212FE">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14</w:t>
    </w:r>
    <w:r>
      <w:rPr>
        <w:color w:val="000000"/>
      </w:rPr>
      <w:fldChar w:fldCharType="end"/>
    </w:r>
  </w:p>
  <w:p w14:paraId="4A8DCA53" w14:textId="77777777" w:rsidR="00F212FE" w:rsidRDefault="00F212FE">
    <w:pPr>
      <w:pBdr>
        <w:top w:val="nil"/>
        <w:left w:val="nil"/>
        <w:bottom w:val="nil"/>
        <w:right w:val="nil"/>
        <w:between w:val="nil"/>
      </w:pBdr>
      <w:tabs>
        <w:tab w:val="center" w:pos="4252"/>
        <w:tab w:val="right" w:pos="8504"/>
      </w:tabs>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A9AA" w14:textId="17A2EB02" w:rsidR="00A957BE" w:rsidRDefault="00A957BE">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14</w:t>
    </w:r>
    <w:r>
      <w:rPr>
        <w:color w:val="000000"/>
      </w:rPr>
      <w:fldChar w:fldCharType="end"/>
    </w:r>
  </w:p>
  <w:p w14:paraId="0C1BBD65" w14:textId="77777777" w:rsidR="00A957BE" w:rsidRDefault="00A957BE">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1D6D"/>
    <w:multiLevelType w:val="hybridMultilevel"/>
    <w:tmpl w:val="5024E0F4"/>
    <w:lvl w:ilvl="0" w:tplc="140A000F">
      <w:start w:val="1"/>
      <w:numFmt w:val="decimal"/>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13E59CC"/>
    <w:multiLevelType w:val="multilevel"/>
    <w:tmpl w:val="3A622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6F3F9E"/>
    <w:multiLevelType w:val="multilevel"/>
    <w:tmpl w:val="8E1C5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20389F"/>
    <w:multiLevelType w:val="hybridMultilevel"/>
    <w:tmpl w:val="A0985F70"/>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4" w15:restartNumberingAfterBreak="0">
    <w:nsid w:val="022F65E2"/>
    <w:multiLevelType w:val="hybridMultilevel"/>
    <w:tmpl w:val="B6E62418"/>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5" w15:restartNumberingAfterBreak="0">
    <w:nsid w:val="038D622B"/>
    <w:multiLevelType w:val="multilevel"/>
    <w:tmpl w:val="93B4F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CB13AC"/>
    <w:multiLevelType w:val="hybridMultilevel"/>
    <w:tmpl w:val="B8EA7B6C"/>
    <w:lvl w:ilvl="0" w:tplc="140A0001">
      <w:start w:val="1"/>
      <w:numFmt w:val="bullet"/>
      <w:lvlText w:val=""/>
      <w:lvlJc w:val="left"/>
      <w:pPr>
        <w:ind w:left="1440" w:hanging="360"/>
      </w:pPr>
      <w:rPr>
        <w:rFonts w:ascii="Symbol" w:hAnsi="Symbol" w:hint="default"/>
      </w:rPr>
    </w:lvl>
    <w:lvl w:ilvl="1" w:tplc="140A0003">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7" w15:restartNumberingAfterBreak="0">
    <w:nsid w:val="05C44F1D"/>
    <w:multiLevelType w:val="multilevel"/>
    <w:tmpl w:val="A740C922"/>
    <w:lvl w:ilvl="0">
      <w:start w:val="3"/>
      <w:numFmt w:val="decimal"/>
      <w:lvlText w:val="%1"/>
      <w:lvlJc w:val="left"/>
      <w:pPr>
        <w:ind w:left="360" w:hanging="360"/>
      </w:pPr>
      <w:rPr>
        <w:rFonts w:hint="default"/>
      </w:rPr>
    </w:lvl>
    <w:lvl w:ilvl="1">
      <w:start w:val="3"/>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8" w15:restartNumberingAfterBreak="0">
    <w:nsid w:val="05DC6EEB"/>
    <w:multiLevelType w:val="multilevel"/>
    <w:tmpl w:val="1062E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F65E65"/>
    <w:multiLevelType w:val="multilevel"/>
    <w:tmpl w:val="185E1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687D4B"/>
    <w:multiLevelType w:val="multilevel"/>
    <w:tmpl w:val="EA486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BB591F"/>
    <w:multiLevelType w:val="multilevel"/>
    <w:tmpl w:val="659C7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0F67F6"/>
    <w:multiLevelType w:val="hybridMultilevel"/>
    <w:tmpl w:val="2B629F78"/>
    <w:lvl w:ilvl="0" w:tplc="140A0001">
      <w:start w:val="1"/>
      <w:numFmt w:val="bullet"/>
      <w:lvlText w:val=""/>
      <w:lvlJc w:val="left"/>
      <w:pPr>
        <w:ind w:left="1496" w:hanging="360"/>
      </w:pPr>
      <w:rPr>
        <w:rFonts w:ascii="Symbol" w:hAnsi="Symbol" w:hint="default"/>
      </w:rPr>
    </w:lvl>
    <w:lvl w:ilvl="1" w:tplc="140A0003" w:tentative="1">
      <w:start w:val="1"/>
      <w:numFmt w:val="bullet"/>
      <w:lvlText w:val="o"/>
      <w:lvlJc w:val="left"/>
      <w:pPr>
        <w:ind w:left="2216" w:hanging="360"/>
      </w:pPr>
      <w:rPr>
        <w:rFonts w:ascii="Courier New" w:hAnsi="Courier New" w:cs="Courier New" w:hint="default"/>
      </w:rPr>
    </w:lvl>
    <w:lvl w:ilvl="2" w:tplc="140A0005" w:tentative="1">
      <w:start w:val="1"/>
      <w:numFmt w:val="bullet"/>
      <w:lvlText w:val=""/>
      <w:lvlJc w:val="left"/>
      <w:pPr>
        <w:ind w:left="2936" w:hanging="360"/>
      </w:pPr>
      <w:rPr>
        <w:rFonts w:ascii="Wingdings" w:hAnsi="Wingdings" w:hint="default"/>
      </w:rPr>
    </w:lvl>
    <w:lvl w:ilvl="3" w:tplc="140A0001" w:tentative="1">
      <w:start w:val="1"/>
      <w:numFmt w:val="bullet"/>
      <w:lvlText w:val=""/>
      <w:lvlJc w:val="left"/>
      <w:pPr>
        <w:ind w:left="3656" w:hanging="360"/>
      </w:pPr>
      <w:rPr>
        <w:rFonts w:ascii="Symbol" w:hAnsi="Symbol" w:hint="default"/>
      </w:rPr>
    </w:lvl>
    <w:lvl w:ilvl="4" w:tplc="140A0003" w:tentative="1">
      <w:start w:val="1"/>
      <w:numFmt w:val="bullet"/>
      <w:lvlText w:val="o"/>
      <w:lvlJc w:val="left"/>
      <w:pPr>
        <w:ind w:left="4376" w:hanging="360"/>
      </w:pPr>
      <w:rPr>
        <w:rFonts w:ascii="Courier New" w:hAnsi="Courier New" w:cs="Courier New" w:hint="default"/>
      </w:rPr>
    </w:lvl>
    <w:lvl w:ilvl="5" w:tplc="140A0005" w:tentative="1">
      <w:start w:val="1"/>
      <w:numFmt w:val="bullet"/>
      <w:lvlText w:val=""/>
      <w:lvlJc w:val="left"/>
      <w:pPr>
        <w:ind w:left="5096" w:hanging="360"/>
      </w:pPr>
      <w:rPr>
        <w:rFonts w:ascii="Wingdings" w:hAnsi="Wingdings" w:hint="default"/>
      </w:rPr>
    </w:lvl>
    <w:lvl w:ilvl="6" w:tplc="140A0001" w:tentative="1">
      <w:start w:val="1"/>
      <w:numFmt w:val="bullet"/>
      <w:lvlText w:val=""/>
      <w:lvlJc w:val="left"/>
      <w:pPr>
        <w:ind w:left="5816" w:hanging="360"/>
      </w:pPr>
      <w:rPr>
        <w:rFonts w:ascii="Symbol" w:hAnsi="Symbol" w:hint="default"/>
      </w:rPr>
    </w:lvl>
    <w:lvl w:ilvl="7" w:tplc="140A0003" w:tentative="1">
      <w:start w:val="1"/>
      <w:numFmt w:val="bullet"/>
      <w:lvlText w:val="o"/>
      <w:lvlJc w:val="left"/>
      <w:pPr>
        <w:ind w:left="6536" w:hanging="360"/>
      </w:pPr>
      <w:rPr>
        <w:rFonts w:ascii="Courier New" w:hAnsi="Courier New" w:cs="Courier New" w:hint="default"/>
      </w:rPr>
    </w:lvl>
    <w:lvl w:ilvl="8" w:tplc="140A0005" w:tentative="1">
      <w:start w:val="1"/>
      <w:numFmt w:val="bullet"/>
      <w:lvlText w:val=""/>
      <w:lvlJc w:val="left"/>
      <w:pPr>
        <w:ind w:left="7256" w:hanging="360"/>
      </w:pPr>
      <w:rPr>
        <w:rFonts w:ascii="Wingdings" w:hAnsi="Wingdings" w:hint="default"/>
      </w:rPr>
    </w:lvl>
  </w:abstractNum>
  <w:abstractNum w:abstractNumId="13" w15:restartNumberingAfterBreak="0">
    <w:nsid w:val="072A7D97"/>
    <w:multiLevelType w:val="multilevel"/>
    <w:tmpl w:val="B64C0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745162F"/>
    <w:multiLevelType w:val="hybridMultilevel"/>
    <w:tmpl w:val="785A899C"/>
    <w:lvl w:ilvl="0" w:tplc="140A000F">
      <w:start w:val="1"/>
      <w:numFmt w:val="decimal"/>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15" w15:restartNumberingAfterBreak="0">
    <w:nsid w:val="075861E5"/>
    <w:multiLevelType w:val="hybridMultilevel"/>
    <w:tmpl w:val="9518601A"/>
    <w:lvl w:ilvl="0" w:tplc="140A000F">
      <w:start w:val="1"/>
      <w:numFmt w:val="decimal"/>
      <w:lvlText w:val="%1."/>
      <w:lvlJc w:val="left"/>
      <w:pPr>
        <w:ind w:left="1429" w:hanging="360"/>
      </w:pPr>
    </w:lvl>
    <w:lvl w:ilvl="1" w:tplc="140A0019" w:tentative="1">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abstractNum w:abstractNumId="16" w15:restartNumberingAfterBreak="0">
    <w:nsid w:val="08CC2FE1"/>
    <w:multiLevelType w:val="hybridMultilevel"/>
    <w:tmpl w:val="13CE09C2"/>
    <w:lvl w:ilvl="0" w:tplc="140A000F">
      <w:start w:val="1"/>
      <w:numFmt w:val="decimal"/>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17" w15:restartNumberingAfterBreak="0">
    <w:nsid w:val="09331D75"/>
    <w:multiLevelType w:val="multilevel"/>
    <w:tmpl w:val="8A38E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A341487"/>
    <w:multiLevelType w:val="multilevel"/>
    <w:tmpl w:val="FD6CD3E2"/>
    <w:lvl w:ilvl="0">
      <w:start w:val="1"/>
      <w:numFmt w:val="bullet"/>
      <w:lvlText w:val=""/>
      <w:lvlJc w:val="left"/>
      <w:pPr>
        <w:ind w:left="502"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pStyle w:val="Estilo1"/>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0AD37941"/>
    <w:multiLevelType w:val="multilevel"/>
    <w:tmpl w:val="BC025216"/>
    <w:lvl w:ilvl="0">
      <w:start w:val="1"/>
      <w:numFmt w:val="decimal"/>
      <w:lvlText w:val="%1."/>
      <w:lvlJc w:val="left"/>
      <w:pPr>
        <w:ind w:left="720" w:hanging="360"/>
      </w:pPr>
      <w:rPr>
        <w:rFonts w:hint="default"/>
        <w:b/>
        <w:bCs/>
      </w:rPr>
    </w:lvl>
    <w:lvl w:ilvl="1">
      <w:start w:val="2"/>
      <w:numFmt w:val="decimal"/>
      <w:isLgl/>
      <w:lvlText w:val="%1.%2"/>
      <w:lvlJc w:val="left"/>
      <w:pPr>
        <w:ind w:left="1050" w:hanging="480"/>
      </w:pPr>
      <w:rPr>
        <w:rFonts w:hint="default"/>
        <w:b w:val="0"/>
      </w:rPr>
    </w:lvl>
    <w:lvl w:ilvl="2">
      <w:start w:val="1"/>
      <w:numFmt w:val="decimal"/>
      <w:isLgl/>
      <w:lvlText w:val="%1.%2.%3"/>
      <w:lvlJc w:val="left"/>
      <w:pPr>
        <w:ind w:left="1500" w:hanging="720"/>
      </w:pPr>
      <w:rPr>
        <w:rFonts w:hint="default"/>
        <w:b w:val="0"/>
      </w:rPr>
    </w:lvl>
    <w:lvl w:ilvl="3">
      <w:start w:val="1"/>
      <w:numFmt w:val="decimal"/>
      <w:isLgl/>
      <w:lvlText w:val="%1.%2.%3.%4"/>
      <w:lvlJc w:val="left"/>
      <w:pPr>
        <w:ind w:left="1710" w:hanging="720"/>
      </w:pPr>
      <w:rPr>
        <w:rFonts w:hint="default"/>
        <w:b w:val="0"/>
      </w:rPr>
    </w:lvl>
    <w:lvl w:ilvl="4">
      <w:start w:val="1"/>
      <w:numFmt w:val="decimal"/>
      <w:isLgl/>
      <w:lvlText w:val="%1.%2.%3.%4.%5"/>
      <w:lvlJc w:val="left"/>
      <w:pPr>
        <w:ind w:left="2280" w:hanging="1080"/>
      </w:pPr>
      <w:rPr>
        <w:rFonts w:hint="default"/>
        <w:b w:val="0"/>
      </w:rPr>
    </w:lvl>
    <w:lvl w:ilvl="5">
      <w:start w:val="1"/>
      <w:numFmt w:val="decimal"/>
      <w:isLgl/>
      <w:lvlText w:val="%1.%2.%3.%4.%5.%6"/>
      <w:lvlJc w:val="left"/>
      <w:pPr>
        <w:ind w:left="2490" w:hanging="1080"/>
      </w:pPr>
      <w:rPr>
        <w:rFonts w:hint="default"/>
        <w:b w:val="0"/>
      </w:rPr>
    </w:lvl>
    <w:lvl w:ilvl="6">
      <w:start w:val="1"/>
      <w:numFmt w:val="decimal"/>
      <w:isLgl/>
      <w:lvlText w:val="%1.%2.%3.%4.%5.%6.%7"/>
      <w:lvlJc w:val="left"/>
      <w:pPr>
        <w:ind w:left="3060" w:hanging="1440"/>
      </w:pPr>
      <w:rPr>
        <w:rFonts w:hint="default"/>
        <w:b w:val="0"/>
      </w:rPr>
    </w:lvl>
    <w:lvl w:ilvl="7">
      <w:start w:val="1"/>
      <w:numFmt w:val="decimal"/>
      <w:isLgl/>
      <w:lvlText w:val="%1.%2.%3.%4.%5.%6.%7.%8"/>
      <w:lvlJc w:val="left"/>
      <w:pPr>
        <w:ind w:left="3270" w:hanging="1440"/>
      </w:pPr>
      <w:rPr>
        <w:rFonts w:hint="default"/>
        <w:b w:val="0"/>
      </w:rPr>
    </w:lvl>
    <w:lvl w:ilvl="8">
      <w:start w:val="1"/>
      <w:numFmt w:val="decimal"/>
      <w:isLgl/>
      <w:lvlText w:val="%1.%2.%3.%4.%5.%6.%7.%8.%9"/>
      <w:lvlJc w:val="left"/>
      <w:pPr>
        <w:ind w:left="3840" w:hanging="1800"/>
      </w:pPr>
      <w:rPr>
        <w:rFonts w:hint="default"/>
        <w:b w:val="0"/>
      </w:rPr>
    </w:lvl>
  </w:abstractNum>
  <w:abstractNum w:abstractNumId="20" w15:restartNumberingAfterBreak="0">
    <w:nsid w:val="0B1147CF"/>
    <w:multiLevelType w:val="multilevel"/>
    <w:tmpl w:val="14BCD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B224CA2"/>
    <w:multiLevelType w:val="multilevel"/>
    <w:tmpl w:val="67047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C850402"/>
    <w:multiLevelType w:val="multilevel"/>
    <w:tmpl w:val="CA1C0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D5229F7"/>
    <w:multiLevelType w:val="multilevel"/>
    <w:tmpl w:val="4B5C6C6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0D564F70"/>
    <w:multiLevelType w:val="hybridMultilevel"/>
    <w:tmpl w:val="742AD6E2"/>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25" w15:restartNumberingAfterBreak="0">
    <w:nsid w:val="0EFF1096"/>
    <w:multiLevelType w:val="multilevel"/>
    <w:tmpl w:val="0CE86696"/>
    <w:lvl w:ilvl="0">
      <w:start w:val="2"/>
      <w:numFmt w:val="decimal"/>
      <w:lvlText w:val="%1"/>
      <w:lvlJc w:val="left"/>
      <w:pPr>
        <w:ind w:left="480" w:hanging="480"/>
      </w:pPr>
      <w:rPr>
        <w:rFonts w:hint="default"/>
      </w:rPr>
    </w:lvl>
    <w:lvl w:ilvl="1">
      <w:start w:val="3"/>
      <w:numFmt w:val="decimal"/>
      <w:lvlText w:val="%1.%2"/>
      <w:lvlJc w:val="left"/>
      <w:pPr>
        <w:ind w:left="870" w:hanging="48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26" w15:restartNumberingAfterBreak="0">
    <w:nsid w:val="0FEC1267"/>
    <w:multiLevelType w:val="hybridMultilevel"/>
    <w:tmpl w:val="59B85620"/>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7" w15:restartNumberingAfterBreak="0">
    <w:nsid w:val="100F3290"/>
    <w:multiLevelType w:val="hybridMultilevel"/>
    <w:tmpl w:val="130E48B8"/>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28" w15:restartNumberingAfterBreak="0">
    <w:nsid w:val="10152279"/>
    <w:multiLevelType w:val="hybridMultilevel"/>
    <w:tmpl w:val="89A299A6"/>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29" w15:restartNumberingAfterBreak="0">
    <w:nsid w:val="12283803"/>
    <w:multiLevelType w:val="multilevel"/>
    <w:tmpl w:val="13CCE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28653CA"/>
    <w:multiLevelType w:val="multilevel"/>
    <w:tmpl w:val="4FF6E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2EA4BD6"/>
    <w:multiLevelType w:val="multilevel"/>
    <w:tmpl w:val="4A483752"/>
    <w:lvl w:ilvl="0">
      <w:start w:val="1"/>
      <w:numFmt w:val="decimal"/>
      <w:lvlText w:val="%1."/>
      <w:lvlJc w:val="left"/>
      <w:pPr>
        <w:ind w:left="720" w:hanging="360"/>
      </w:pPr>
    </w:lvl>
    <w:lvl w:ilvl="1">
      <w:start w:val="1"/>
      <w:numFmt w:val="decimal"/>
      <w:lvlText w:val="%1.%2"/>
      <w:lvlJc w:val="left"/>
      <w:pPr>
        <w:ind w:left="840" w:hanging="48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2" w15:restartNumberingAfterBreak="0">
    <w:nsid w:val="14D86770"/>
    <w:multiLevelType w:val="multilevel"/>
    <w:tmpl w:val="E8E8CBD6"/>
    <w:lvl w:ilvl="0">
      <w:start w:val="1"/>
      <w:numFmt w:val="decimal"/>
      <w:lvlText w:val="%1."/>
      <w:lvlJc w:val="left"/>
      <w:pPr>
        <w:ind w:left="432" w:hanging="432"/>
      </w:pPr>
      <w:rPr>
        <w:rFonts w:hint="default"/>
      </w:rPr>
    </w:lvl>
    <w:lvl w:ilvl="1">
      <w:start w:val="1"/>
      <w:numFmt w:val="decimal"/>
      <w:lvlText w:val="%1.%2"/>
      <w:lvlJc w:val="left"/>
      <w:pPr>
        <w:ind w:left="576" w:hanging="576"/>
      </w:pPr>
      <w:rPr>
        <w:b/>
      </w:rPr>
    </w:lvl>
    <w:lvl w:ilvl="2">
      <w:start w:val="1"/>
      <w:numFmt w:val="decimal"/>
      <w:lvlText w:val="%1.%2.%3"/>
      <w:lvlJc w:val="left"/>
      <w:pPr>
        <w:ind w:left="720" w:hanging="436"/>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14F07091"/>
    <w:multiLevelType w:val="multilevel"/>
    <w:tmpl w:val="8C785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65D29EA"/>
    <w:multiLevelType w:val="hybridMultilevel"/>
    <w:tmpl w:val="6C14D89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35" w15:restartNumberingAfterBreak="0">
    <w:nsid w:val="18750308"/>
    <w:multiLevelType w:val="hybridMultilevel"/>
    <w:tmpl w:val="D71E58B6"/>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36" w15:restartNumberingAfterBreak="0">
    <w:nsid w:val="19521CEC"/>
    <w:multiLevelType w:val="hybridMultilevel"/>
    <w:tmpl w:val="772C4FE6"/>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37" w15:restartNumberingAfterBreak="0">
    <w:nsid w:val="1A3C18C1"/>
    <w:multiLevelType w:val="hybridMultilevel"/>
    <w:tmpl w:val="D4BE1310"/>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38" w15:restartNumberingAfterBreak="0">
    <w:nsid w:val="1A40388F"/>
    <w:multiLevelType w:val="multilevel"/>
    <w:tmpl w:val="E9749A56"/>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1C28580F"/>
    <w:multiLevelType w:val="hybridMultilevel"/>
    <w:tmpl w:val="09A0A66C"/>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40" w15:restartNumberingAfterBreak="0">
    <w:nsid w:val="1C773F4D"/>
    <w:multiLevelType w:val="hybridMultilevel"/>
    <w:tmpl w:val="8EB4191E"/>
    <w:lvl w:ilvl="0" w:tplc="140A000F">
      <w:start w:val="2"/>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1DD406D8"/>
    <w:multiLevelType w:val="hybridMultilevel"/>
    <w:tmpl w:val="7AAC87A8"/>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42" w15:restartNumberingAfterBreak="0">
    <w:nsid w:val="1E125AAB"/>
    <w:multiLevelType w:val="multilevel"/>
    <w:tmpl w:val="35D81E3E"/>
    <w:lvl w:ilvl="0">
      <w:start w:val="3"/>
      <w:numFmt w:val="decimal"/>
      <w:lvlText w:val="%1"/>
      <w:lvlJc w:val="left"/>
      <w:pPr>
        <w:ind w:left="432" w:hanging="432"/>
      </w:pPr>
    </w:lvl>
    <w:lvl w:ilvl="1">
      <w:start w:val="2"/>
      <w:numFmt w:val="decimal"/>
      <w:lvlText w:val="%1.%2"/>
      <w:lvlJc w:val="left"/>
      <w:pPr>
        <w:ind w:left="576" w:hanging="576"/>
      </w:pPr>
      <w:rPr>
        <w:b/>
      </w:rPr>
    </w:lvl>
    <w:lvl w:ilvl="2">
      <w:start w:val="2"/>
      <w:numFmt w:val="decimal"/>
      <w:lvlText w:val="%1.%2.%3"/>
      <w:lvlJc w:val="left"/>
      <w:pPr>
        <w:ind w:left="720" w:hanging="436"/>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1E456BAE"/>
    <w:multiLevelType w:val="hybridMultilevel"/>
    <w:tmpl w:val="783CF98E"/>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44" w15:restartNumberingAfterBreak="0">
    <w:nsid w:val="1E4D304C"/>
    <w:multiLevelType w:val="multilevel"/>
    <w:tmpl w:val="2910D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F443A29"/>
    <w:multiLevelType w:val="multilevel"/>
    <w:tmpl w:val="0282B614"/>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1A44A7B"/>
    <w:multiLevelType w:val="hybridMultilevel"/>
    <w:tmpl w:val="0444233A"/>
    <w:lvl w:ilvl="0" w:tplc="140A000F">
      <w:start w:val="1"/>
      <w:numFmt w:val="decimal"/>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47" w15:restartNumberingAfterBreak="0">
    <w:nsid w:val="23802D93"/>
    <w:multiLevelType w:val="multilevel"/>
    <w:tmpl w:val="3A2E8538"/>
    <w:lvl w:ilvl="0">
      <w:start w:val="2"/>
      <w:numFmt w:val="decimal"/>
      <w:lvlText w:val="%1"/>
      <w:lvlJc w:val="left"/>
      <w:pPr>
        <w:ind w:left="480" w:hanging="480"/>
      </w:pPr>
      <w:rPr>
        <w:rFonts w:hint="default"/>
      </w:rPr>
    </w:lvl>
    <w:lvl w:ilvl="1">
      <w:start w:val="1"/>
      <w:numFmt w:val="decimal"/>
      <w:lvlText w:val="%1.%2"/>
      <w:lvlJc w:val="left"/>
      <w:pPr>
        <w:ind w:left="870" w:hanging="480"/>
      </w:pPr>
      <w:rPr>
        <w:rFonts w:hint="default"/>
      </w:rPr>
    </w:lvl>
    <w:lvl w:ilvl="2">
      <w:start w:val="2"/>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48" w15:restartNumberingAfterBreak="0">
    <w:nsid w:val="248E109E"/>
    <w:multiLevelType w:val="hybridMultilevel"/>
    <w:tmpl w:val="5C0005B4"/>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49" w15:restartNumberingAfterBreak="0">
    <w:nsid w:val="26E37B18"/>
    <w:multiLevelType w:val="multilevel"/>
    <w:tmpl w:val="F4DE7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77C02C8"/>
    <w:multiLevelType w:val="multilevel"/>
    <w:tmpl w:val="6D9089B2"/>
    <w:lvl w:ilvl="0">
      <w:start w:val="2"/>
      <w:numFmt w:val="decimal"/>
      <w:lvlText w:val="%1"/>
      <w:lvlJc w:val="left"/>
      <w:pPr>
        <w:ind w:left="480" w:hanging="480"/>
      </w:pPr>
      <w:rPr>
        <w:rFonts w:hint="default"/>
      </w:rPr>
    </w:lvl>
    <w:lvl w:ilvl="1">
      <w:start w:val="1"/>
      <w:numFmt w:val="decimal"/>
      <w:lvlText w:val="%1.%2"/>
      <w:lvlJc w:val="left"/>
      <w:pPr>
        <w:ind w:left="510" w:hanging="480"/>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2040" w:hanging="1800"/>
      </w:pPr>
      <w:rPr>
        <w:rFonts w:hint="default"/>
      </w:rPr>
    </w:lvl>
  </w:abstractNum>
  <w:abstractNum w:abstractNumId="51" w15:restartNumberingAfterBreak="0">
    <w:nsid w:val="28017883"/>
    <w:multiLevelType w:val="multilevel"/>
    <w:tmpl w:val="19924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9CF2996"/>
    <w:multiLevelType w:val="multilevel"/>
    <w:tmpl w:val="1C8C6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9E3234F"/>
    <w:multiLevelType w:val="multilevel"/>
    <w:tmpl w:val="8DE86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A89141D"/>
    <w:multiLevelType w:val="hybridMultilevel"/>
    <w:tmpl w:val="859426AC"/>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55" w15:restartNumberingAfterBreak="0">
    <w:nsid w:val="2B81314B"/>
    <w:multiLevelType w:val="multilevel"/>
    <w:tmpl w:val="8CE01778"/>
    <w:lvl w:ilvl="0">
      <w:start w:val="2"/>
      <w:numFmt w:val="decimal"/>
      <w:lvlText w:val="%1"/>
      <w:lvlJc w:val="left"/>
      <w:pPr>
        <w:ind w:left="360" w:hanging="360"/>
      </w:pPr>
      <w:rPr>
        <w:rFonts w:hint="default"/>
      </w:rPr>
    </w:lvl>
    <w:lvl w:ilvl="1">
      <w:start w:val="2"/>
      <w:numFmt w:val="decimal"/>
      <w:lvlText w:val="%1.%2"/>
      <w:lvlJc w:val="left"/>
      <w:pPr>
        <w:ind w:left="870" w:hanging="36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880" w:hanging="1800"/>
      </w:pPr>
      <w:rPr>
        <w:rFonts w:hint="default"/>
      </w:rPr>
    </w:lvl>
  </w:abstractNum>
  <w:abstractNum w:abstractNumId="56" w15:restartNumberingAfterBreak="0">
    <w:nsid w:val="2C271466"/>
    <w:multiLevelType w:val="multilevel"/>
    <w:tmpl w:val="DDDAB1B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C8F1E7A"/>
    <w:multiLevelType w:val="hybridMultilevel"/>
    <w:tmpl w:val="ABAA2DA8"/>
    <w:lvl w:ilvl="0" w:tplc="140A000F">
      <w:start w:val="1"/>
      <w:numFmt w:val="decimal"/>
      <w:lvlText w:val="%1."/>
      <w:lvlJc w:val="left"/>
      <w:pPr>
        <w:ind w:left="1429" w:hanging="360"/>
      </w:pPr>
    </w:lvl>
    <w:lvl w:ilvl="1" w:tplc="140A0019" w:tentative="1">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abstractNum w:abstractNumId="58" w15:restartNumberingAfterBreak="0">
    <w:nsid w:val="2D1414EF"/>
    <w:multiLevelType w:val="multilevel"/>
    <w:tmpl w:val="8CE23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D764C20"/>
    <w:multiLevelType w:val="multilevel"/>
    <w:tmpl w:val="5D587A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DDB6623"/>
    <w:multiLevelType w:val="multilevel"/>
    <w:tmpl w:val="39EA5102"/>
    <w:lvl w:ilvl="0">
      <w:start w:val="4"/>
      <w:numFmt w:val="decimal"/>
      <w:lvlText w:val="%1"/>
      <w:lvlJc w:val="left"/>
      <w:pPr>
        <w:ind w:left="480" w:hanging="480"/>
      </w:pPr>
      <w:rPr>
        <w:rFonts w:hint="default"/>
      </w:rPr>
    </w:lvl>
    <w:lvl w:ilvl="1">
      <w:start w:val="3"/>
      <w:numFmt w:val="decimal"/>
      <w:lvlText w:val="%1.%2"/>
      <w:lvlJc w:val="left"/>
      <w:pPr>
        <w:ind w:left="735" w:hanging="480"/>
      </w:pPr>
      <w:rPr>
        <w:rFonts w:hint="default"/>
      </w:rPr>
    </w:lvl>
    <w:lvl w:ilvl="2">
      <w:start w:val="3"/>
      <w:numFmt w:val="decimal"/>
      <w:lvlText w:val="%1.%2.%3"/>
      <w:lvlJc w:val="left"/>
      <w:pPr>
        <w:ind w:left="1230" w:hanging="720"/>
      </w:pPr>
      <w:rPr>
        <w:rFonts w:hint="default"/>
      </w:rPr>
    </w:lvl>
    <w:lvl w:ilvl="3">
      <w:start w:val="1"/>
      <w:numFmt w:val="decimal"/>
      <w:lvlText w:val="%1.%2.%3.%4"/>
      <w:lvlJc w:val="left"/>
      <w:pPr>
        <w:ind w:left="1485" w:hanging="720"/>
      </w:pPr>
      <w:rPr>
        <w:rFonts w:hint="default"/>
      </w:rPr>
    </w:lvl>
    <w:lvl w:ilvl="4">
      <w:start w:val="1"/>
      <w:numFmt w:val="decimal"/>
      <w:lvlText w:val="%1.%2.%3.%4.%5"/>
      <w:lvlJc w:val="left"/>
      <w:pPr>
        <w:ind w:left="2100" w:hanging="1080"/>
      </w:pPr>
      <w:rPr>
        <w:rFonts w:hint="default"/>
      </w:rPr>
    </w:lvl>
    <w:lvl w:ilvl="5">
      <w:start w:val="1"/>
      <w:numFmt w:val="decimal"/>
      <w:lvlText w:val="%1.%2.%3.%4.%5.%6"/>
      <w:lvlJc w:val="left"/>
      <w:pPr>
        <w:ind w:left="2355" w:hanging="1080"/>
      </w:pPr>
      <w:rPr>
        <w:rFonts w:hint="default"/>
      </w:rPr>
    </w:lvl>
    <w:lvl w:ilvl="6">
      <w:start w:val="1"/>
      <w:numFmt w:val="decimal"/>
      <w:lvlText w:val="%1.%2.%3.%4.%5.%6.%7"/>
      <w:lvlJc w:val="left"/>
      <w:pPr>
        <w:ind w:left="2970" w:hanging="1440"/>
      </w:pPr>
      <w:rPr>
        <w:rFonts w:hint="default"/>
      </w:rPr>
    </w:lvl>
    <w:lvl w:ilvl="7">
      <w:start w:val="1"/>
      <w:numFmt w:val="decimal"/>
      <w:lvlText w:val="%1.%2.%3.%4.%5.%6.%7.%8"/>
      <w:lvlJc w:val="left"/>
      <w:pPr>
        <w:ind w:left="3225" w:hanging="1440"/>
      </w:pPr>
      <w:rPr>
        <w:rFonts w:hint="default"/>
      </w:rPr>
    </w:lvl>
    <w:lvl w:ilvl="8">
      <w:start w:val="1"/>
      <w:numFmt w:val="decimal"/>
      <w:lvlText w:val="%1.%2.%3.%4.%5.%6.%7.%8.%9"/>
      <w:lvlJc w:val="left"/>
      <w:pPr>
        <w:ind w:left="3840" w:hanging="1800"/>
      </w:pPr>
      <w:rPr>
        <w:rFonts w:hint="default"/>
      </w:rPr>
    </w:lvl>
  </w:abstractNum>
  <w:abstractNum w:abstractNumId="61" w15:restartNumberingAfterBreak="0">
    <w:nsid w:val="2EC97FD2"/>
    <w:multiLevelType w:val="hybridMultilevel"/>
    <w:tmpl w:val="DA601C12"/>
    <w:lvl w:ilvl="0" w:tplc="140A000F">
      <w:start w:val="1"/>
      <w:numFmt w:val="decimal"/>
      <w:lvlText w:val="%1."/>
      <w:lvlJc w:val="left"/>
      <w:pPr>
        <w:ind w:left="1429" w:hanging="360"/>
      </w:pPr>
    </w:lvl>
    <w:lvl w:ilvl="1" w:tplc="140A0019" w:tentative="1">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abstractNum w:abstractNumId="62" w15:restartNumberingAfterBreak="0">
    <w:nsid w:val="2F976ED2"/>
    <w:multiLevelType w:val="hybridMultilevel"/>
    <w:tmpl w:val="867A8C66"/>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63" w15:restartNumberingAfterBreak="0">
    <w:nsid w:val="31FC3DBA"/>
    <w:multiLevelType w:val="multilevel"/>
    <w:tmpl w:val="96D4EA84"/>
    <w:lvl w:ilvl="0">
      <w:start w:val="2"/>
      <w:numFmt w:val="decimal"/>
      <w:lvlText w:val="%1"/>
      <w:lvlJc w:val="left"/>
      <w:pPr>
        <w:ind w:left="360" w:hanging="360"/>
      </w:pPr>
      <w:rPr>
        <w:rFonts w:hint="default"/>
      </w:rPr>
    </w:lvl>
    <w:lvl w:ilvl="1">
      <w:start w:val="3"/>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64" w15:restartNumberingAfterBreak="0">
    <w:nsid w:val="32342FCD"/>
    <w:multiLevelType w:val="multilevel"/>
    <w:tmpl w:val="2CBCA0F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5" w15:restartNumberingAfterBreak="0">
    <w:nsid w:val="33A906FC"/>
    <w:multiLevelType w:val="multilevel"/>
    <w:tmpl w:val="7B8C0684"/>
    <w:lvl w:ilvl="0">
      <w:start w:val="4"/>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3E51E43"/>
    <w:multiLevelType w:val="multilevel"/>
    <w:tmpl w:val="5596E32E"/>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4485BAE"/>
    <w:multiLevelType w:val="multilevel"/>
    <w:tmpl w:val="CE788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5874392"/>
    <w:multiLevelType w:val="multilevel"/>
    <w:tmpl w:val="DDE8CD94"/>
    <w:lvl w:ilvl="0">
      <w:start w:val="2"/>
      <w:numFmt w:val="decimal"/>
      <w:lvlText w:val="%1"/>
      <w:lvlJc w:val="left"/>
      <w:pPr>
        <w:ind w:left="480" w:hanging="480"/>
      </w:pPr>
      <w:rPr>
        <w:rFonts w:hint="default"/>
      </w:rPr>
    </w:lvl>
    <w:lvl w:ilvl="1">
      <w:start w:val="2"/>
      <w:numFmt w:val="decimal"/>
      <w:lvlText w:val="%1.%2"/>
      <w:lvlJc w:val="left"/>
      <w:pPr>
        <w:ind w:left="870" w:hanging="480"/>
      </w:pPr>
      <w:rPr>
        <w:rFonts w:hint="default"/>
      </w:rPr>
    </w:lvl>
    <w:lvl w:ilvl="2">
      <w:start w:val="4"/>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69" w15:restartNumberingAfterBreak="0">
    <w:nsid w:val="35EE29C8"/>
    <w:multiLevelType w:val="multilevel"/>
    <w:tmpl w:val="35D81E3E"/>
    <w:lvl w:ilvl="0">
      <w:start w:val="3"/>
      <w:numFmt w:val="decimal"/>
      <w:lvlText w:val="%1"/>
      <w:lvlJc w:val="left"/>
      <w:pPr>
        <w:ind w:left="432" w:hanging="432"/>
      </w:pPr>
    </w:lvl>
    <w:lvl w:ilvl="1">
      <w:start w:val="2"/>
      <w:numFmt w:val="decimal"/>
      <w:lvlText w:val="%1.%2"/>
      <w:lvlJc w:val="left"/>
      <w:pPr>
        <w:ind w:left="576" w:hanging="576"/>
      </w:pPr>
      <w:rPr>
        <w:b/>
      </w:rPr>
    </w:lvl>
    <w:lvl w:ilvl="2">
      <w:start w:val="2"/>
      <w:numFmt w:val="decimal"/>
      <w:lvlText w:val="%1.%2.%3"/>
      <w:lvlJc w:val="left"/>
      <w:pPr>
        <w:ind w:left="720" w:hanging="436"/>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0" w15:restartNumberingAfterBreak="0">
    <w:nsid w:val="364A7090"/>
    <w:multiLevelType w:val="multilevel"/>
    <w:tmpl w:val="4FAE58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738240F"/>
    <w:multiLevelType w:val="hybridMultilevel"/>
    <w:tmpl w:val="20605FCE"/>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72" w15:restartNumberingAfterBreak="0">
    <w:nsid w:val="37660D23"/>
    <w:multiLevelType w:val="hybridMultilevel"/>
    <w:tmpl w:val="594407E6"/>
    <w:lvl w:ilvl="0" w:tplc="719CCB10">
      <w:start w:val="1"/>
      <w:numFmt w:val="decimal"/>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3" w15:restartNumberingAfterBreak="0">
    <w:nsid w:val="37C548B7"/>
    <w:multiLevelType w:val="hybridMultilevel"/>
    <w:tmpl w:val="A5788F18"/>
    <w:lvl w:ilvl="0" w:tplc="140A000F">
      <w:start w:val="1"/>
      <w:numFmt w:val="decimal"/>
      <w:lvlText w:val="%1."/>
      <w:lvlJc w:val="left"/>
      <w:pPr>
        <w:ind w:left="2149" w:hanging="360"/>
      </w:pPr>
    </w:lvl>
    <w:lvl w:ilvl="1" w:tplc="140A0019" w:tentative="1">
      <w:start w:val="1"/>
      <w:numFmt w:val="lowerLetter"/>
      <w:lvlText w:val="%2."/>
      <w:lvlJc w:val="left"/>
      <w:pPr>
        <w:ind w:left="2869" w:hanging="360"/>
      </w:pPr>
    </w:lvl>
    <w:lvl w:ilvl="2" w:tplc="140A001B" w:tentative="1">
      <w:start w:val="1"/>
      <w:numFmt w:val="lowerRoman"/>
      <w:lvlText w:val="%3."/>
      <w:lvlJc w:val="right"/>
      <w:pPr>
        <w:ind w:left="3589" w:hanging="180"/>
      </w:pPr>
    </w:lvl>
    <w:lvl w:ilvl="3" w:tplc="140A000F" w:tentative="1">
      <w:start w:val="1"/>
      <w:numFmt w:val="decimal"/>
      <w:lvlText w:val="%4."/>
      <w:lvlJc w:val="left"/>
      <w:pPr>
        <w:ind w:left="4309" w:hanging="360"/>
      </w:pPr>
    </w:lvl>
    <w:lvl w:ilvl="4" w:tplc="140A0019" w:tentative="1">
      <w:start w:val="1"/>
      <w:numFmt w:val="lowerLetter"/>
      <w:lvlText w:val="%5."/>
      <w:lvlJc w:val="left"/>
      <w:pPr>
        <w:ind w:left="5029" w:hanging="360"/>
      </w:pPr>
    </w:lvl>
    <w:lvl w:ilvl="5" w:tplc="140A001B" w:tentative="1">
      <w:start w:val="1"/>
      <w:numFmt w:val="lowerRoman"/>
      <w:lvlText w:val="%6."/>
      <w:lvlJc w:val="right"/>
      <w:pPr>
        <w:ind w:left="5749" w:hanging="180"/>
      </w:pPr>
    </w:lvl>
    <w:lvl w:ilvl="6" w:tplc="140A000F" w:tentative="1">
      <w:start w:val="1"/>
      <w:numFmt w:val="decimal"/>
      <w:lvlText w:val="%7."/>
      <w:lvlJc w:val="left"/>
      <w:pPr>
        <w:ind w:left="6469" w:hanging="360"/>
      </w:pPr>
    </w:lvl>
    <w:lvl w:ilvl="7" w:tplc="140A0019" w:tentative="1">
      <w:start w:val="1"/>
      <w:numFmt w:val="lowerLetter"/>
      <w:lvlText w:val="%8."/>
      <w:lvlJc w:val="left"/>
      <w:pPr>
        <w:ind w:left="7189" w:hanging="360"/>
      </w:pPr>
    </w:lvl>
    <w:lvl w:ilvl="8" w:tplc="140A001B" w:tentative="1">
      <w:start w:val="1"/>
      <w:numFmt w:val="lowerRoman"/>
      <w:lvlText w:val="%9."/>
      <w:lvlJc w:val="right"/>
      <w:pPr>
        <w:ind w:left="7909" w:hanging="180"/>
      </w:pPr>
    </w:lvl>
  </w:abstractNum>
  <w:abstractNum w:abstractNumId="74" w15:restartNumberingAfterBreak="0">
    <w:nsid w:val="39AE7A34"/>
    <w:multiLevelType w:val="multilevel"/>
    <w:tmpl w:val="ED8A5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A325D90"/>
    <w:multiLevelType w:val="multilevel"/>
    <w:tmpl w:val="4544B994"/>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6" w15:restartNumberingAfterBreak="0">
    <w:nsid w:val="3A9F130A"/>
    <w:multiLevelType w:val="multilevel"/>
    <w:tmpl w:val="4FAE58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B5D21A7"/>
    <w:multiLevelType w:val="multilevel"/>
    <w:tmpl w:val="8EC002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 w15:restartNumberingAfterBreak="0">
    <w:nsid w:val="3C76316D"/>
    <w:multiLevelType w:val="hybridMultilevel"/>
    <w:tmpl w:val="BDDAD96E"/>
    <w:lvl w:ilvl="0" w:tplc="140A000F">
      <w:start w:val="1"/>
      <w:numFmt w:val="decimal"/>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79" w15:restartNumberingAfterBreak="0">
    <w:nsid w:val="3D3A2CAC"/>
    <w:multiLevelType w:val="multilevel"/>
    <w:tmpl w:val="0C58C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DB21AF9"/>
    <w:multiLevelType w:val="multilevel"/>
    <w:tmpl w:val="13C49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E29772A"/>
    <w:multiLevelType w:val="multilevel"/>
    <w:tmpl w:val="9A10E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EC437AB"/>
    <w:multiLevelType w:val="multilevel"/>
    <w:tmpl w:val="DDDAB1B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0693D87"/>
    <w:multiLevelType w:val="multilevel"/>
    <w:tmpl w:val="3DD69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159399B"/>
    <w:multiLevelType w:val="multilevel"/>
    <w:tmpl w:val="35D81E3E"/>
    <w:lvl w:ilvl="0">
      <w:start w:val="3"/>
      <w:numFmt w:val="decimal"/>
      <w:lvlText w:val="%1"/>
      <w:lvlJc w:val="left"/>
      <w:pPr>
        <w:ind w:left="432" w:hanging="432"/>
      </w:pPr>
    </w:lvl>
    <w:lvl w:ilvl="1">
      <w:start w:val="2"/>
      <w:numFmt w:val="decimal"/>
      <w:lvlText w:val="%1.%2"/>
      <w:lvlJc w:val="left"/>
      <w:pPr>
        <w:ind w:left="576" w:hanging="576"/>
      </w:pPr>
      <w:rPr>
        <w:b/>
      </w:rPr>
    </w:lvl>
    <w:lvl w:ilvl="2">
      <w:start w:val="2"/>
      <w:numFmt w:val="decimal"/>
      <w:lvlText w:val="%1.%2.%3"/>
      <w:lvlJc w:val="left"/>
      <w:pPr>
        <w:ind w:left="720" w:hanging="436"/>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5" w15:restartNumberingAfterBreak="0">
    <w:nsid w:val="423122A8"/>
    <w:multiLevelType w:val="multilevel"/>
    <w:tmpl w:val="7C66E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39857F0"/>
    <w:multiLevelType w:val="multilevel"/>
    <w:tmpl w:val="97284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4135474"/>
    <w:multiLevelType w:val="hybridMultilevel"/>
    <w:tmpl w:val="6A06FD9C"/>
    <w:lvl w:ilvl="0" w:tplc="140A000F">
      <w:start w:val="1"/>
      <w:numFmt w:val="decimal"/>
      <w:lvlText w:val="%1."/>
      <w:lvlJc w:val="left"/>
      <w:pPr>
        <w:ind w:left="1429" w:hanging="360"/>
      </w:pPr>
    </w:lvl>
    <w:lvl w:ilvl="1" w:tplc="140A0019" w:tentative="1">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abstractNum w:abstractNumId="88" w15:restartNumberingAfterBreak="0">
    <w:nsid w:val="45423684"/>
    <w:multiLevelType w:val="multilevel"/>
    <w:tmpl w:val="4F4EF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584159B"/>
    <w:multiLevelType w:val="multilevel"/>
    <w:tmpl w:val="DDDAB1B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6137D82"/>
    <w:multiLevelType w:val="multilevel"/>
    <w:tmpl w:val="551EC586"/>
    <w:lvl w:ilvl="0">
      <w:start w:val="4"/>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1" w15:restartNumberingAfterBreak="0">
    <w:nsid w:val="47971FE3"/>
    <w:multiLevelType w:val="hybridMultilevel"/>
    <w:tmpl w:val="22C659E0"/>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92" w15:restartNumberingAfterBreak="0">
    <w:nsid w:val="48B62C1A"/>
    <w:multiLevelType w:val="multilevel"/>
    <w:tmpl w:val="55DC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A9170F9"/>
    <w:multiLevelType w:val="multilevel"/>
    <w:tmpl w:val="C086658C"/>
    <w:lvl w:ilvl="0">
      <w:start w:val="2"/>
      <w:numFmt w:val="decimal"/>
      <w:lvlText w:val="%1"/>
      <w:lvlJc w:val="left"/>
      <w:pPr>
        <w:ind w:left="480" w:hanging="480"/>
      </w:pPr>
      <w:rPr>
        <w:rFonts w:hint="default"/>
      </w:rPr>
    </w:lvl>
    <w:lvl w:ilvl="1">
      <w:start w:val="2"/>
      <w:numFmt w:val="decimal"/>
      <w:lvlText w:val="%1.%2"/>
      <w:lvlJc w:val="left"/>
      <w:pPr>
        <w:ind w:left="870" w:hanging="48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94" w15:restartNumberingAfterBreak="0">
    <w:nsid w:val="4AAB3F68"/>
    <w:multiLevelType w:val="multilevel"/>
    <w:tmpl w:val="4C2CA5BA"/>
    <w:lvl w:ilvl="0">
      <w:start w:val="1"/>
      <w:numFmt w:val="decimal"/>
      <w:lvlText w:val="%1."/>
      <w:lvlJc w:val="left"/>
      <w:pPr>
        <w:ind w:left="720" w:hanging="360"/>
      </w:pPr>
      <w:rPr>
        <w:u w:val="none"/>
      </w:rPr>
    </w:lvl>
    <w:lvl w:ilvl="1">
      <w:start w:val="1"/>
      <w:numFmt w:val="decimal"/>
      <w:lvlText w:val="%2."/>
      <w:lvlJc w:val="left"/>
      <w:pPr>
        <w:ind w:left="1440" w:hanging="360"/>
      </w:p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5" w15:restartNumberingAfterBreak="0">
    <w:nsid w:val="4AEA4A15"/>
    <w:multiLevelType w:val="hybridMultilevel"/>
    <w:tmpl w:val="9168CFCE"/>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6" w15:restartNumberingAfterBreak="0">
    <w:nsid w:val="4BCB618E"/>
    <w:multiLevelType w:val="hybridMultilevel"/>
    <w:tmpl w:val="E3607ADA"/>
    <w:lvl w:ilvl="0" w:tplc="140A0001">
      <w:start w:val="1"/>
      <w:numFmt w:val="bullet"/>
      <w:lvlText w:val=""/>
      <w:lvlJc w:val="left"/>
      <w:pPr>
        <w:ind w:left="1440" w:hanging="360"/>
      </w:pPr>
      <w:rPr>
        <w:rFonts w:ascii="Symbol" w:hAnsi="Symbol" w:hint="default"/>
      </w:rPr>
    </w:lvl>
    <w:lvl w:ilvl="1" w:tplc="140A0003">
      <w:start w:val="1"/>
      <w:numFmt w:val="bullet"/>
      <w:lvlText w:val="o"/>
      <w:lvlJc w:val="left"/>
      <w:pPr>
        <w:ind w:left="2160" w:hanging="360"/>
      </w:pPr>
      <w:rPr>
        <w:rFonts w:ascii="Courier New" w:hAnsi="Courier New" w:cs="Courier New" w:hint="default"/>
      </w:rPr>
    </w:lvl>
    <w:lvl w:ilvl="2" w:tplc="140A0005">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97" w15:restartNumberingAfterBreak="0">
    <w:nsid w:val="4C103F98"/>
    <w:multiLevelType w:val="multilevel"/>
    <w:tmpl w:val="D744D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4D0F74F8"/>
    <w:multiLevelType w:val="multilevel"/>
    <w:tmpl w:val="11CABD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9" w15:restartNumberingAfterBreak="0">
    <w:nsid w:val="4D1B500D"/>
    <w:multiLevelType w:val="multilevel"/>
    <w:tmpl w:val="A4EEE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D5340AE"/>
    <w:multiLevelType w:val="hybridMultilevel"/>
    <w:tmpl w:val="86726884"/>
    <w:lvl w:ilvl="0" w:tplc="140A000F">
      <w:start w:val="4"/>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1" w15:restartNumberingAfterBreak="0">
    <w:nsid w:val="4E7F2337"/>
    <w:multiLevelType w:val="multilevel"/>
    <w:tmpl w:val="59569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F7B7826"/>
    <w:multiLevelType w:val="hybridMultilevel"/>
    <w:tmpl w:val="CA76AD6C"/>
    <w:lvl w:ilvl="0" w:tplc="140A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4FA35F89"/>
    <w:multiLevelType w:val="multilevel"/>
    <w:tmpl w:val="35D81E3E"/>
    <w:lvl w:ilvl="0">
      <w:start w:val="3"/>
      <w:numFmt w:val="decimal"/>
      <w:lvlText w:val="%1"/>
      <w:lvlJc w:val="left"/>
      <w:pPr>
        <w:ind w:left="432" w:hanging="432"/>
      </w:pPr>
    </w:lvl>
    <w:lvl w:ilvl="1">
      <w:start w:val="2"/>
      <w:numFmt w:val="decimal"/>
      <w:lvlText w:val="%1.%2"/>
      <w:lvlJc w:val="left"/>
      <w:pPr>
        <w:ind w:left="576" w:hanging="576"/>
      </w:pPr>
      <w:rPr>
        <w:b/>
      </w:rPr>
    </w:lvl>
    <w:lvl w:ilvl="2">
      <w:start w:val="2"/>
      <w:numFmt w:val="decimal"/>
      <w:lvlText w:val="%1.%2.%3"/>
      <w:lvlJc w:val="left"/>
      <w:pPr>
        <w:ind w:left="720" w:hanging="436"/>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4" w15:restartNumberingAfterBreak="0">
    <w:nsid w:val="50337CF0"/>
    <w:multiLevelType w:val="multilevel"/>
    <w:tmpl w:val="C2525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3094E6C"/>
    <w:multiLevelType w:val="multilevel"/>
    <w:tmpl w:val="9B103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44B0F14"/>
    <w:multiLevelType w:val="multilevel"/>
    <w:tmpl w:val="FA8EBAF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4686521"/>
    <w:multiLevelType w:val="multilevel"/>
    <w:tmpl w:val="351839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8" w15:restartNumberingAfterBreak="0">
    <w:nsid w:val="54726913"/>
    <w:multiLevelType w:val="hybridMultilevel"/>
    <w:tmpl w:val="A058F094"/>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09" w15:restartNumberingAfterBreak="0">
    <w:nsid w:val="55294224"/>
    <w:multiLevelType w:val="multilevel"/>
    <w:tmpl w:val="9DE4BB96"/>
    <w:lvl w:ilvl="0">
      <w:start w:val="1"/>
      <w:numFmt w:val="decimal"/>
      <w:lvlText w:val="%1."/>
      <w:lvlJc w:val="left"/>
      <w:pPr>
        <w:ind w:left="720" w:hanging="360"/>
      </w:pPr>
      <w:rPr>
        <w:u w:val="none"/>
      </w:rPr>
    </w:lvl>
    <w:lvl w:ilvl="1">
      <w:start w:val="1"/>
      <w:numFmt w:val="decimal"/>
      <w:lvlText w:val="%2."/>
      <w:lvlJc w:val="left"/>
      <w:pPr>
        <w:ind w:left="1440" w:hanging="360"/>
      </w:p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0" w15:restartNumberingAfterBreak="0">
    <w:nsid w:val="55E21526"/>
    <w:multiLevelType w:val="hybridMultilevel"/>
    <w:tmpl w:val="F41A313A"/>
    <w:lvl w:ilvl="0" w:tplc="140A000F">
      <w:start w:val="1"/>
      <w:numFmt w:val="decimal"/>
      <w:lvlText w:val="%1."/>
      <w:lvlJc w:val="left"/>
      <w:pPr>
        <w:ind w:left="2149" w:hanging="360"/>
      </w:pPr>
    </w:lvl>
    <w:lvl w:ilvl="1" w:tplc="140A0019" w:tentative="1">
      <w:start w:val="1"/>
      <w:numFmt w:val="lowerLetter"/>
      <w:lvlText w:val="%2."/>
      <w:lvlJc w:val="left"/>
      <w:pPr>
        <w:ind w:left="2869" w:hanging="360"/>
      </w:pPr>
    </w:lvl>
    <w:lvl w:ilvl="2" w:tplc="140A001B" w:tentative="1">
      <w:start w:val="1"/>
      <w:numFmt w:val="lowerRoman"/>
      <w:lvlText w:val="%3."/>
      <w:lvlJc w:val="right"/>
      <w:pPr>
        <w:ind w:left="3589" w:hanging="180"/>
      </w:pPr>
    </w:lvl>
    <w:lvl w:ilvl="3" w:tplc="140A000F" w:tentative="1">
      <w:start w:val="1"/>
      <w:numFmt w:val="decimal"/>
      <w:lvlText w:val="%4."/>
      <w:lvlJc w:val="left"/>
      <w:pPr>
        <w:ind w:left="4309" w:hanging="360"/>
      </w:pPr>
    </w:lvl>
    <w:lvl w:ilvl="4" w:tplc="140A0019" w:tentative="1">
      <w:start w:val="1"/>
      <w:numFmt w:val="lowerLetter"/>
      <w:lvlText w:val="%5."/>
      <w:lvlJc w:val="left"/>
      <w:pPr>
        <w:ind w:left="5029" w:hanging="360"/>
      </w:pPr>
    </w:lvl>
    <w:lvl w:ilvl="5" w:tplc="140A001B" w:tentative="1">
      <w:start w:val="1"/>
      <w:numFmt w:val="lowerRoman"/>
      <w:lvlText w:val="%6."/>
      <w:lvlJc w:val="right"/>
      <w:pPr>
        <w:ind w:left="5749" w:hanging="180"/>
      </w:pPr>
    </w:lvl>
    <w:lvl w:ilvl="6" w:tplc="140A000F" w:tentative="1">
      <w:start w:val="1"/>
      <w:numFmt w:val="decimal"/>
      <w:lvlText w:val="%7."/>
      <w:lvlJc w:val="left"/>
      <w:pPr>
        <w:ind w:left="6469" w:hanging="360"/>
      </w:pPr>
    </w:lvl>
    <w:lvl w:ilvl="7" w:tplc="140A0019" w:tentative="1">
      <w:start w:val="1"/>
      <w:numFmt w:val="lowerLetter"/>
      <w:lvlText w:val="%8."/>
      <w:lvlJc w:val="left"/>
      <w:pPr>
        <w:ind w:left="7189" w:hanging="360"/>
      </w:pPr>
    </w:lvl>
    <w:lvl w:ilvl="8" w:tplc="140A001B" w:tentative="1">
      <w:start w:val="1"/>
      <w:numFmt w:val="lowerRoman"/>
      <w:lvlText w:val="%9."/>
      <w:lvlJc w:val="right"/>
      <w:pPr>
        <w:ind w:left="7909" w:hanging="180"/>
      </w:pPr>
    </w:lvl>
  </w:abstractNum>
  <w:abstractNum w:abstractNumId="111" w15:restartNumberingAfterBreak="0">
    <w:nsid w:val="56A40DEB"/>
    <w:multiLevelType w:val="hybridMultilevel"/>
    <w:tmpl w:val="264201B4"/>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112" w15:restartNumberingAfterBreak="0">
    <w:nsid w:val="56A84234"/>
    <w:multiLevelType w:val="hybridMultilevel"/>
    <w:tmpl w:val="1BFE31E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13" w15:restartNumberingAfterBreak="0">
    <w:nsid w:val="583B28F1"/>
    <w:multiLevelType w:val="hybridMultilevel"/>
    <w:tmpl w:val="C6DA110A"/>
    <w:lvl w:ilvl="0" w:tplc="140A000F">
      <w:start w:val="1"/>
      <w:numFmt w:val="decimal"/>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114" w15:restartNumberingAfterBreak="0">
    <w:nsid w:val="59F8571B"/>
    <w:multiLevelType w:val="hybridMultilevel"/>
    <w:tmpl w:val="E4E0E200"/>
    <w:lvl w:ilvl="0" w:tplc="140A0001">
      <w:start w:val="1"/>
      <w:numFmt w:val="bullet"/>
      <w:lvlText w:val=""/>
      <w:lvlJc w:val="left"/>
      <w:pPr>
        <w:ind w:left="1429" w:hanging="360"/>
      </w:pPr>
      <w:rPr>
        <w:rFonts w:ascii="Symbol" w:hAnsi="Symbol" w:hint="default"/>
      </w:rPr>
    </w:lvl>
    <w:lvl w:ilvl="1" w:tplc="140A0003">
      <w:start w:val="1"/>
      <w:numFmt w:val="bullet"/>
      <w:lvlText w:val="o"/>
      <w:lvlJc w:val="left"/>
      <w:pPr>
        <w:ind w:left="2149" w:hanging="360"/>
      </w:pPr>
      <w:rPr>
        <w:rFonts w:ascii="Courier New" w:hAnsi="Courier New" w:cs="Courier New" w:hint="default"/>
      </w:rPr>
    </w:lvl>
    <w:lvl w:ilvl="2" w:tplc="140A0005">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115" w15:restartNumberingAfterBreak="0">
    <w:nsid w:val="5D1E158E"/>
    <w:multiLevelType w:val="multilevel"/>
    <w:tmpl w:val="176CD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5E0B1E4C"/>
    <w:multiLevelType w:val="hybridMultilevel"/>
    <w:tmpl w:val="508A47C6"/>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7" w15:restartNumberingAfterBreak="0">
    <w:nsid w:val="5FA042D7"/>
    <w:multiLevelType w:val="multilevel"/>
    <w:tmpl w:val="CD62D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0CD598D"/>
    <w:multiLevelType w:val="multilevel"/>
    <w:tmpl w:val="9F8A0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1554A3A"/>
    <w:multiLevelType w:val="multilevel"/>
    <w:tmpl w:val="A4166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3447EBC"/>
    <w:multiLevelType w:val="multilevel"/>
    <w:tmpl w:val="B1C8F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35B7685"/>
    <w:multiLevelType w:val="multilevel"/>
    <w:tmpl w:val="4B4CF6F2"/>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720" w:hanging="436"/>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2" w15:restartNumberingAfterBreak="0">
    <w:nsid w:val="63A45B5E"/>
    <w:multiLevelType w:val="hybridMultilevel"/>
    <w:tmpl w:val="34F05608"/>
    <w:lvl w:ilvl="0" w:tplc="140A000F">
      <w:start w:val="1"/>
      <w:numFmt w:val="decimal"/>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23" w15:restartNumberingAfterBreak="0">
    <w:nsid w:val="63ED53DC"/>
    <w:multiLevelType w:val="hybridMultilevel"/>
    <w:tmpl w:val="E05E0476"/>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124" w15:restartNumberingAfterBreak="0">
    <w:nsid w:val="65BC1FA2"/>
    <w:multiLevelType w:val="multilevel"/>
    <w:tmpl w:val="5FE0733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25" w15:restartNumberingAfterBreak="0">
    <w:nsid w:val="65F70C9C"/>
    <w:multiLevelType w:val="multilevel"/>
    <w:tmpl w:val="4FAE58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666E4AD5"/>
    <w:multiLevelType w:val="multilevel"/>
    <w:tmpl w:val="1D42BAAA"/>
    <w:lvl w:ilvl="0">
      <w:start w:val="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27" w15:restartNumberingAfterBreak="0">
    <w:nsid w:val="66B27D11"/>
    <w:multiLevelType w:val="multilevel"/>
    <w:tmpl w:val="8984155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7E76011"/>
    <w:multiLevelType w:val="multilevel"/>
    <w:tmpl w:val="7902E372"/>
    <w:lvl w:ilvl="0">
      <w:start w:val="1"/>
      <w:numFmt w:val="decimal"/>
      <w:pStyle w:val="Ttulo1"/>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pStyle w:val="Ttulo4"/>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pStyle w:val="Ttulo5"/>
      <w:lvlText w:val="%5."/>
      <w:lvlJc w:val="left"/>
      <w:pPr>
        <w:ind w:left="3600" w:hanging="360"/>
      </w:pPr>
      <w:rPr>
        <w:u w:val="none"/>
      </w:rPr>
    </w:lvl>
    <w:lvl w:ilvl="5">
      <w:start w:val="1"/>
      <w:numFmt w:val="lowerRoman"/>
      <w:pStyle w:val="Ttulo6"/>
      <w:lvlText w:val="%6."/>
      <w:lvlJc w:val="right"/>
      <w:pPr>
        <w:ind w:left="4320" w:hanging="360"/>
      </w:pPr>
      <w:rPr>
        <w:u w:val="none"/>
      </w:rPr>
    </w:lvl>
    <w:lvl w:ilvl="6">
      <w:start w:val="1"/>
      <w:numFmt w:val="decimal"/>
      <w:pStyle w:val="Ttulo7"/>
      <w:lvlText w:val="%7."/>
      <w:lvlJc w:val="left"/>
      <w:pPr>
        <w:ind w:left="5040" w:hanging="360"/>
      </w:pPr>
      <w:rPr>
        <w:u w:val="none"/>
      </w:rPr>
    </w:lvl>
    <w:lvl w:ilvl="7">
      <w:start w:val="1"/>
      <w:numFmt w:val="lowerLetter"/>
      <w:pStyle w:val="Ttulo8"/>
      <w:lvlText w:val="%8."/>
      <w:lvlJc w:val="left"/>
      <w:pPr>
        <w:ind w:left="5760" w:hanging="360"/>
      </w:pPr>
      <w:rPr>
        <w:u w:val="none"/>
      </w:rPr>
    </w:lvl>
    <w:lvl w:ilvl="8">
      <w:start w:val="1"/>
      <w:numFmt w:val="lowerRoman"/>
      <w:pStyle w:val="Ttulo9"/>
      <w:lvlText w:val="%9."/>
      <w:lvlJc w:val="right"/>
      <w:pPr>
        <w:ind w:left="6480" w:hanging="360"/>
      </w:pPr>
      <w:rPr>
        <w:u w:val="none"/>
      </w:rPr>
    </w:lvl>
  </w:abstractNum>
  <w:abstractNum w:abstractNumId="129" w15:restartNumberingAfterBreak="0">
    <w:nsid w:val="68056762"/>
    <w:multiLevelType w:val="multilevel"/>
    <w:tmpl w:val="C64E2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68D800AE"/>
    <w:multiLevelType w:val="hybridMultilevel"/>
    <w:tmpl w:val="923A2D8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1" w15:restartNumberingAfterBreak="0">
    <w:nsid w:val="68D866A8"/>
    <w:multiLevelType w:val="multilevel"/>
    <w:tmpl w:val="12C463C6"/>
    <w:lvl w:ilvl="0">
      <w:start w:val="1"/>
      <w:numFmt w:val="decimal"/>
      <w:lvlText w:val="%1."/>
      <w:lvlJc w:val="left"/>
      <w:pPr>
        <w:ind w:left="720" w:hanging="360"/>
      </w:pPr>
      <w:rPr>
        <w:rFonts w:hint="default"/>
        <w:b/>
        <w:bCs/>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2" w15:restartNumberingAfterBreak="0">
    <w:nsid w:val="69536023"/>
    <w:multiLevelType w:val="hybridMultilevel"/>
    <w:tmpl w:val="B0A402E4"/>
    <w:lvl w:ilvl="0" w:tplc="140A000F">
      <w:start w:val="1"/>
      <w:numFmt w:val="decimal"/>
      <w:lvlText w:val="%1."/>
      <w:lvlJc w:val="left"/>
      <w:pPr>
        <w:ind w:left="1429" w:hanging="360"/>
      </w:pPr>
    </w:lvl>
    <w:lvl w:ilvl="1" w:tplc="140A0019" w:tentative="1">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abstractNum w:abstractNumId="133" w15:restartNumberingAfterBreak="0">
    <w:nsid w:val="69C16E61"/>
    <w:multiLevelType w:val="multilevel"/>
    <w:tmpl w:val="B838B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6ACD1334"/>
    <w:multiLevelType w:val="hybridMultilevel"/>
    <w:tmpl w:val="AA34252E"/>
    <w:lvl w:ilvl="0" w:tplc="140A000F">
      <w:start w:val="1"/>
      <w:numFmt w:val="decimal"/>
      <w:lvlText w:val="%1."/>
      <w:lvlJc w:val="left"/>
      <w:pPr>
        <w:ind w:left="1429" w:hanging="360"/>
      </w:pPr>
    </w:lvl>
    <w:lvl w:ilvl="1" w:tplc="140A0019" w:tentative="1">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abstractNum w:abstractNumId="135" w15:restartNumberingAfterBreak="0">
    <w:nsid w:val="6B9923AE"/>
    <w:multiLevelType w:val="multilevel"/>
    <w:tmpl w:val="7F66062C"/>
    <w:lvl w:ilvl="0">
      <w:start w:val="1"/>
      <w:numFmt w:val="decimal"/>
      <w:lvlText w:val="%1."/>
      <w:lvlJc w:val="left"/>
      <w:pPr>
        <w:ind w:left="720" w:hanging="360"/>
      </w:pPr>
      <w:rPr>
        <w:u w:val="none"/>
      </w:rPr>
    </w:lvl>
    <w:lvl w:ilvl="1">
      <w:start w:val="1"/>
      <w:numFmt w:val="decimal"/>
      <w:lvlText w:val="%2."/>
      <w:lvlJc w:val="left"/>
      <w:pPr>
        <w:ind w:left="1440" w:hanging="360"/>
      </w:p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6" w15:restartNumberingAfterBreak="0">
    <w:nsid w:val="6C4616E0"/>
    <w:multiLevelType w:val="multilevel"/>
    <w:tmpl w:val="BC025216"/>
    <w:lvl w:ilvl="0">
      <w:start w:val="1"/>
      <w:numFmt w:val="decimal"/>
      <w:lvlText w:val="%1."/>
      <w:lvlJc w:val="left"/>
      <w:pPr>
        <w:ind w:left="720" w:hanging="360"/>
      </w:pPr>
      <w:rPr>
        <w:rFonts w:hint="default"/>
        <w:b/>
        <w:bCs/>
      </w:rPr>
    </w:lvl>
    <w:lvl w:ilvl="1">
      <w:start w:val="2"/>
      <w:numFmt w:val="decimal"/>
      <w:isLgl/>
      <w:lvlText w:val="%1.%2"/>
      <w:lvlJc w:val="left"/>
      <w:pPr>
        <w:ind w:left="1050" w:hanging="480"/>
      </w:pPr>
      <w:rPr>
        <w:rFonts w:hint="default"/>
        <w:b w:val="0"/>
      </w:rPr>
    </w:lvl>
    <w:lvl w:ilvl="2">
      <w:start w:val="1"/>
      <w:numFmt w:val="decimal"/>
      <w:isLgl/>
      <w:lvlText w:val="%1.%2.%3"/>
      <w:lvlJc w:val="left"/>
      <w:pPr>
        <w:ind w:left="1500" w:hanging="720"/>
      </w:pPr>
      <w:rPr>
        <w:rFonts w:hint="default"/>
        <w:b w:val="0"/>
      </w:rPr>
    </w:lvl>
    <w:lvl w:ilvl="3">
      <w:start w:val="1"/>
      <w:numFmt w:val="decimal"/>
      <w:isLgl/>
      <w:lvlText w:val="%1.%2.%3.%4"/>
      <w:lvlJc w:val="left"/>
      <w:pPr>
        <w:ind w:left="1710" w:hanging="720"/>
      </w:pPr>
      <w:rPr>
        <w:rFonts w:hint="default"/>
        <w:b w:val="0"/>
      </w:rPr>
    </w:lvl>
    <w:lvl w:ilvl="4">
      <w:start w:val="1"/>
      <w:numFmt w:val="decimal"/>
      <w:isLgl/>
      <w:lvlText w:val="%1.%2.%3.%4.%5"/>
      <w:lvlJc w:val="left"/>
      <w:pPr>
        <w:ind w:left="2280" w:hanging="1080"/>
      </w:pPr>
      <w:rPr>
        <w:rFonts w:hint="default"/>
        <w:b w:val="0"/>
      </w:rPr>
    </w:lvl>
    <w:lvl w:ilvl="5">
      <w:start w:val="1"/>
      <w:numFmt w:val="decimal"/>
      <w:isLgl/>
      <w:lvlText w:val="%1.%2.%3.%4.%5.%6"/>
      <w:lvlJc w:val="left"/>
      <w:pPr>
        <w:ind w:left="2490" w:hanging="1080"/>
      </w:pPr>
      <w:rPr>
        <w:rFonts w:hint="default"/>
        <w:b w:val="0"/>
      </w:rPr>
    </w:lvl>
    <w:lvl w:ilvl="6">
      <w:start w:val="1"/>
      <w:numFmt w:val="decimal"/>
      <w:isLgl/>
      <w:lvlText w:val="%1.%2.%3.%4.%5.%6.%7"/>
      <w:lvlJc w:val="left"/>
      <w:pPr>
        <w:ind w:left="3060" w:hanging="1440"/>
      </w:pPr>
      <w:rPr>
        <w:rFonts w:hint="default"/>
        <w:b w:val="0"/>
      </w:rPr>
    </w:lvl>
    <w:lvl w:ilvl="7">
      <w:start w:val="1"/>
      <w:numFmt w:val="decimal"/>
      <w:isLgl/>
      <w:lvlText w:val="%1.%2.%3.%4.%5.%6.%7.%8"/>
      <w:lvlJc w:val="left"/>
      <w:pPr>
        <w:ind w:left="3270" w:hanging="1440"/>
      </w:pPr>
      <w:rPr>
        <w:rFonts w:hint="default"/>
        <w:b w:val="0"/>
      </w:rPr>
    </w:lvl>
    <w:lvl w:ilvl="8">
      <w:start w:val="1"/>
      <w:numFmt w:val="decimal"/>
      <w:isLgl/>
      <w:lvlText w:val="%1.%2.%3.%4.%5.%6.%7.%8.%9"/>
      <w:lvlJc w:val="left"/>
      <w:pPr>
        <w:ind w:left="3840" w:hanging="1800"/>
      </w:pPr>
      <w:rPr>
        <w:rFonts w:hint="default"/>
        <w:b w:val="0"/>
      </w:rPr>
    </w:lvl>
  </w:abstractNum>
  <w:abstractNum w:abstractNumId="137" w15:restartNumberingAfterBreak="0">
    <w:nsid w:val="6C8164B1"/>
    <w:multiLevelType w:val="multilevel"/>
    <w:tmpl w:val="4964E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6DED59F9"/>
    <w:multiLevelType w:val="hybridMultilevel"/>
    <w:tmpl w:val="CEF060A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9" w15:restartNumberingAfterBreak="0">
    <w:nsid w:val="6DF93F51"/>
    <w:multiLevelType w:val="multilevel"/>
    <w:tmpl w:val="AC70B4B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0" w15:restartNumberingAfterBreak="0">
    <w:nsid w:val="6E4B7740"/>
    <w:multiLevelType w:val="multilevel"/>
    <w:tmpl w:val="4B36B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F247866"/>
    <w:multiLevelType w:val="hybridMultilevel"/>
    <w:tmpl w:val="70BAF9E4"/>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42" w15:restartNumberingAfterBreak="0">
    <w:nsid w:val="6FB4182E"/>
    <w:multiLevelType w:val="multilevel"/>
    <w:tmpl w:val="C1208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06B1910"/>
    <w:multiLevelType w:val="multilevel"/>
    <w:tmpl w:val="DDDAB1B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708C7B65"/>
    <w:multiLevelType w:val="multilevel"/>
    <w:tmpl w:val="8EC002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5" w15:restartNumberingAfterBreak="0">
    <w:nsid w:val="71412264"/>
    <w:multiLevelType w:val="multilevel"/>
    <w:tmpl w:val="2BE8F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27138C8"/>
    <w:multiLevelType w:val="multilevel"/>
    <w:tmpl w:val="DDDAB1B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73F13482"/>
    <w:multiLevelType w:val="multilevel"/>
    <w:tmpl w:val="504CF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76BE3099"/>
    <w:multiLevelType w:val="hybridMultilevel"/>
    <w:tmpl w:val="59B85620"/>
    <w:lvl w:ilvl="0" w:tplc="140A000F">
      <w:start w:val="1"/>
      <w:numFmt w:val="decimal"/>
      <w:lvlText w:val="%1."/>
      <w:lvlJc w:val="left"/>
      <w:pPr>
        <w:ind w:left="1429" w:hanging="360"/>
      </w:pPr>
    </w:lvl>
    <w:lvl w:ilvl="1" w:tplc="140A0019" w:tentative="1">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abstractNum w:abstractNumId="149" w15:restartNumberingAfterBreak="0">
    <w:nsid w:val="779974D8"/>
    <w:multiLevelType w:val="multilevel"/>
    <w:tmpl w:val="86B8E5F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0" w15:restartNumberingAfterBreak="0">
    <w:nsid w:val="78272F56"/>
    <w:multiLevelType w:val="multilevel"/>
    <w:tmpl w:val="6D9089B2"/>
    <w:lvl w:ilvl="0">
      <w:start w:val="2"/>
      <w:numFmt w:val="decimal"/>
      <w:lvlText w:val="%1"/>
      <w:lvlJc w:val="left"/>
      <w:pPr>
        <w:ind w:left="480" w:hanging="480"/>
      </w:pPr>
      <w:rPr>
        <w:rFonts w:hint="default"/>
      </w:rPr>
    </w:lvl>
    <w:lvl w:ilvl="1">
      <w:start w:val="1"/>
      <w:numFmt w:val="decimal"/>
      <w:lvlText w:val="%1.%2"/>
      <w:lvlJc w:val="left"/>
      <w:pPr>
        <w:ind w:left="510" w:hanging="480"/>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2040" w:hanging="1800"/>
      </w:pPr>
      <w:rPr>
        <w:rFonts w:hint="default"/>
      </w:rPr>
    </w:lvl>
  </w:abstractNum>
  <w:abstractNum w:abstractNumId="151" w15:restartNumberingAfterBreak="0">
    <w:nsid w:val="78343B26"/>
    <w:multiLevelType w:val="multilevel"/>
    <w:tmpl w:val="F4DE7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7AA25BC9"/>
    <w:multiLevelType w:val="multilevel"/>
    <w:tmpl w:val="7B8C0684"/>
    <w:lvl w:ilvl="0">
      <w:start w:val="4"/>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AA30DA0"/>
    <w:multiLevelType w:val="multilevel"/>
    <w:tmpl w:val="BF8AA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7B385E06"/>
    <w:multiLevelType w:val="hybridMultilevel"/>
    <w:tmpl w:val="3C2CBDCA"/>
    <w:lvl w:ilvl="0" w:tplc="89E491F2">
      <w:start w:val="1"/>
      <w:numFmt w:val="decimal"/>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5" w15:restartNumberingAfterBreak="0">
    <w:nsid w:val="7C367A9C"/>
    <w:multiLevelType w:val="multilevel"/>
    <w:tmpl w:val="F4DE7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7D533D3D"/>
    <w:multiLevelType w:val="multilevel"/>
    <w:tmpl w:val="0274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7D700F22"/>
    <w:multiLevelType w:val="multilevel"/>
    <w:tmpl w:val="F4DE7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D993001"/>
    <w:multiLevelType w:val="multilevel"/>
    <w:tmpl w:val="84C04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7DA90F79"/>
    <w:multiLevelType w:val="hybridMultilevel"/>
    <w:tmpl w:val="76C62B74"/>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60" w15:restartNumberingAfterBreak="0">
    <w:nsid w:val="7DFC0806"/>
    <w:multiLevelType w:val="multilevel"/>
    <w:tmpl w:val="DEE49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7E7B79B2"/>
    <w:multiLevelType w:val="multilevel"/>
    <w:tmpl w:val="9DE4BB96"/>
    <w:lvl w:ilvl="0">
      <w:start w:val="1"/>
      <w:numFmt w:val="decimal"/>
      <w:lvlText w:val="%1."/>
      <w:lvlJc w:val="left"/>
      <w:pPr>
        <w:ind w:left="720" w:hanging="360"/>
      </w:pPr>
      <w:rPr>
        <w:u w:val="none"/>
      </w:rPr>
    </w:lvl>
    <w:lvl w:ilvl="1">
      <w:start w:val="1"/>
      <w:numFmt w:val="decimal"/>
      <w:lvlText w:val="%2."/>
      <w:lvlJc w:val="left"/>
      <w:pPr>
        <w:ind w:left="1440" w:hanging="360"/>
      </w:p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2" w15:restartNumberingAfterBreak="0">
    <w:nsid w:val="7FF2355B"/>
    <w:multiLevelType w:val="hybridMultilevel"/>
    <w:tmpl w:val="2E3C3D68"/>
    <w:lvl w:ilvl="0" w:tplc="140A000F">
      <w:start w:val="1"/>
      <w:numFmt w:val="decimal"/>
      <w:lvlText w:val="%1."/>
      <w:lvlJc w:val="left"/>
      <w:pPr>
        <w:ind w:left="1429" w:hanging="360"/>
      </w:pPr>
    </w:lvl>
    <w:lvl w:ilvl="1" w:tplc="140A0019" w:tentative="1">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num w:numId="1" w16cid:durableId="450245152">
    <w:abstractNumId w:val="128"/>
  </w:num>
  <w:num w:numId="2" w16cid:durableId="1985697349">
    <w:abstractNumId w:val="18"/>
  </w:num>
  <w:num w:numId="3" w16cid:durableId="689992523">
    <w:abstractNumId w:val="121"/>
  </w:num>
  <w:num w:numId="4" w16cid:durableId="1350567578">
    <w:abstractNumId w:val="42"/>
  </w:num>
  <w:num w:numId="5" w16cid:durableId="669064985">
    <w:abstractNumId w:val="31"/>
  </w:num>
  <w:num w:numId="6" w16cid:durableId="430974515">
    <w:abstractNumId w:val="139"/>
  </w:num>
  <w:num w:numId="7" w16cid:durableId="1855148045">
    <w:abstractNumId w:val="64"/>
  </w:num>
  <w:num w:numId="8" w16cid:durableId="1983922773">
    <w:abstractNumId w:val="32"/>
  </w:num>
  <w:num w:numId="9" w16cid:durableId="300306162">
    <w:abstractNumId w:val="114"/>
  </w:num>
  <w:num w:numId="10" w16cid:durableId="643777770">
    <w:abstractNumId w:val="162"/>
  </w:num>
  <w:num w:numId="11" w16cid:durableId="1096514912">
    <w:abstractNumId w:val="36"/>
  </w:num>
  <w:num w:numId="12" w16cid:durableId="1654674478">
    <w:abstractNumId w:val="62"/>
  </w:num>
  <w:num w:numId="13" w16cid:durableId="302084347">
    <w:abstractNumId w:val="54"/>
  </w:num>
  <w:num w:numId="14" w16cid:durableId="642851210">
    <w:abstractNumId w:val="69"/>
  </w:num>
  <w:num w:numId="15" w16cid:durableId="852647228">
    <w:abstractNumId w:val="35"/>
  </w:num>
  <w:num w:numId="16" w16cid:durableId="514854279">
    <w:abstractNumId w:val="41"/>
  </w:num>
  <w:num w:numId="17" w16cid:durableId="1045761204">
    <w:abstractNumId w:val="3"/>
  </w:num>
  <w:num w:numId="18" w16cid:durableId="945844542">
    <w:abstractNumId w:val="39"/>
  </w:num>
  <w:num w:numId="19" w16cid:durableId="1329141003">
    <w:abstractNumId w:val="24"/>
  </w:num>
  <w:num w:numId="20" w16cid:durableId="1136336395">
    <w:abstractNumId w:val="91"/>
  </w:num>
  <w:num w:numId="21" w16cid:durableId="639266668">
    <w:abstractNumId w:val="111"/>
  </w:num>
  <w:num w:numId="22" w16cid:durableId="2015181390">
    <w:abstractNumId w:val="127"/>
  </w:num>
  <w:num w:numId="23" w16cid:durableId="1617906293">
    <w:abstractNumId w:val="116"/>
  </w:num>
  <w:num w:numId="24" w16cid:durableId="144471670">
    <w:abstractNumId w:val="150"/>
  </w:num>
  <w:num w:numId="25" w16cid:durableId="79760023">
    <w:abstractNumId w:val="4"/>
  </w:num>
  <w:num w:numId="26" w16cid:durableId="1001543715">
    <w:abstractNumId w:val="9"/>
  </w:num>
  <w:num w:numId="27" w16cid:durableId="1397703008">
    <w:abstractNumId w:val="87"/>
  </w:num>
  <w:num w:numId="28" w16cid:durableId="1513178878">
    <w:abstractNumId w:val="103"/>
  </w:num>
  <w:num w:numId="29" w16cid:durableId="832572372">
    <w:abstractNumId w:val="90"/>
  </w:num>
  <w:num w:numId="30" w16cid:durableId="945575096">
    <w:abstractNumId w:val="123"/>
  </w:num>
  <w:num w:numId="31" w16cid:durableId="337392183">
    <w:abstractNumId w:val="128"/>
  </w:num>
  <w:num w:numId="32" w16cid:durableId="1510487617">
    <w:abstractNumId w:val="140"/>
  </w:num>
  <w:num w:numId="33" w16cid:durableId="1038168707">
    <w:abstractNumId w:val="101"/>
  </w:num>
  <w:num w:numId="34" w16cid:durableId="410931413">
    <w:abstractNumId w:val="33"/>
  </w:num>
  <w:num w:numId="35" w16cid:durableId="559632572">
    <w:abstractNumId w:val="72"/>
  </w:num>
  <w:num w:numId="36" w16cid:durableId="346563207">
    <w:abstractNumId w:val="131"/>
  </w:num>
  <w:num w:numId="37" w16cid:durableId="949094170">
    <w:abstractNumId w:val="154"/>
  </w:num>
  <w:num w:numId="38" w16cid:durableId="228658904">
    <w:abstractNumId w:val="19"/>
  </w:num>
  <w:num w:numId="39" w16cid:durableId="1942450183">
    <w:abstractNumId w:val="28"/>
  </w:num>
  <w:num w:numId="40" w16cid:durableId="2128085932">
    <w:abstractNumId w:val="122"/>
  </w:num>
  <w:num w:numId="41" w16cid:durableId="11811100">
    <w:abstractNumId w:val="44"/>
  </w:num>
  <w:num w:numId="42" w16cid:durableId="1219324648">
    <w:abstractNumId w:val="22"/>
  </w:num>
  <w:num w:numId="43" w16cid:durableId="338629662">
    <w:abstractNumId w:val="102"/>
  </w:num>
  <w:num w:numId="44" w16cid:durableId="80684587">
    <w:abstractNumId w:val="153"/>
  </w:num>
  <w:num w:numId="45" w16cid:durableId="2135824593">
    <w:abstractNumId w:val="61"/>
  </w:num>
  <w:num w:numId="46" w16cid:durableId="440876777">
    <w:abstractNumId w:val="79"/>
  </w:num>
  <w:num w:numId="47" w16cid:durableId="1864704512">
    <w:abstractNumId w:val="81"/>
  </w:num>
  <w:num w:numId="48" w16cid:durableId="2009211647">
    <w:abstractNumId w:val="8"/>
  </w:num>
  <w:num w:numId="49" w16cid:durableId="823818670">
    <w:abstractNumId w:val="85"/>
  </w:num>
  <w:num w:numId="50" w16cid:durableId="1545481427">
    <w:abstractNumId w:val="129"/>
  </w:num>
  <w:num w:numId="51" w16cid:durableId="336931181">
    <w:abstractNumId w:val="0"/>
  </w:num>
  <w:num w:numId="52" w16cid:durableId="689919711">
    <w:abstractNumId w:val="148"/>
  </w:num>
  <w:num w:numId="53" w16cid:durableId="494540853">
    <w:abstractNumId w:val="26"/>
  </w:num>
  <w:num w:numId="54" w16cid:durableId="461580376">
    <w:abstractNumId w:val="11"/>
  </w:num>
  <w:num w:numId="55" w16cid:durableId="1589188647">
    <w:abstractNumId w:val="133"/>
  </w:num>
  <w:num w:numId="56" w16cid:durableId="1366099129">
    <w:abstractNumId w:val="128"/>
  </w:num>
  <w:num w:numId="57" w16cid:durableId="1645813832">
    <w:abstractNumId w:val="126"/>
  </w:num>
  <w:num w:numId="58" w16cid:durableId="2024817128">
    <w:abstractNumId w:val="128"/>
  </w:num>
  <w:num w:numId="59" w16cid:durableId="1796368721">
    <w:abstractNumId w:val="128"/>
  </w:num>
  <w:num w:numId="60" w16cid:durableId="1761367683">
    <w:abstractNumId w:val="50"/>
  </w:num>
  <w:num w:numId="61" w16cid:durableId="951011352">
    <w:abstractNumId w:val="120"/>
  </w:num>
  <w:num w:numId="62" w16cid:durableId="1840000700">
    <w:abstractNumId w:val="156"/>
  </w:num>
  <w:num w:numId="63" w16cid:durableId="2123105447">
    <w:abstractNumId w:val="56"/>
  </w:num>
  <w:num w:numId="64" w16cid:durableId="316998512">
    <w:abstractNumId w:val="67"/>
  </w:num>
  <w:num w:numId="65" w16cid:durableId="313221392">
    <w:abstractNumId w:val="160"/>
  </w:num>
  <w:num w:numId="66" w16cid:durableId="764307724">
    <w:abstractNumId w:val="117"/>
  </w:num>
  <w:num w:numId="67" w16cid:durableId="2064325381">
    <w:abstractNumId w:val="88"/>
  </w:num>
  <w:num w:numId="68" w16cid:durableId="1704214126">
    <w:abstractNumId w:val="95"/>
  </w:num>
  <w:num w:numId="69" w16cid:durableId="681931482">
    <w:abstractNumId w:val="130"/>
  </w:num>
  <w:num w:numId="70" w16cid:durableId="774714461">
    <w:abstractNumId w:val="43"/>
  </w:num>
  <w:num w:numId="71" w16cid:durableId="1813476280">
    <w:abstractNumId w:val="5"/>
  </w:num>
  <w:num w:numId="72" w16cid:durableId="1918633638">
    <w:abstractNumId w:val="10"/>
  </w:num>
  <w:num w:numId="73" w16cid:durableId="1500119727">
    <w:abstractNumId w:val="145"/>
  </w:num>
  <w:num w:numId="74" w16cid:durableId="1369378682">
    <w:abstractNumId w:val="115"/>
  </w:num>
  <w:num w:numId="75" w16cid:durableId="910429187">
    <w:abstractNumId w:val="83"/>
  </w:num>
  <w:num w:numId="76" w16cid:durableId="1063455957">
    <w:abstractNumId w:val="146"/>
  </w:num>
  <w:num w:numId="77" w16cid:durableId="1763649630">
    <w:abstractNumId w:val="51"/>
  </w:num>
  <w:num w:numId="78" w16cid:durableId="169494051">
    <w:abstractNumId w:val="143"/>
  </w:num>
  <w:num w:numId="79" w16cid:durableId="103616570">
    <w:abstractNumId w:val="89"/>
  </w:num>
  <w:num w:numId="80" w16cid:durableId="1812600353">
    <w:abstractNumId w:val="34"/>
  </w:num>
  <w:num w:numId="81" w16cid:durableId="1759062983">
    <w:abstractNumId w:val="82"/>
  </w:num>
  <w:num w:numId="82" w16cid:durableId="1684935375">
    <w:abstractNumId w:val="99"/>
  </w:num>
  <w:num w:numId="83" w16cid:durableId="1234313043">
    <w:abstractNumId w:val="128"/>
  </w:num>
  <w:num w:numId="84" w16cid:durableId="1869564105">
    <w:abstractNumId w:val="37"/>
  </w:num>
  <w:num w:numId="85" w16cid:durableId="1648511059">
    <w:abstractNumId w:val="128"/>
  </w:num>
  <w:num w:numId="86" w16cid:durableId="490027518">
    <w:abstractNumId w:val="128"/>
  </w:num>
  <w:num w:numId="87" w16cid:durableId="728963956">
    <w:abstractNumId w:val="128"/>
  </w:num>
  <w:num w:numId="88" w16cid:durableId="910164416">
    <w:abstractNumId w:val="13"/>
  </w:num>
  <w:num w:numId="89" w16cid:durableId="522595024">
    <w:abstractNumId w:val="119"/>
  </w:num>
  <w:num w:numId="90" w16cid:durableId="1359695486">
    <w:abstractNumId w:val="141"/>
  </w:num>
  <w:num w:numId="91" w16cid:durableId="655647020">
    <w:abstractNumId w:val="48"/>
  </w:num>
  <w:num w:numId="92" w16cid:durableId="1627077194">
    <w:abstractNumId w:val="128"/>
  </w:num>
  <w:num w:numId="93" w16cid:durableId="1790658874">
    <w:abstractNumId w:val="17"/>
  </w:num>
  <w:num w:numId="94" w16cid:durableId="461192765">
    <w:abstractNumId w:val="132"/>
  </w:num>
  <w:num w:numId="95" w16cid:durableId="1619212952">
    <w:abstractNumId w:val="158"/>
  </w:num>
  <w:num w:numId="96" w16cid:durableId="1404908236">
    <w:abstractNumId w:val="142"/>
  </w:num>
  <w:num w:numId="97" w16cid:durableId="2090227090">
    <w:abstractNumId w:val="97"/>
  </w:num>
  <w:num w:numId="98" w16cid:durableId="785319068">
    <w:abstractNumId w:val="128"/>
  </w:num>
  <w:num w:numId="99" w16cid:durableId="384377063">
    <w:abstractNumId w:val="80"/>
  </w:num>
  <w:num w:numId="100" w16cid:durableId="1056440828">
    <w:abstractNumId w:val="108"/>
  </w:num>
  <w:num w:numId="101" w16cid:durableId="521556206">
    <w:abstractNumId w:val="47"/>
  </w:num>
  <w:num w:numId="102" w16cid:durableId="1604457667">
    <w:abstractNumId w:val="55"/>
  </w:num>
  <w:num w:numId="103" w16cid:durableId="119810043">
    <w:abstractNumId w:val="93"/>
  </w:num>
  <w:num w:numId="104" w16cid:durableId="818229778">
    <w:abstractNumId w:val="68"/>
  </w:num>
  <w:num w:numId="105" w16cid:durableId="626354690">
    <w:abstractNumId w:val="63"/>
  </w:num>
  <w:num w:numId="106" w16cid:durableId="1993101768">
    <w:abstractNumId w:val="25"/>
  </w:num>
  <w:num w:numId="107" w16cid:durableId="2108695554">
    <w:abstractNumId w:val="66"/>
  </w:num>
  <w:num w:numId="108" w16cid:durableId="1199321772">
    <w:abstractNumId w:val="45"/>
  </w:num>
  <w:num w:numId="109" w16cid:durableId="1629697673">
    <w:abstractNumId w:val="7"/>
  </w:num>
  <w:num w:numId="110" w16cid:durableId="975061194">
    <w:abstractNumId w:val="38"/>
  </w:num>
  <w:num w:numId="111" w16cid:durableId="1076901490">
    <w:abstractNumId w:val="136"/>
  </w:num>
  <w:num w:numId="112" w16cid:durableId="314652688">
    <w:abstractNumId w:val="60"/>
  </w:num>
  <w:num w:numId="113" w16cid:durableId="1036664820">
    <w:abstractNumId w:val="106"/>
  </w:num>
  <w:num w:numId="114" w16cid:durableId="967010744">
    <w:abstractNumId w:val="12"/>
  </w:num>
  <w:num w:numId="115" w16cid:durableId="419834352">
    <w:abstractNumId w:val="74"/>
  </w:num>
  <w:num w:numId="116" w16cid:durableId="908657583">
    <w:abstractNumId w:val="159"/>
  </w:num>
  <w:num w:numId="117" w16cid:durableId="1117681170">
    <w:abstractNumId w:val="59"/>
  </w:num>
  <w:num w:numId="118" w16cid:durableId="2111388100">
    <w:abstractNumId w:val="96"/>
  </w:num>
  <w:num w:numId="119" w16cid:durableId="1734545522">
    <w:abstractNumId w:val="58"/>
  </w:num>
  <w:num w:numId="120" w16cid:durableId="764229690">
    <w:abstractNumId w:val="65"/>
  </w:num>
  <w:num w:numId="121" w16cid:durableId="750856258">
    <w:abstractNumId w:val="86"/>
  </w:num>
  <w:num w:numId="122" w16cid:durableId="1175268951">
    <w:abstractNumId w:val="152"/>
  </w:num>
  <w:num w:numId="123" w16cid:durableId="902300279">
    <w:abstractNumId w:val="2"/>
  </w:num>
  <w:num w:numId="124" w16cid:durableId="1037657425">
    <w:abstractNumId w:val="53"/>
  </w:num>
  <w:num w:numId="125" w16cid:durableId="392587783">
    <w:abstractNumId w:val="29"/>
  </w:num>
  <w:num w:numId="126" w16cid:durableId="1574776950">
    <w:abstractNumId w:val="52"/>
  </w:num>
  <w:num w:numId="127" w16cid:durableId="1133644611">
    <w:abstractNumId w:val="104"/>
  </w:num>
  <w:num w:numId="128" w16cid:durableId="1794058938">
    <w:abstractNumId w:val="105"/>
  </w:num>
  <w:num w:numId="129" w16cid:durableId="650059701">
    <w:abstractNumId w:val="137"/>
  </w:num>
  <w:num w:numId="130" w16cid:durableId="1841575267">
    <w:abstractNumId w:val="161"/>
  </w:num>
  <w:num w:numId="131" w16cid:durableId="228998059">
    <w:abstractNumId w:val="109"/>
  </w:num>
  <w:num w:numId="132" w16cid:durableId="1677030350">
    <w:abstractNumId w:val="14"/>
  </w:num>
  <w:num w:numId="133" w16cid:durableId="353119097">
    <w:abstractNumId w:val="128"/>
  </w:num>
  <w:num w:numId="134" w16cid:durableId="1263103916">
    <w:abstractNumId w:val="113"/>
  </w:num>
  <w:num w:numId="135" w16cid:durableId="810637385">
    <w:abstractNumId w:val="71"/>
  </w:num>
  <w:num w:numId="136" w16cid:durableId="2100901419">
    <w:abstractNumId w:val="112"/>
  </w:num>
  <w:num w:numId="137" w16cid:durableId="1859659209">
    <w:abstractNumId w:val="128"/>
  </w:num>
  <w:num w:numId="138" w16cid:durableId="397826684">
    <w:abstractNumId w:val="46"/>
  </w:num>
  <w:num w:numId="139" w16cid:durableId="1803040798">
    <w:abstractNumId w:val="128"/>
  </w:num>
  <w:num w:numId="140" w16cid:durableId="1203591094">
    <w:abstractNumId w:val="21"/>
  </w:num>
  <w:num w:numId="141" w16cid:durableId="1758557852">
    <w:abstractNumId w:val="16"/>
  </w:num>
  <w:num w:numId="142" w16cid:durableId="26494464">
    <w:abstractNumId w:val="135"/>
  </w:num>
  <w:num w:numId="143" w16cid:durableId="1962103329">
    <w:abstractNumId w:val="128"/>
  </w:num>
  <w:num w:numId="144" w16cid:durableId="1630237436">
    <w:abstractNumId w:val="77"/>
  </w:num>
  <w:num w:numId="145" w16cid:durableId="1461220829">
    <w:abstractNumId w:val="155"/>
  </w:num>
  <w:num w:numId="146" w16cid:durableId="1330595774">
    <w:abstractNumId w:val="124"/>
  </w:num>
  <w:num w:numId="147" w16cid:durableId="1364940201">
    <w:abstractNumId w:val="23"/>
  </w:num>
  <w:num w:numId="148" w16cid:durableId="415520346">
    <w:abstractNumId w:val="1"/>
  </w:num>
  <w:num w:numId="149" w16cid:durableId="1054430166">
    <w:abstractNumId w:val="15"/>
  </w:num>
  <w:num w:numId="150" w16cid:durableId="297222083">
    <w:abstractNumId w:val="110"/>
  </w:num>
  <w:num w:numId="151" w16cid:durableId="630599982">
    <w:abstractNumId w:val="138"/>
  </w:num>
  <w:num w:numId="152" w16cid:durableId="1880163759">
    <w:abstractNumId w:val="57"/>
  </w:num>
  <w:num w:numId="153" w16cid:durableId="1540782536">
    <w:abstractNumId w:val="73"/>
  </w:num>
  <w:num w:numId="154" w16cid:durableId="1212419375">
    <w:abstractNumId w:val="134"/>
  </w:num>
  <w:num w:numId="155" w16cid:durableId="725639165">
    <w:abstractNumId w:val="49"/>
  </w:num>
  <w:num w:numId="156" w16cid:durableId="247616176">
    <w:abstractNumId w:val="151"/>
  </w:num>
  <w:num w:numId="157" w16cid:durableId="1906836714">
    <w:abstractNumId w:val="125"/>
  </w:num>
  <w:num w:numId="158" w16cid:durableId="1154488187">
    <w:abstractNumId w:val="157"/>
  </w:num>
  <w:num w:numId="159" w16cid:durableId="191581196">
    <w:abstractNumId w:val="76"/>
  </w:num>
  <w:num w:numId="160" w16cid:durableId="489252668">
    <w:abstractNumId w:val="70"/>
  </w:num>
  <w:num w:numId="161" w16cid:durableId="918827850">
    <w:abstractNumId w:val="144"/>
  </w:num>
  <w:num w:numId="162" w16cid:durableId="784539521">
    <w:abstractNumId w:val="100"/>
  </w:num>
  <w:num w:numId="163" w16cid:durableId="536741466">
    <w:abstractNumId w:val="84"/>
  </w:num>
  <w:num w:numId="164" w16cid:durableId="378433182">
    <w:abstractNumId w:val="20"/>
  </w:num>
  <w:num w:numId="165" w16cid:durableId="1020933426">
    <w:abstractNumId w:val="27"/>
  </w:num>
  <w:num w:numId="166" w16cid:durableId="1199124459">
    <w:abstractNumId w:val="118"/>
  </w:num>
  <w:num w:numId="167" w16cid:durableId="636763737">
    <w:abstractNumId w:val="30"/>
  </w:num>
  <w:num w:numId="168" w16cid:durableId="877043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1255430411">
    <w:abstractNumId w:val="40"/>
  </w:num>
  <w:num w:numId="170" w16cid:durableId="33966180">
    <w:abstractNumId w:val="147"/>
  </w:num>
  <w:num w:numId="171" w16cid:durableId="731005491">
    <w:abstractNumId w:val="92"/>
  </w:num>
  <w:num w:numId="172" w16cid:durableId="2095008949">
    <w:abstractNumId w:val="75"/>
  </w:num>
  <w:num w:numId="173" w16cid:durableId="319384236">
    <w:abstractNumId w:val="98"/>
  </w:num>
  <w:num w:numId="174" w16cid:durableId="2119636566">
    <w:abstractNumId w:val="107"/>
  </w:num>
  <w:num w:numId="175" w16cid:durableId="1533229247">
    <w:abstractNumId w:val="78"/>
  </w:num>
  <w:num w:numId="176" w16cid:durableId="926116718">
    <w:abstractNumId w:val="94"/>
  </w:num>
  <w:num w:numId="177" w16cid:durableId="1220096285">
    <w:abstractNumId w:val="128"/>
  </w:num>
  <w:num w:numId="178" w16cid:durableId="450517601">
    <w:abstractNumId w:val="6"/>
  </w:num>
  <w:num w:numId="179" w16cid:durableId="2013407924">
    <w:abstractNumId w:val="149"/>
  </w:num>
  <w:numIdMacAtCleanup w:val="1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55F"/>
    <w:rsid w:val="00000161"/>
    <w:rsid w:val="00001FC0"/>
    <w:rsid w:val="0000416C"/>
    <w:rsid w:val="00005DB3"/>
    <w:rsid w:val="00005E3B"/>
    <w:rsid w:val="000064A0"/>
    <w:rsid w:val="000067A4"/>
    <w:rsid w:val="00006E4F"/>
    <w:rsid w:val="00013F52"/>
    <w:rsid w:val="00014D7D"/>
    <w:rsid w:val="000178D1"/>
    <w:rsid w:val="0002034F"/>
    <w:rsid w:val="00020FA6"/>
    <w:rsid w:val="00021ADB"/>
    <w:rsid w:val="00022617"/>
    <w:rsid w:val="00024370"/>
    <w:rsid w:val="000243A6"/>
    <w:rsid w:val="00025E44"/>
    <w:rsid w:val="00026515"/>
    <w:rsid w:val="00034BD3"/>
    <w:rsid w:val="0003502C"/>
    <w:rsid w:val="00035C10"/>
    <w:rsid w:val="0003613B"/>
    <w:rsid w:val="00044455"/>
    <w:rsid w:val="00045717"/>
    <w:rsid w:val="000523CA"/>
    <w:rsid w:val="00052882"/>
    <w:rsid w:val="000615A5"/>
    <w:rsid w:val="000640BF"/>
    <w:rsid w:val="0006721F"/>
    <w:rsid w:val="000760AB"/>
    <w:rsid w:val="000766C9"/>
    <w:rsid w:val="00077EB3"/>
    <w:rsid w:val="0008053B"/>
    <w:rsid w:val="000905C7"/>
    <w:rsid w:val="00095F11"/>
    <w:rsid w:val="00095F90"/>
    <w:rsid w:val="000A06CE"/>
    <w:rsid w:val="000A233C"/>
    <w:rsid w:val="000A7B1B"/>
    <w:rsid w:val="000B212F"/>
    <w:rsid w:val="000B36A7"/>
    <w:rsid w:val="000B3CC2"/>
    <w:rsid w:val="000C0F67"/>
    <w:rsid w:val="000C1861"/>
    <w:rsid w:val="000C2D83"/>
    <w:rsid w:val="000C3758"/>
    <w:rsid w:val="000C3DC6"/>
    <w:rsid w:val="000C73A9"/>
    <w:rsid w:val="000D0F93"/>
    <w:rsid w:val="000D20D3"/>
    <w:rsid w:val="000E50AE"/>
    <w:rsid w:val="000E6665"/>
    <w:rsid w:val="000E6796"/>
    <w:rsid w:val="000F06AE"/>
    <w:rsid w:val="000F1B7E"/>
    <w:rsid w:val="000F342C"/>
    <w:rsid w:val="000F4366"/>
    <w:rsid w:val="000F5839"/>
    <w:rsid w:val="000F7B71"/>
    <w:rsid w:val="00100617"/>
    <w:rsid w:val="00111420"/>
    <w:rsid w:val="00112D85"/>
    <w:rsid w:val="00116B0F"/>
    <w:rsid w:val="001178CD"/>
    <w:rsid w:val="00125D79"/>
    <w:rsid w:val="00125FD4"/>
    <w:rsid w:val="00130513"/>
    <w:rsid w:val="0013735D"/>
    <w:rsid w:val="0014204E"/>
    <w:rsid w:val="0014567C"/>
    <w:rsid w:val="0014697E"/>
    <w:rsid w:val="00147C80"/>
    <w:rsid w:val="00154032"/>
    <w:rsid w:val="001770A5"/>
    <w:rsid w:val="001808CE"/>
    <w:rsid w:val="00181782"/>
    <w:rsid w:val="001842DA"/>
    <w:rsid w:val="00192594"/>
    <w:rsid w:val="00192910"/>
    <w:rsid w:val="0019485D"/>
    <w:rsid w:val="0019703E"/>
    <w:rsid w:val="00197882"/>
    <w:rsid w:val="001A154A"/>
    <w:rsid w:val="001A7C80"/>
    <w:rsid w:val="001B062A"/>
    <w:rsid w:val="001B1340"/>
    <w:rsid w:val="001B16B8"/>
    <w:rsid w:val="001B1D74"/>
    <w:rsid w:val="001B21E0"/>
    <w:rsid w:val="001B7531"/>
    <w:rsid w:val="001B7BDF"/>
    <w:rsid w:val="001C00CA"/>
    <w:rsid w:val="001C3130"/>
    <w:rsid w:val="001C4B83"/>
    <w:rsid w:val="001C5B7E"/>
    <w:rsid w:val="001C6579"/>
    <w:rsid w:val="001C6FB5"/>
    <w:rsid w:val="001D124E"/>
    <w:rsid w:val="001D1E3E"/>
    <w:rsid w:val="001D3BEF"/>
    <w:rsid w:val="001D72CD"/>
    <w:rsid w:val="001E3CA0"/>
    <w:rsid w:val="001F100B"/>
    <w:rsid w:val="00202361"/>
    <w:rsid w:val="00206D37"/>
    <w:rsid w:val="002119DF"/>
    <w:rsid w:val="00212A39"/>
    <w:rsid w:val="002146FF"/>
    <w:rsid w:val="00217E41"/>
    <w:rsid w:val="00221B20"/>
    <w:rsid w:val="002225CE"/>
    <w:rsid w:val="00222780"/>
    <w:rsid w:val="0022296C"/>
    <w:rsid w:val="002230C8"/>
    <w:rsid w:val="00224FC3"/>
    <w:rsid w:val="0022546A"/>
    <w:rsid w:val="002312C8"/>
    <w:rsid w:val="0023329D"/>
    <w:rsid w:val="00233F1C"/>
    <w:rsid w:val="00235054"/>
    <w:rsid w:val="00237B6D"/>
    <w:rsid w:val="00242EB4"/>
    <w:rsid w:val="00250199"/>
    <w:rsid w:val="0025339E"/>
    <w:rsid w:val="00253AB9"/>
    <w:rsid w:val="00255610"/>
    <w:rsid w:val="002575F0"/>
    <w:rsid w:val="00272A47"/>
    <w:rsid w:val="0027373B"/>
    <w:rsid w:val="0027503E"/>
    <w:rsid w:val="00275713"/>
    <w:rsid w:val="0028028C"/>
    <w:rsid w:val="0028248E"/>
    <w:rsid w:val="00287F9E"/>
    <w:rsid w:val="002903F1"/>
    <w:rsid w:val="002913DB"/>
    <w:rsid w:val="002A3D45"/>
    <w:rsid w:val="002A5A75"/>
    <w:rsid w:val="002A7B4B"/>
    <w:rsid w:val="002B03D8"/>
    <w:rsid w:val="002B0AE1"/>
    <w:rsid w:val="002B164D"/>
    <w:rsid w:val="002B34D9"/>
    <w:rsid w:val="002B4C13"/>
    <w:rsid w:val="002B5349"/>
    <w:rsid w:val="002C2864"/>
    <w:rsid w:val="002C3AEB"/>
    <w:rsid w:val="002C51DB"/>
    <w:rsid w:val="002C5648"/>
    <w:rsid w:val="002C61A7"/>
    <w:rsid w:val="002D1025"/>
    <w:rsid w:val="002D2093"/>
    <w:rsid w:val="002D3BA9"/>
    <w:rsid w:val="002D7320"/>
    <w:rsid w:val="002E15D6"/>
    <w:rsid w:val="002E7605"/>
    <w:rsid w:val="002F1AB3"/>
    <w:rsid w:val="002F4E22"/>
    <w:rsid w:val="002F699D"/>
    <w:rsid w:val="0030163B"/>
    <w:rsid w:val="003022DF"/>
    <w:rsid w:val="003030ED"/>
    <w:rsid w:val="0031323C"/>
    <w:rsid w:val="00314777"/>
    <w:rsid w:val="003151C9"/>
    <w:rsid w:val="003218C2"/>
    <w:rsid w:val="00324790"/>
    <w:rsid w:val="0033018D"/>
    <w:rsid w:val="00335351"/>
    <w:rsid w:val="00347A67"/>
    <w:rsid w:val="003501AA"/>
    <w:rsid w:val="003570D3"/>
    <w:rsid w:val="003650DC"/>
    <w:rsid w:val="00367667"/>
    <w:rsid w:val="0036789B"/>
    <w:rsid w:val="0037302D"/>
    <w:rsid w:val="00376E7D"/>
    <w:rsid w:val="00376FED"/>
    <w:rsid w:val="0037770A"/>
    <w:rsid w:val="003817E0"/>
    <w:rsid w:val="00386A79"/>
    <w:rsid w:val="0038711C"/>
    <w:rsid w:val="00394679"/>
    <w:rsid w:val="003965DF"/>
    <w:rsid w:val="003A6F6C"/>
    <w:rsid w:val="003C22AD"/>
    <w:rsid w:val="003C4928"/>
    <w:rsid w:val="003D614D"/>
    <w:rsid w:val="003F7E9C"/>
    <w:rsid w:val="0040255B"/>
    <w:rsid w:val="00407A78"/>
    <w:rsid w:val="00417055"/>
    <w:rsid w:val="00420549"/>
    <w:rsid w:val="00421307"/>
    <w:rsid w:val="00421B17"/>
    <w:rsid w:val="00432024"/>
    <w:rsid w:val="00447C2A"/>
    <w:rsid w:val="004524BD"/>
    <w:rsid w:val="00454268"/>
    <w:rsid w:val="0045528F"/>
    <w:rsid w:val="0045706F"/>
    <w:rsid w:val="00464F28"/>
    <w:rsid w:val="00465C73"/>
    <w:rsid w:val="0046720B"/>
    <w:rsid w:val="00470393"/>
    <w:rsid w:val="00472EE1"/>
    <w:rsid w:val="00474B87"/>
    <w:rsid w:val="00476C00"/>
    <w:rsid w:val="00480257"/>
    <w:rsid w:val="0048509E"/>
    <w:rsid w:val="00486977"/>
    <w:rsid w:val="00486C21"/>
    <w:rsid w:val="0049410C"/>
    <w:rsid w:val="00495E7E"/>
    <w:rsid w:val="004A06F7"/>
    <w:rsid w:val="004A152B"/>
    <w:rsid w:val="004A3026"/>
    <w:rsid w:val="004A33F6"/>
    <w:rsid w:val="004A34C3"/>
    <w:rsid w:val="004A48AE"/>
    <w:rsid w:val="004B052F"/>
    <w:rsid w:val="004B3F6B"/>
    <w:rsid w:val="004B4E3F"/>
    <w:rsid w:val="004B562C"/>
    <w:rsid w:val="004B6DD9"/>
    <w:rsid w:val="004C037F"/>
    <w:rsid w:val="004C1441"/>
    <w:rsid w:val="004C631A"/>
    <w:rsid w:val="004D0870"/>
    <w:rsid w:val="004D14DB"/>
    <w:rsid w:val="004D589C"/>
    <w:rsid w:val="004E158F"/>
    <w:rsid w:val="004E15FA"/>
    <w:rsid w:val="004E4589"/>
    <w:rsid w:val="004F3015"/>
    <w:rsid w:val="004F7DEB"/>
    <w:rsid w:val="005015A5"/>
    <w:rsid w:val="00502967"/>
    <w:rsid w:val="00504191"/>
    <w:rsid w:val="00504CB3"/>
    <w:rsid w:val="00504E92"/>
    <w:rsid w:val="0050523F"/>
    <w:rsid w:val="00507C2B"/>
    <w:rsid w:val="00511D0D"/>
    <w:rsid w:val="00515C9F"/>
    <w:rsid w:val="0051640D"/>
    <w:rsid w:val="0052155A"/>
    <w:rsid w:val="005218B9"/>
    <w:rsid w:val="0052324B"/>
    <w:rsid w:val="00524756"/>
    <w:rsid w:val="005247C0"/>
    <w:rsid w:val="0052636C"/>
    <w:rsid w:val="00530DC2"/>
    <w:rsid w:val="00537019"/>
    <w:rsid w:val="00541FBD"/>
    <w:rsid w:val="00542A85"/>
    <w:rsid w:val="00543250"/>
    <w:rsid w:val="0054325D"/>
    <w:rsid w:val="00543781"/>
    <w:rsid w:val="0055381F"/>
    <w:rsid w:val="00554031"/>
    <w:rsid w:val="00556015"/>
    <w:rsid w:val="00560412"/>
    <w:rsid w:val="005621C0"/>
    <w:rsid w:val="00570B40"/>
    <w:rsid w:val="0057125C"/>
    <w:rsid w:val="005850AB"/>
    <w:rsid w:val="005916DD"/>
    <w:rsid w:val="005920A6"/>
    <w:rsid w:val="0059220D"/>
    <w:rsid w:val="005A06A6"/>
    <w:rsid w:val="005A073C"/>
    <w:rsid w:val="005A1618"/>
    <w:rsid w:val="005B2AC9"/>
    <w:rsid w:val="005B52C2"/>
    <w:rsid w:val="005C065A"/>
    <w:rsid w:val="005C2253"/>
    <w:rsid w:val="005C3881"/>
    <w:rsid w:val="005C3CF1"/>
    <w:rsid w:val="005C50C5"/>
    <w:rsid w:val="005C51D7"/>
    <w:rsid w:val="005D4E6E"/>
    <w:rsid w:val="005D68EB"/>
    <w:rsid w:val="005E0449"/>
    <w:rsid w:val="005E4517"/>
    <w:rsid w:val="005F356C"/>
    <w:rsid w:val="0060056F"/>
    <w:rsid w:val="00604B8C"/>
    <w:rsid w:val="0060589A"/>
    <w:rsid w:val="00605C38"/>
    <w:rsid w:val="00606184"/>
    <w:rsid w:val="0060675E"/>
    <w:rsid w:val="00614DDA"/>
    <w:rsid w:val="00616C22"/>
    <w:rsid w:val="0062198B"/>
    <w:rsid w:val="00626A16"/>
    <w:rsid w:val="00627F6D"/>
    <w:rsid w:val="006303C9"/>
    <w:rsid w:val="00632922"/>
    <w:rsid w:val="00633968"/>
    <w:rsid w:val="006358A3"/>
    <w:rsid w:val="0064651A"/>
    <w:rsid w:val="0065093F"/>
    <w:rsid w:val="006540E2"/>
    <w:rsid w:val="00655250"/>
    <w:rsid w:val="00660135"/>
    <w:rsid w:val="0066277F"/>
    <w:rsid w:val="00673296"/>
    <w:rsid w:val="00676537"/>
    <w:rsid w:val="0068180F"/>
    <w:rsid w:val="0068332B"/>
    <w:rsid w:val="00683D5F"/>
    <w:rsid w:val="0068560D"/>
    <w:rsid w:val="00687C3B"/>
    <w:rsid w:val="00691539"/>
    <w:rsid w:val="006940D4"/>
    <w:rsid w:val="00696398"/>
    <w:rsid w:val="006A0BD7"/>
    <w:rsid w:val="006A58C5"/>
    <w:rsid w:val="006B0088"/>
    <w:rsid w:val="006B10F0"/>
    <w:rsid w:val="006B1D44"/>
    <w:rsid w:val="006B360A"/>
    <w:rsid w:val="006B3C84"/>
    <w:rsid w:val="006B46CD"/>
    <w:rsid w:val="006C1A53"/>
    <w:rsid w:val="006D23C5"/>
    <w:rsid w:val="006D386C"/>
    <w:rsid w:val="006D4433"/>
    <w:rsid w:val="006E0D3A"/>
    <w:rsid w:val="006E7954"/>
    <w:rsid w:val="006F22A5"/>
    <w:rsid w:val="00701AA0"/>
    <w:rsid w:val="007070B9"/>
    <w:rsid w:val="00710B08"/>
    <w:rsid w:val="00713B30"/>
    <w:rsid w:val="007159E3"/>
    <w:rsid w:val="007166EC"/>
    <w:rsid w:val="00716FA5"/>
    <w:rsid w:val="00717370"/>
    <w:rsid w:val="00717621"/>
    <w:rsid w:val="00720DB6"/>
    <w:rsid w:val="0072118A"/>
    <w:rsid w:val="00723C68"/>
    <w:rsid w:val="00725713"/>
    <w:rsid w:val="00725F14"/>
    <w:rsid w:val="007334A0"/>
    <w:rsid w:val="00733C47"/>
    <w:rsid w:val="007452C5"/>
    <w:rsid w:val="007470B5"/>
    <w:rsid w:val="007472CA"/>
    <w:rsid w:val="00750109"/>
    <w:rsid w:val="00750B4B"/>
    <w:rsid w:val="00752113"/>
    <w:rsid w:val="00753590"/>
    <w:rsid w:val="00756640"/>
    <w:rsid w:val="00757BB2"/>
    <w:rsid w:val="00765FAD"/>
    <w:rsid w:val="00770907"/>
    <w:rsid w:val="00772100"/>
    <w:rsid w:val="0077391E"/>
    <w:rsid w:val="00777501"/>
    <w:rsid w:val="00777FF5"/>
    <w:rsid w:val="00780699"/>
    <w:rsid w:val="00795FC2"/>
    <w:rsid w:val="00797599"/>
    <w:rsid w:val="00797FFB"/>
    <w:rsid w:val="007A70F9"/>
    <w:rsid w:val="007A7722"/>
    <w:rsid w:val="007B1BFA"/>
    <w:rsid w:val="007B4B81"/>
    <w:rsid w:val="007C0F6C"/>
    <w:rsid w:val="007C210E"/>
    <w:rsid w:val="007C23DB"/>
    <w:rsid w:val="007C3209"/>
    <w:rsid w:val="007C7F1F"/>
    <w:rsid w:val="007D20B0"/>
    <w:rsid w:val="007D30D0"/>
    <w:rsid w:val="007D3402"/>
    <w:rsid w:val="007D3523"/>
    <w:rsid w:val="007D6496"/>
    <w:rsid w:val="007E3193"/>
    <w:rsid w:val="007E3519"/>
    <w:rsid w:val="0080187D"/>
    <w:rsid w:val="00804192"/>
    <w:rsid w:val="00807963"/>
    <w:rsid w:val="00815A60"/>
    <w:rsid w:val="00825784"/>
    <w:rsid w:val="00832199"/>
    <w:rsid w:val="008328C2"/>
    <w:rsid w:val="00833611"/>
    <w:rsid w:val="00834489"/>
    <w:rsid w:val="00836D5A"/>
    <w:rsid w:val="00836E39"/>
    <w:rsid w:val="00840464"/>
    <w:rsid w:val="008464D9"/>
    <w:rsid w:val="00856BBF"/>
    <w:rsid w:val="00857289"/>
    <w:rsid w:val="008622E8"/>
    <w:rsid w:val="00862B9C"/>
    <w:rsid w:val="00863BA0"/>
    <w:rsid w:val="00864CB5"/>
    <w:rsid w:val="00865B3B"/>
    <w:rsid w:val="008717B3"/>
    <w:rsid w:val="0087364C"/>
    <w:rsid w:val="00875A3F"/>
    <w:rsid w:val="00876227"/>
    <w:rsid w:val="008813FA"/>
    <w:rsid w:val="008825AE"/>
    <w:rsid w:val="00882CBF"/>
    <w:rsid w:val="008837A0"/>
    <w:rsid w:val="008958DC"/>
    <w:rsid w:val="00896447"/>
    <w:rsid w:val="008A0F29"/>
    <w:rsid w:val="008A34AF"/>
    <w:rsid w:val="008B211B"/>
    <w:rsid w:val="008B3D54"/>
    <w:rsid w:val="008B5DA9"/>
    <w:rsid w:val="008B6778"/>
    <w:rsid w:val="008B6A25"/>
    <w:rsid w:val="008C07FE"/>
    <w:rsid w:val="008C527C"/>
    <w:rsid w:val="008C68F1"/>
    <w:rsid w:val="008C6EF1"/>
    <w:rsid w:val="008D68E9"/>
    <w:rsid w:val="008D7BA9"/>
    <w:rsid w:val="008E0115"/>
    <w:rsid w:val="008E02C6"/>
    <w:rsid w:val="008E1889"/>
    <w:rsid w:val="008E22EC"/>
    <w:rsid w:val="008E3358"/>
    <w:rsid w:val="008E44D7"/>
    <w:rsid w:val="008E5699"/>
    <w:rsid w:val="008F23E4"/>
    <w:rsid w:val="008F2927"/>
    <w:rsid w:val="008F45B3"/>
    <w:rsid w:val="00900F83"/>
    <w:rsid w:val="0090322E"/>
    <w:rsid w:val="00905316"/>
    <w:rsid w:val="00911E0C"/>
    <w:rsid w:val="00913D14"/>
    <w:rsid w:val="009153BF"/>
    <w:rsid w:val="0091661D"/>
    <w:rsid w:val="009263E1"/>
    <w:rsid w:val="00930635"/>
    <w:rsid w:val="0093188F"/>
    <w:rsid w:val="00940725"/>
    <w:rsid w:val="0094352B"/>
    <w:rsid w:val="009463E2"/>
    <w:rsid w:val="009505D4"/>
    <w:rsid w:val="00954C6E"/>
    <w:rsid w:val="00961405"/>
    <w:rsid w:val="009657CE"/>
    <w:rsid w:val="00971534"/>
    <w:rsid w:val="00974335"/>
    <w:rsid w:val="00976190"/>
    <w:rsid w:val="0098201D"/>
    <w:rsid w:val="00987502"/>
    <w:rsid w:val="00990A79"/>
    <w:rsid w:val="00990C1A"/>
    <w:rsid w:val="00990D5A"/>
    <w:rsid w:val="00993471"/>
    <w:rsid w:val="009A0FBA"/>
    <w:rsid w:val="009A0FFA"/>
    <w:rsid w:val="009A3733"/>
    <w:rsid w:val="009A4151"/>
    <w:rsid w:val="009A4AFD"/>
    <w:rsid w:val="009B0704"/>
    <w:rsid w:val="009B23AE"/>
    <w:rsid w:val="009C31D2"/>
    <w:rsid w:val="009C3323"/>
    <w:rsid w:val="009C4907"/>
    <w:rsid w:val="009C58EF"/>
    <w:rsid w:val="009C5C28"/>
    <w:rsid w:val="009D2016"/>
    <w:rsid w:val="009D67CC"/>
    <w:rsid w:val="009E6D27"/>
    <w:rsid w:val="009F2275"/>
    <w:rsid w:val="009F2841"/>
    <w:rsid w:val="009F44CC"/>
    <w:rsid w:val="009F51BD"/>
    <w:rsid w:val="009F64F0"/>
    <w:rsid w:val="00A0268C"/>
    <w:rsid w:val="00A02A6A"/>
    <w:rsid w:val="00A105B8"/>
    <w:rsid w:val="00A14A12"/>
    <w:rsid w:val="00A15F39"/>
    <w:rsid w:val="00A2355F"/>
    <w:rsid w:val="00A24A58"/>
    <w:rsid w:val="00A32EA5"/>
    <w:rsid w:val="00A353A0"/>
    <w:rsid w:val="00A3570D"/>
    <w:rsid w:val="00A377C6"/>
    <w:rsid w:val="00A513EE"/>
    <w:rsid w:val="00A53C01"/>
    <w:rsid w:val="00A55BC4"/>
    <w:rsid w:val="00A56E91"/>
    <w:rsid w:val="00A6303F"/>
    <w:rsid w:val="00A63197"/>
    <w:rsid w:val="00A64CE3"/>
    <w:rsid w:val="00A65C9C"/>
    <w:rsid w:val="00A710AF"/>
    <w:rsid w:val="00A75958"/>
    <w:rsid w:val="00A80266"/>
    <w:rsid w:val="00A84444"/>
    <w:rsid w:val="00A868E0"/>
    <w:rsid w:val="00A92DD5"/>
    <w:rsid w:val="00A94754"/>
    <w:rsid w:val="00A957BE"/>
    <w:rsid w:val="00A96E97"/>
    <w:rsid w:val="00A978B2"/>
    <w:rsid w:val="00AA0572"/>
    <w:rsid w:val="00AA111B"/>
    <w:rsid w:val="00AA17ED"/>
    <w:rsid w:val="00AA1F4F"/>
    <w:rsid w:val="00AA2148"/>
    <w:rsid w:val="00AA5FDA"/>
    <w:rsid w:val="00AC63FC"/>
    <w:rsid w:val="00AC7586"/>
    <w:rsid w:val="00AD33C1"/>
    <w:rsid w:val="00AD56E4"/>
    <w:rsid w:val="00AD5F6B"/>
    <w:rsid w:val="00AD5F6F"/>
    <w:rsid w:val="00AD7013"/>
    <w:rsid w:val="00AE4839"/>
    <w:rsid w:val="00AE4A93"/>
    <w:rsid w:val="00AE4CC0"/>
    <w:rsid w:val="00AE6CD4"/>
    <w:rsid w:val="00AF1D6F"/>
    <w:rsid w:val="00AF61D6"/>
    <w:rsid w:val="00AF6FF8"/>
    <w:rsid w:val="00B0250A"/>
    <w:rsid w:val="00B06BD3"/>
    <w:rsid w:val="00B06D26"/>
    <w:rsid w:val="00B06D65"/>
    <w:rsid w:val="00B06F47"/>
    <w:rsid w:val="00B13FB5"/>
    <w:rsid w:val="00B22FCC"/>
    <w:rsid w:val="00B27F5F"/>
    <w:rsid w:val="00B32CCD"/>
    <w:rsid w:val="00B34240"/>
    <w:rsid w:val="00B3565B"/>
    <w:rsid w:val="00B421FD"/>
    <w:rsid w:val="00B4389C"/>
    <w:rsid w:val="00B47086"/>
    <w:rsid w:val="00B51AEF"/>
    <w:rsid w:val="00B5314F"/>
    <w:rsid w:val="00B53703"/>
    <w:rsid w:val="00B60394"/>
    <w:rsid w:val="00B606D1"/>
    <w:rsid w:val="00B60B7B"/>
    <w:rsid w:val="00B63A15"/>
    <w:rsid w:val="00B732CA"/>
    <w:rsid w:val="00B7598F"/>
    <w:rsid w:val="00B77762"/>
    <w:rsid w:val="00B81FE9"/>
    <w:rsid w:val="00B82285"/>
    <w:rsid w:val="00B828E4"/>
    <w:rsid w:val="00B914CD"/>
    <w:rsid w:val="00B91C07"/>
    <w:rsid w:val="00B92A53"/>
    <w:rsid w:val="00B936BD"/>
    <w:rsid w:val="00B97712"/>
    <w:rsid w:val="00BB1C1A"/>
    <w:rsid w:val="00BB4845"/>
    <w:rsid w:val="00BB6EA7"/>
    <w:rsid w:val="00BC0C92"/>
    <w:rsid w:val="00BC33AC"/>
    <w:rsid w:val="00BC38DF"/>
    <w:rsid w:val="00BC542F"/>
    <w:rsid w:val="00BC62B7"/>
    <w:rsid w:val="00BD1C13"/>
    <w:rsid w:val="00BD574B"/>
    <w:rsid w:val="00BD605D"/>
    <w:rsid w:val="00BD6B50"/>
    <w:rsid w:val="00BE0C85"/>
    <w:rsid w:val="00BE0EE1"/>
    <w:rsid w:val="00BE2D9C"/>
    <w:rsid w:val="00BE792D"/>
    <w:rsid w:val="00BF3202"/>
    <w:rsid w:val="00BF5960"/>
    <w:rsid w:val="00BF759D"/>
    <w:rsid w:val="00C0031F"/>
    <w:rsid w:val="00C01EB3"/>
    <w:rsid w:val="00C05694"/>
    <w:rsid w:val="00C101E4"/>
    <w:rsid w:val="00C16C45"/>
    <w:rsid w:val="00C2172B"/>
    <w:rsid w:val="00C230AA"/>
    <w:rsid w:val="00C24774"/>
    <w:rsid w:val="00C26782"/>
    <w:rsid w:val="00C26DC6"/>
    <w:rsid w:val="00C26E44"/>
    <w:rsid w:val="00C27491"/>
    <w:rsid w:val="00C27E4B"/>
    <w:rsid w:val="00C32564"/>
    <w:rsid w:val="00C34653"/>
    <w:rsid w:val="00C37875"/>
    <w:rsid w:val="00C401FF"/>
    <w:rsid w:val="00C468A1"/>
    <w:rsid w:val="00C47864"/>
    <w:rsid w:val="00C525B2"/>
    <w:rsid w:val="00C54300"/>
    <w:rsid w:val="00C62DC2"/>
    <w:rsid w:val="00C70790"/>
    <w:rsid w:val="00C71B28"/>
    <w:rsid w:val="00C72933"/>
    <w:rsid w:val="00C80BD8"/>
    <w:rsid w:val="00C83046"/>
    <w:rsid w:val="00C848C6"/>
    <w:rsid w:val="00C87E97"/>
    <w:rsid w:val="00C9059C"/>
    <w:rsid w:val="00C94F58"/>
    <w:rsid w:val="00CA7A66"/>
    <w:rsid w:val="00CB0516"/>
    <w:rsid w:val="00CB2402"/>
    <w:rsid w:val="00CD0932"/>
    <w:rsid w:val="00CD1E56"/>
    <w:rsid w:val="00CD26F5"/>
    <w:rsid w:val="00CD3D71"/>
    <w:rsid w:val="00CD6190"/>
    <w:rsid w:val="00CD6717"/>
    <w:rsid w:val="00CE791C"/>
    <w:rsid w:val="00CF275A"/>
    <w:rsid w:val="00D0588F"/>
    <w:rsid w:val="00D234B3"/>
    <w:rsid w:val="00D23DCD"/>
    <w:rsid w:val="00D25301"/>
    <w:rsid w:val="00D27BB9"/>
    <w:rsid w:val="00D34E84"/>
    <w:rsid w:val="00D4146E"/>
    <w:rsid w:val="00D43F64"/>
    <w:rsid w:val="00D46B0D"/>
    <w:rsid w:val="00D50CF5"/>
    <w:rsid w:val="00D51C7D"/>
    <w:rsid w:val="00D660EF"/>
    <w:rsid w:val="00D74634"/>
    <w:rsid w:val="00D74DAA"/>
    <w:rsid w:val="00D763EB"/>
    <w:rsid w:val="00D774C8"/>
    <w:rsid w:val="00D80D9D"/>
    <w:rsid w:val="00D81025"/>
    <w:rsid w:val="00D8594D"/>
    <w:rsid w:val="00D86E4A"/>
    <w:rsid w:val="00D87210"/>
    <w:rsid w:val="00D914CB"/>
    <w:rsid w:val="00D91B71"/>
    <w:rsid w:val="00D91F57"/>
    <w:rsid w:val="00D94488"/>
    <w:rsid w:val="00D94502"/>
    <w:rsid w:val="00D946A7"/>
    <w:rsid w:val="00D961AD"/>
    <w:rsid w:val="00DA17D3"/>
    <w:rsid w:val="00DA40F6"/>
    <w:rsid w:val="00DA50DA"/>
    <w:rsid w:val="00DA7253"/>
    <w:rsid w:val="00DB1B11"/>
    <w:rsid w:val="00DB4B40"/>
    <w:rsid w:val="00DC562E"/>
    <w:rsid w:val="00DC65B6"/>
    <w:rsid w:val="00DC7D06"/>
    <w:rsid w:val="00DD7346"/>
    <w:rsid w:val="00DD7DC3"/>
    <w:rsid w:val="00DE00B4"/>
    <w:rsid w:val="00DF14CB"/>
    <w:rsid w:val="00DF2595"/>
    <w:rsid w:val="00DF4120"/>
    <w:rsid w:val="00DF7B0B"/>
    <w:rsid w:val="00E01D79"/>
    <w:rsid w:val="00E02D78"/>
    <w:rsid w:val="00E0574E"/>
    <w:rsid w:val="00E05E93"/>
    <w:rsid w:val="00E10D9A"/>
    <w:rsid w:val="00E12CEB"/>
    <w:rsid w:val="00E13493"/>
    <w:rsid w:val="00E21BD3"/>
    <w:rsid w:val="00E26CEE"/>
    <w:rsid w:val="00E34D31"/>
    <w:rsid w:val="00E34E9B"/>
    <w:rsid w:val="00E364CE"/>
    <w:rsid w:val="00E37109"/>
    <w:rsid w:val="00E41A14"/>
    <w:rsid w:val="00E4591B"/>
    <w:rsid w:val="00E461A9"/>
    <w:rsid w:val="00E46AED"/>
    <w:rsid w:val="00E50F5D"/>
    <w:rsid w:val="00E53F97"/>
    <w:rsid w:val="00E5449B"/>
    <w:rsid w:val="00E6047B"/>
    <w:rsid w:val="00E60F35"/>
    <w:rsid w:val="00E66489"/>
    <w:rsid w:val="00E71BA4"/>
    <w:rsid w:val="00E757A8"/>
    <w:rsid w:val="00E76222"/>
    <w:rsid w:val="00E82B32"/>
    <w:rsid w:val="00E86EFA"/>
    <w:rsid w:val="00E8787A"/>
    <w:rsid w:val="00E90338"/>
    <w:rsid w:val="00E909EF"/>
    <w:rsid w:val="00E934C5"/>
    <w:rsid w:val="00EA533C"/>
    <w:rsid w:val="00EA6B8E"/>
    <w:rsid w:val="00EA6EF7"/>
    <w:rsid w:val="00EB01E5"/>
    <w:rsid w:val="00EB0681"/>
    <w:rsid w:val="00EB79DA"/>
    <w:rsid w:val="00EC386A"/>
    <w:rsid w:val="00ED1674"/>
    <w:rsid w:val="00ED1B27"/>
    <w:rsid w:val="00ED4421"/>
    <w:rsid w:val="00ED5757"/>
    <w:rsid w:val="00ED6821"/>
    <w:rsid w:val="00EF1C77"/>
    <w:rsid w:val="00EF3C31"/>
    <w:rsid w:val="00EF688A"/>
    <w:rsid w:val="00F00B3F"/>
    <w:rsid w:val="00F0136C"/>
    <w:rsid w:val="00F1058E"/>
    <w:rsid w:val="00F1252B"/>
    <w:rsid w:val="00F15B18"/>
    <w:rsid w:val="00F20C8E"/>
    <w:rsid w:val="00F212FE"/>
    <w:rsid w:val="00F23BD2"/>
    <w:rsid w:val="00F24388"/>
    <w:rsid w:val="00F24F8A"/>
    <w:rsid w:val="00F2570D"/>
    <w:rsid w:val="00F274A7"/>
    <w:rsid w:val="00F302AA"/>
    <w:rsid w:val="00F31049"/>
    <w:rsid w:val="00F33CAE"/>
    <w:rsid w:val="00F412C5"/>
    <w:rsid w:val="00F44571"/>
    <w:rsid w:val="00F547E0"/>
    <w:rsid w:val="00F554F6"/>
    <w:rsid w:val="00F5568F"/>
    <w:rsid w:val="00F62926"/>
    <w:rsid w:val="00F6656A"/>
    <w:rsid w:val="00F67215"/>
    <w:rsid w:val="00F7110A"/>
    <w:rsid w:val="00F72A6F"/>
    <w:rsid w:val="00F72B5F"/>
    <w:rsid w:val="00F73136"/>
    <w:rsid w:val="00F742A1"/>
    <w:rsid w:val="00F77FA3"/>
    <w:rsid w:val="00F82C25"/>
    <w:rsid w:val="00F83D3F"/>
    <w:rsid w:val="00F87B9A"/>
    <w:rsid w:val="00F916F9"/>
    <w:rsid w:val="00F92108"/>
    <w:rsid w:val="00F938D2"/>
    <w:rsid w:val="00F9798D"/>
    <w:rsid w:val="00FA35B0"/>
    <w:rsid w:val="00FA39A1"/>
    <w:rsid w:val="00FA7182"/>
    <w:rsid w:val="00FB03B5"/>
    <w:rsid w:val="00FB3293"/>
    <w:rsid w:val="00FB47EB"/>
    <w:rsid w:val="00FB7EF6"/>
    <w:rsid w:val="00FC06B2"/>
    <w:rsid w:val="00FC1D3B"/>
    <w:rsid w:val="00FC1F6D"/>
    <w:rsid w:val="00FC51F3"/>
    <w:rsid w:val="00FD27F0"/>
    <w:rsid w:val="00FD6CA0"/>
    <w:rsid w:val="00FE0B04"/>
    <w:rsid w:val="00FE7424"/>
    <w:rsid w:val="00FE7D73"/>
    <w:rsid w:val="00FE7EB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D3855"/>
  <w15:docId w15:val="{6EC3A80C-28A2-4B65-88B6-BBDEF83BD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ES" w:eastAsia="es-CR" w:bidi="ar-SA"/>
      </w:rPr>
    </w:rPrDefault>
    <w:pPrDefault>
      <w:pPr>
        <w:spacing w:line="480" w:lineRule="auto"/>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B17"/>
    <w:rPr>
      <w:szCs w:val="24"/>
      <w:lang w:eastAsia="es-ES"/>
    </w:rPr>
  </w:style>
  <w:style w:type="paragraph" w:styleId="Ttulo1">
    <w:name w:val="heading 1"/>
    <w:basedOn w:val="Normal"/>
    <w:link w:val="Ttulo1Car"/>
    <w:uiPriority w:val="9"/>
    <w:qFormat/>
    <w:pPr>
      <w:keepNext/>
      <w:numPr>
        <w:numId w:val="1"/>
      </w:numPr>
      <w:contextualSpacing/>
      <w:outlineLvl w:val="0"/>
    </w:pPr>
    <w:rPr>
      <w:b/>
      <w:bCs/>
    </w:rPr>
  </w:style>
  <w:style w:type="paragraph" w:styleId="Ttulo2">
    <w:name w:val="heading 2"/>
    <w:basedOn w:val="Normal"/>
    <w:next w:val="Normal"/>
    <w:link w:val="Ttulo2Car"/>
    <w:uiPriority w:val="9"/>
    <w:unhideWhenUsed/>
    <w:qFormat/>
    <w:pPr>
      <w:keepNext/>
      <w:ind w:firstLine="0"/>
      <w:outlineLvl w:val="1"/>
    </w:pPr>
    <w:rPr>
      <w:b/>
    </w:rPr>
  </w:style>
  <w:style w:type="paragraph" w:styleId="Ttulo3">
    <w:name w:val="heading 3"/>
    <w:basedOn w:val="Normal"/>
    <w:next w:val="Normal"/>
    <w:link w:val="Ttulo3Car"/>
    <w:uiPriority w:val="9"/>
    <w:unhideWhenUsed/>
    <w:qFormat/>
    <w:pPr>
      <w:keepNext/>
      <w:spacing w:before="240" w:after="60" w:line="360" w:lineRule="auto"/>
      <w:ind w:firstLine="0"/>
      <w:jc w:val="both"/>
      <w:outlineLvl w:val="2"/>
    </w:pPr>
    <w:rPr>
      <w:b/>
      <w:bCs/>
      <w:szCs w:val="26"/>
    </w:rPr>
  </w:style>
  <w:style w:type="paragraph" w:styleId="Ttulo4">
    <w:name w:val="heading 4"/>
    <w:basedOn w:val="Normal"/>
    <w:next w:val="Normal"/>
    <w:link w:val="Ttulo4Car"/>
    <w:uiPriority w:val="9"/>
    <w:unhideWhenUsed/>
    <w:qFormat/>
    <w:pPr>
      <w:keepNext/>
      <w:numPr>
        <w:ilvl w:val="2"/>
        <w:numId w:val="1"/>
      </w:numPr>
      <w:spacing w:before="240" w:after="60"/>
      <w:contextualSpacing/>
      <w:jc w:val="both"/>
      <w:outlineLvl w:val="3"/>
    </w:pPr>
    <w:rPr>
      <w:b/>
      <w:szCs w:val="28"/>
    </w:rPr>
  </w:style>
  <w:style w:type="paragraph" w:styleId="Ttulo5">
    <w:name w:val="heading 5"/>
    <w:basedOn w:val="Normal"/>
    <w:next w:val="Normal"/>
    <w:link w:val="Ttulo5Car"/>
    <w:uiPriority w:val="9"/>
    <w:unhideWhenUsed/>
    <w:qFormat/>
    <w:pPr>
      <w:keepNext/>
      <w:numPr>
        <w:ilvl w:val="4"/>
        <w:numId w:val="1"/>
      </w:numPr>
      <w:outlineLvl w:val="4"/>
    </w:pPr>
    <w:rPr>
      <w:b/>
      <w:bCs/>
    </w:rPr>
  </w:style>
  <w:style w:type="paragraph" w:styleId="Ttulo6">
    <w:name w:val="heading 6"/>
    <w:basedOn w:val="Normal"/>
    <w:next w:val="Normal"/>
    <w:link w:val="Ttulo6Car"/>
    <w:uiPriority w:val="9"/>
    <w:semiHidden/>
    <w:unhideWhenUsed/>
    <w:qFormat/>
    <w:pPr>
      <w:keepNext/>
      <w:numPr>
        <w:ilvl w:val="5"/>
        <w:numId w:val="1"/>
      </w:numPr>
      <w:outlineLvl w:val="5"/>
    </w:pPr>
    <w:rPr>
      <w:b/>
      <w:bCs/>
    </w:rPr>
  </w:style>
  <w:style w:type="paragraph" w:styleId="Ttulo7">
    <w:name w:val="heading 7"/>
    <w:basedOn w:val="Normal"/>
    <w:next w:val="Normal"/>
    <w:link w:val="Ttulo7Car"/>
    <w:qFormat/>
    <w:pPr>
      <w:keepNext/>
      <w:numPr>
        <w:ilvl w:val="6"/>
        <w:numId w:val="1"/>
      </w:numPr>
      <w:jc w:val="center"/>
      <w:outlineLvl w:val="6"/>
    </w:pPr>
    <w:rPr>
      <w:b/>
      <w:bCs/>
    </w:rPr>
  </w:style>
  <w:style w:type="paragraph" w:styleId="Ttulo8">
    <w:name w:val="heading 8"/>
    <w:basedOn w:val="Normal"/>
    <w:next w:val="Normal"/>
    <w:link w:val="Ttulo8Car"/>
    <w:qFormat/>
    <w:pPr>
      <w:keepNext/>
      <w:numPr>
        <w:ilvl w:val="7"/>
        <w:numId w:val="1"/>
      </w:numPr>
      <w:spacing w:line="360" w:lineRule="auto"/>
      <w:jc w:val="both"/>
      <w:outlineLvl w:val="7"/>
    </w:pPr>
    <w:rPr>
      <w:b/>
      <w:bCs/>
    </w:rPr>
  </w:style>
  <w:style w:type="paragraph" w:styleId="Ttulo9">
    <w:name w:val="heading 9"/>
    <w:basedOn w:val="Normal"/>
    <w:next w:val="Normal"/>
    <w:link w:val="Ttulo9Car"/>
    <w:qFormat/>
    <w:pPr>
      <w:keepNext/>
      <w:numPr>
        <w:ilvl w:val="8"/>
        <w:numId w:val="1"/>
      </w:numPr>
      <w:spacing w:line="360" w:lineRule="auto"/>
      <w:jc w:val="center"/>
      <w:outlineLvl w:val="8"/>
    </w:pPr>
    <w:rPr>
      <w:b/>
      <w:bCs/>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Ttulo2Car">
    <w:name w:val="Título 2 Car"/>
    <w:link w:val="Ttulo2"/>
    <w:uiPriority w:val="9"/>
    <w:rPr>
      <w:rFonts w:ascii="Arial" w:hAnsi="Arial"/>
      <w:b/>
      <w:sz w:val="22"/>
      <w:szCs w:val="24"/>
      <w:lang w:val="es-ES" w:eastAsia="es-ES"/>
    </w:rPr>
  </w:style>
  <w:style w:type="paragraph" w:styleId="Textodeglobo">
    <w:name w:val="Balloon Text"/>
    <w:basedOn w:val="Normal"/>
    <w:link w:val="TextodegloboCar"/>
    <w:uiPriority w:val="99"/>
    <w:unhideWhenUsed/>
    <w:rPr>
      <w:rFonts w:ascii="Tahoma" w:hAnsi="Tahoma"/>
      <w:sz w:val="16"/>
      <w:szCs w:val="16"/>
    </w:rPr>
  </w:style>
  <w:style w:type="character" w:customStyle="1" w:styleId="TextodegloboCar">
    <w:name w:val="Texto de globo Car"/>
    <w:link w:val="Textodeglobo"/>
    <w:uiPriority w:val="99"/>
    <w:rPr>
      <w:rFonts w:ascii="Tahoma" w:hAnsi="Tahoma" w:cs="Tahoma"/>
      <w:sz w:val="16"/>
      <w:szCs w:val="16"/>
    </w:rPr>
  </w:style>
  <w:style w:type="paragraph" w:styleId="Textoindependiente">
    <w:name w:val="Body Text"/>
    <w:basedOn w:val="Normal"/>
    <w:link w:val="TextoindependienteCar"/>
    <w:semiHidden/>
    <w:pPr>
      <w:spacing w:line="360" w:lineRule="auto"/>
      <w:jc w:val="both"/>
    </w:pPr>
  </w:style>
  <w:style w:type="paragraph" w:styleId="Textoindependiente2">
    <w:name w:val="Body Text 2"/>
    <w:basedOn w:val="Normal"/>
    <w:link w:val="Textoindependiente2Car"/>
    <w:semiHidden/>
    <w:rPr>
      <w:b/>
      <w:bCs/>
      <w:sz w:val="40"/>
    </w:rPr>
  </w:style>
  <w:style w:type="paragraph" w:styleId="Textoindependiente3">
    <w:name w:val="Body Text 3"/>
    <w:basedOn w:val="Normal"/>
    <w:link w:val="Textoindependiente3Car"/>
    <w:semiHidden/>
    <w:pPr>
      <w:tabs>
        <w:tab w:val="left" w:pos="-720"/>
      </w:tabs>
      <w:suppressAutoHyphens/>
      <w:jc w:val="both"/>
    </w:pPr>
    <w:rPr>
      <w:b/>
      <w:spacing w:val="-3"/>
      <w:szCs w:val="20"/>
      <w:lang w:val="es-ES_tradnl"/>
    </w:rPr>
  </w:style>
  <w:style w:type="paragraph" w:styleId="Sangradetextonormal">
    <w:name w:val="Body Text Indent"/>
    <w:basedOn w:val="Normal"/>
    <w:link w:val="SangradetextonormalCar"/>
    <w:semiHidden/>
    <w:pPr>
      <w:ind w:firstLine="708"/>
      <w:jc w:val="both"/>
    </w:pPr>
    <w:rPr>
      <w:color w:val="000000"/>
      <w:szCs w:val="16"/>
    </w:rPr>
  </w:style>
  <w:style w:type="paragraph" w:styleId="Sangra2detindependiente">
    <w:name w:val="Body Text Indent 2"/>
    <w:basedOn w:val="Normal"/>
    <w:link w:val="Sangra2detindependienteCar"/>
    <w:semiHidden/>
    <w:pPr>
      <w:spacing w:line="360" w:lineRule="auto"/>
      <w:ind w:left="360"/>
      <w:jc w:val="both"/>
    </w:pPr>
    <w:rPr>
      <w:lang w:val="es-ES_tradnl"/>
    </w:rPr>
  </w:style>
  <w:style w:type="paragraph" w:styleId="Sangra3detindependiente">
    <w:name w:val="Body Text Indent 3"/>
    <w:basedOn w:val="Normal"/>
    <w:link w:val="Sangra3detindependienteCar"/>
    <w:semiHidden/>
    <w:pPr>
      <w:spacing w:line="360" w:lineRule="auto"/>
      <w:ind w:firstLine="360"/>
      <w:jc w:val="both"/>
    </w:pPr>
  </w:style>
  <w:style w:type="paragraph" w:styleId="Descripcin">
    <w:name w:val="caption"/>
    <w:basedOn w:val="Normal"/>
    <w:next w:val="Normal"/>
    <w:uiPriority w:val="35"/>
    <w:qFormat/>
    <w:pPr>
      <w:spacing w:after="200"/>
    </w:pPr>
    <w:rPr>
      <w:b/>
      <w:bCs/>
      <w:color w:val="4F81BD"/>
      <w:sz w:val="18"/>
      <w:szCs w:val="18"/>
    </w:rPr>
  </w:style>
  <w:style w:type="character" w:styleId="Refdecomentario">
    <w:name w:val="annotation reference"/>
    <w:uiPriority w:val="99"/>
    <w:unhideWhenUsed/>
    <w:rPr>
      <w:sz w:val="16"/>
      <w:szCs w:val="16"/>
    </w:r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link w:val="Textocomentario"/>
    <w:uiPriority w:val="99"/>
    <w:rPr>
      <w:lang w:val="es-ES" w:eastAsia="es-ES"/>
    </w:rPr>
  </w:style>
  <w:style w:type="paragraph" w:styleId="Asuntodelcomentario">
    <w:name w:val="annotation subject"/>
    <w:basedOn w:val="Textocomentario"/>
    <w:next w:val="Textocomentario"/>
    <w:link w:val="AsuntodelcomentarioCar"/>
    <w:uiPriority w:val="99"/>
    <w:unhideWhenUsed/>
    <w:rPr>
      <w:b/>
      <w:bCs/>
    </w:rPr>
  </w:style>
  <w:style w:type="character" w:customStyle="1" w:styleId="AsuntodelcomentarioCar">
    <w:name w:val="Asunto del comentario Car"/>
    <w:link w:val="Asuntodelcomentario"/>
    <w:uiPriority w:val="99"/>
    <w:rPr>
      <w:b/>
      <w:bCs/>
      <w:lang w:val="es-ES" w:eastAsia="es-ES"/>
    </w:rPr>
  </w:style>
  <w:style w:type="paragraph" w:styleId="Mapadeldocumento">
    <w:name w:val="Document Map"/>
    <w:basedOn w:val="Normal"/>
    <w:link w:val="MapadeldocumentoCar"/>
    <w:semiHidden/>
    <w:pPr>
      <w:shd w:val="clear" w:color="auto" w:fill="000080"/>
    </w:pPr>
    <w:rPr>
      <w:rFonts w:ascii="Tahoma" w:hAnsi="Tahoma" w:cs="Tahoma"/>
      <w:szCs w:val="20"/>
      <w:lang w:val="es-CR"/>
    </w:rPr>
  </w:style>
  <w:style w:type="character" w:styleId="nfasis">
    <w:name w:val="Emphasis"/>
    <w:uiPriority w:val="20"/>
    <w:qFormat/>
    <w:rPr>
      <w:i/>
      <w:iCs/>
    </w:rPr>
  </w:style>
  <w:style w:type="character" w:styleId="Hipervnculovisitado">
    <w:name w:val="FollowedHyperlink"/>
    <w:uiPriority w:val="99"/>
    <w:semiHidden/>
    <w:rPr>
      <w:color w:val="800080"/>
      <w:u w:val="single"/>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link w:val="Piedepgina"/>
    <w:uiPriority w:val="99"/>
    <w:rPr>
      <w:sz w:val="24"/>
      <w:szCs w:val="24"/>
    </w:rPr>
  </w:style>
  <w:style w:type="character" w:styleId="Refdenotaalpie">
    <w:name w:val="footnote reference"/>
    <w:semiHidden/>
    <w:rPr>
      <w:vertAlign w:val="superscript"/>
    </w:rPr>
  </w:style>
  <w:style w:type="paragraph" w:styleId="Textonotapie">
    <w:name w:val="footnote text"/>
    <w:basedOn w:val="Normal"/>
    <w:link w:val="TextonotapieCar"/>
    <w:semiHidden/>
    <w:rPr>
      <w:sz w:val="20"/>
      <w:szCs w:val="20"/>
    </w:r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link w:val="Encabezado"/>
    <w:uiPriority w:val="99"/>
    <w:rPr>
      <w:sz w:val="24"/>
      <w:szCs w:val="24"/>
    </w:rPr>
  </w:style>
  <w:style w:type="character" w:styleId="Hipervnculo">
    <w:name w:val="Hyperlink"/>
    <w:uiPriority w:val="99"/>
    <w:rPr>
      <w:strike w:val="0"/>
      <w:dstrike w:val="0"/>
      <w:color w:val="0000FF"/>
      <w:u w:val="none"/>
    </w:rPr>
  </w:style>
  <w:style w:type="paragraph" w:styleId="NormalWeb">
    <w:name w:val="Normal (Web)"/>
    <w:basedOn w:val="Normal"/>
    <w:uiPriority w:val="99"/>
    <w:semiHidden/>
    <w:rPr>
      <w:rFonts w:eastAsia="Arial Unicode MS"/>
      <w:color w:val="666666"/>
      <w:sz w:val="18"/>
      <w:szCs w:val="18"/>
    </w:rPr>
  </w:style>
  <w:style w:type="character" w:styleId="Nmerodepgina">
    <w:name w:val="page number"/>
    <w:semiHidden/>
  </w:style>
  <w:style w:type="character" w:styleId="Textoennegrita">
    <w:name w:val="Strong"/>
    <w:uiPriority w:val="22"/>
    <w:qFormat/>
    <w:rPr>
      <w:b/>
      <w:bCs/>
    </w:rPr>
  </w:style>
  <w:style w:type="table" w:styleId="Tablaconcuadrcula">
    <w:name w:val="Table Grid"/>
    <w:basedOn w:val="Tabla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adeilustraciones">
    <w:name w:val="table of figures"/>
    <w:basedOn w:val="Normal"/>
    <w:next w:val="Normal"/>
    <w:uiPriority w:val="99"/>
    <w:unhideWhenUsed/>
    <w:qFormat/>
    <w:pPr>
      <w:tabs>
        <w:tab w:val="right" w:leader="dot" w:pos="9352"/>
      </w:tabs>
    </w:pPr>
    <w:rPr>
      <w:bCs/>
      <w:lang w:val="es-CR" w:eastAsia="es-MX"/>
    </w:rPr>
  </w:style>
  <w:style w:type="paragraph" w:styleId="TDC1">
    <w:name w:val="toc 1"/>
    <w:basedOn w:val="Normal"/>
    <w:next w:val="Normal"/>
    <w:uiPriority w:val="39"/>
    <w:pPr>
      <w:tabs>
        <w:tab w:val="left" w:pos="1100"/>
        <w:tab w:val="right" w:leader="dot" w:pos="9352"/>
      </w:tabs>
      <w:spacing w:before="360"/>
      <w:ind w:left="709" w:firstLine="0"/>
    </w:pPr>
    <w:rPr>
      <w:rFonts w:cs="Calibri Light"/>
      <w:bCs/>
      <w:caps/>
    </w:rPr>
  </w:style>
  <w:style w:type="paragraph" w:styleId="TDC2">
    <w:name w:val="toc 2"/>
    <w:basedOn w:val="Normal"/>
    <w:next w:val="Normal"/>
    <w:uiPriority w:val="39"/>
    <w:pPr>
      <w:spacing w:before="240"/>
    </w:pPr>
    <w:rPr>
      <w:rFonts w:cs="Calibri"/>
      <w:bCs/>
      <w:szCs w:val="20"/>
    </w:rPr>
  </w:style>
  <w:style w:type="paragraph" w:styleId="TDC3">
    <w:name w:val="toc 3"/>
    <w:basedOn w:val="Normal"/>
    <w:next w:val="Normal"/>
    <w:uiPriority w:val="39"/>
    <w:pPr>
      <w:ind w:left="220"/>
    </w:pPr>
    <w:rPr>
      <w:rFonts w:cs="Calibri"/>
      <w:szCs w:val="20"/>
    </w:rPr>
  </w:style>
  <w:style w:type="paragraph" w:styleId="TDC4">
    <w:name w:val="toc 4"/>
    <w:basedOn w:val="Normal"/>
    <w:next w:val="Normal"/>
    <w:uiPriority w:val="39"/>
    <w:pPr>
      <w:ind w:left="440"/>
    </w:pPr>
    <w:rPr>
      <w:rFonts w:cs="Calibri"/>
      <w:szCs w:val="20"/>
    </w:rPr>
  </w:style>
  <w:style w:type="paragraph" w:styleId="TDC5">
    <w:name w:val="toc 5"/>
    <w:basedOn w:val="Normal"/>
    <w:next w:val="Normal"/>
    <w:semiHidden/>
    <w:pPr>
      <w:ind w:left="660"/>
    </w:pPr>
    <w:rPr>
      <w:rFonts w:ascii="Calibri" w:hAnsi="Calibri" w:cs="Calibri"/>
      <w:sz w:val="20"/>
      <w:szCs w:val="20"/>
    </w:rPr>
  </w:style>
  <w:style w:type="paragraph" w:styleId="TDC6">
    <w:name w:val="toc 6"/>
    <w:basedOn w:val="Normal"/>
    <w:next w:val="Normal"/>
    <w:semiHidden/>
    <w:pPr>
      <w:ind w:left="880"/>
    </w:pPr>
    <w:rPr>
      <w:rFonts w:ascii="Calibri" w:hAnsi="Calibri" w:cs="Calibri"/>
      <w:sz w:val="20"/>
      <w:szCs w:val="20"/>
    </w:rPr>
  </w:style>
  <w:style w:type="paragraph" w:styleId="TDC7">
    <w:name w:val="toc 7"/>
    <w:basedOn w:val="Normal"/>
    <w:next w:val="Normal"/>
    <w:semiHidden/>
    <w:pPr>
      <w:ind w:left="1100"/>
    </w:pPr>
    <w:rPr>
      <w:rFonts w:ascii="Calibri" w:hAnsi="Calibri" w:cs="Calibri"/>
      <w:sz w:val="20"/>
      <w:szCs w:val="20"/>
    </w:rPr>
  </w:style>
  <w:style w:type="paragraph" w:styleId="TDC8">
    <w:name w:val="toc 8"/>
    <w:basedOn w:val="Normal"/>
    <w:next w:val="Normal"/>
    <w:semiHidden/>
    <w:pPr>
      <w:ind w:left="1320"/>
    </w:pPr>
    <w:rPr>
      <w:rFonts w:ascii="Calibri" w:hAnsi="Calibri" w:cs="Calibri"/>
      <w:sz w:val="20"/>
      <w:szCs w:val="20"/>
    </w:rPr>
  </w:style>
  <w:style w:type="paragraph" w:styleId="TDC9">
    <w:name w:val="toc 9"/>
    <w:basedOn w:val="Normal"/>
    <w:next w:val="Normal"/>
    <w:semiHidden/>
    <w:pPr>
      <w:ind w:left="1540"/>
    </w:pPr>
    <w:rPr>
      <w:rFonts w:ascii="Calibri" w:hAnsi="Calibri" w:cs="Calibri"/>
      <w:sz w:val="20"/>
      <w:szCs w:val="20"/>
    </w:rPr>
  </w:style>
  <w:style w:type="paragraph" w:customStyle="1" w:styleId="Calidad">
    <w:name w:val="Calidad"/>
    <w:basedOn w:val="Normal"/>
    <w:pPr>
      <w:spacing w:after="120"/>
      <w:jc w:val="both"/>
    </w:pPr>
    <w:rPr>
      <w:lang w:val="es-ES_tradnl"/>
    </w:rPr>
  </w:style>
  <w:style w:type="paragraph" w:customStyle="1" w:styleId="Calidad1">
    <w:name w:val="Calidad1"/>
    <w:basedOn w:val="Normal"/>
    <w:pPr>
      <w:spacing w:after="120"/>
      <w:jc w:val="both"/>
    </w:pPr>
  </w:style>
  <w:style w:type="character" w:customStyle="1" w:styleId="smallbody1">
    <w:name w:val="smallbody1"/>
    <w:rPr>
      <w:rFonts w:ascii="Verdana" w:hAnsi="Verdana" w:hint="default"/>
      <w:sz w:val="15"/>
      <w:szCs w:val="15"/>
    </w:rPr>
  </w:style>
  <w:style w:type="paragraph" w:customStyle="1" w:styleId="Textodenotaalpie">
    <w:name w:val="Texto de nota al pie"/>
    <w:basedOn w:val="Normal"/>
    <w:pPr>
      <w:widowControl w:val="0"/>
      <w:spacing w:before="40" w:after="120" w:line="360" w:lineRule="auto"/>
      <w:jc w:val="both"/>
    </w:pPr>
    <w:rPr>
      <w:szCs w:val="20"/>
    </w:rPr>
  </w:style>
  <w:style w:type="paragraph" w:customStyle="1" w:styleId="Estilo1">
    <w:name w:val="Estilo1"/>
    <w:basedOn w:val="Ttulo3"/>
    <w:pPr>
      <w:numPr>
        <w:ilvl w:val="2"/>
        <w:numId w:val="2"/>
      </w:numPr>
      <w:tabs>
        <w:tab w:val="left" w:pos="2160"/>
      </w:tabs>
    </w:pPr>
  </w:style>
  <w:style w:type="paragraph" w:styleId="Prrafodelista">
    <w:name w:val="List Paragraph"/>
    <w:basedOn w:val="Normal"/>
    <w:uiPriority w:val="34"/>
    <w:qFormat/>
    <w:pPr>
      <w:ind w:left="708"/>
    </w:pPr>
  </w:style>
  <w:style w:type="paragraph" w:styleId="TtuloTDC">
    <w:name w:val="TOC Heading"/>
    <w:basedOn w:val="Ttulo1"/>
    <w:next w:val="Normal"/>
    <w:uiPriority w:val="39"/>
    <w:qFormat/>
    <w:pPr>
      <w:keepLines/>
      <w:numPr>
        <w:numId w:val="0"/>
      </w:numPr>
      <w:spacing w:before="480" w:line="276" w:lineRule="auto"/>
      <w:outlineLvl w:val="9"/>
    </w:pPr>
    <w:rPr>
      <w:rFonts w:ascii="Cambria" w:hAnsi="Cambria"/>
      <w:color w:val="365F91"/>
      <w:sz w:val="28"/>
      <w:szCs w:val="28"/>
      <w:lang w:eastAsia="en-US"/>
    </w:rPr>
  </w:style>
  <w:style w:type="character" w:customStyle="1" w:styleId="testoazuloscuro">
    <w:name w:val="testoazuloscuro"/>
  </w:style>
  <w:style w:type="character" w:customStyle="1" w:styleId="testoazul">
    <w:name w:val="testoazul"/>
  </w:style>
  <w:style w:type="paragraph" w:styleId="Sinespaciado">
    <w:name w:val="No Spacing"/>
    <w:uiPriority w:val="1"/>
    <w:qFormat/>
    <w:rPr>
      <w:b/>
      <w:szCs w:val="24"/>
      <w:lang w:eastAsia="es-ES"/>
    </w:rPr>
  </w:style>
  <w:style w:type="paragraph" w:customStyle="1" w:styleId="Default">
    <w:name w:val="Default"/>
    <w:pPr>
      <w:autoSpaceDE w:val="0"/>
      <w:autoSpaceDN w:val="0"/>
      <w:adjustRightInd w:val="0"/>
    </w:pPr>
    <w:rPr>
      <w:rFonts w:ascii="Calibri" w:hAnsi="Calibri" w:cs="Calibri"/>
      <w:color w:val="000000"/>
      <w:sz w:val="24"/>
      <w:szCs w:val="24"/>
    </w:rPr>
  </w:style>
  <w:style w:type="paragraph" w:customStyle="1" w:styleId="Figura1">
    <w:name w:val="Figura 1"/>
    <w:basedOn w:val="Normal"/>
    <w:link w:val="Figura1Car"/>
    <w:qFormat/>
    <w:rsid w:val="00474B87"/>
  </w:style>
  <w:style w:type="character" w:customStyle="1" w:styleId="Figura1Car">
    <w:name w:val="Figura 1 Car"/>
    <w:link w:val="Figura1"/>
    <w:rsid w:val="00474B87"/>
    <w:rPr>
      <w:szCs w:val="24"/>
      <w:lang w:eastAsia="es-ES"/>
    </w:rPr>
  </w:style>
  <w:style w:type="table" w:customStyle="1" w:styleId="Tabla1">
    <w:name w:val="Tabla 1"/>
    <w:basedOn w:val="Tablanormal"/>
    <w:uiPriority w:val="99"/>
    <w:tblPr/>
  </w:style>
  <w:style w:type="paragraph" w:customStyle="1" w:styleId="TITULOX">
    <w:name w:val="TITULOX"/>
    <w:basedOn w:val="Ttulo2"/>
    <w:link w:val="TITULOXCar"/>
    <w:qFormat/>
    <w:rPr>
      <w:szCs w:val="22"/>
    </w:rPr>
  </w:style>
  <w:style w:type="character" w:customStyle="1" w:styleId="TITULOXCar">
    <w:name w:val="TITULOX Car"/>
    <w:link w:val="TITULOX"/>
    <w:rPr>
      <w:rFonts w:ascii="Arial" w:hAnsi="Arial" w:cs="Arial"/>
      <w:b/>
      <w:sz w:val="22"/>
      <w:szCs w:val="22"/>
      <w:lang w:val="es-ES" w:eastAsia="es-ES"/>
    </w:rPr>
  </w:style>
  <w:style w:type="table" w:customStyle="1" w:styleId="Tablaconcuadrcula1">
    <w:name w:val="Tabla con cuadrícula1"/>
    <w:basedOn w:val="Tablanormal"/>
    <w:uiPriority w:val="39"/>
    <w:rPr>
      <w:rFonts w:ascii="Calibri" w:eastAsia="Calibri" w:hAnsi="Calibri"/>
      <w:lang w:val="es-419"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uiPriority w:val="99"/>
    <w:unhideWhenUsed/>
    <w:rPr>
      <w:color w:val="605E5C"/>
      <w:shd w:val="clear" w:color="auto" w:fill="E1DFDD"/>
    </w:rPr>
  </w:style>
  <w:style w:type="table" w:customStyle="1" w:styleId="Tablaconcuadrcula2">
    <w:name w:val="Tabla con cuadrícula2"/>
    <w:basedOn w:val="Tablanormal"/>
    <w:uiPriority w:val="39"/>
    <w:rPr>
      <w:rFonts w:ascii="Calibri" w:eastAsia="Calibri" w:hAnsi="Calibri"/>
      <w:lang w:val="es-419"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unhideWhenUsed/>
    <w:rsid w:val="00AA1741"/>
    <w:rPr>
      <w:szCs w:val="24"/>
      <w:lang w:eastAsia="es-ES"/>
    </w:rPr>
  </w:style>
  <w:style w:type="paragraph" w:styleId="Subttulo">
    <w:name w:val="Subtitle"/>
    <w:basedOn w:val="Normal"/>
    <w:next w:val="Normal"/>
    <w:link w:val="SubttuloCar"/>
    <w:uiPriority w:val="11"/>
    <w:qFormat/>
    <w:pPr>
      <w:keepNext/>
      <w:keepLines/>
      <w:spacing w:before="360" w:after="80"/>
    </w:pPr>
    <w:rPr>
      <w:rFonts w:ascii="Georgia" w:eastAsia="Georgia" w:hAnsi="Georgia" w:cs="Georgia"/>
      <w:i/>
      <w:color w:val="666666"/>
      <w:sz w:val="48"/>
      <w:szCs w:val="48"/>
    </w:rPr>
  </w:style>
  <w:style w:type="table" w:customStyle="1" w:styleId="48">
    <w:name w:val="48"/>
    <w:basedOn w:val="TableNormal1"/>
    <w:tblPr>
      <w:tblStyleRowBandSize w:val="1"/>
      <w:tblStyleColBandSize w:val="1"/>
      <w:tblCellMar>
        <w:left w:w="115" w:type="dxa"/>
        <w:right w:w="115" w:type="dxa"/>
      </w:tblCellMar>
    </w:tblPr>
  </w:style>
  <w:style w:type="table" w:customStyle="1" w:styleId="47">
    <w:name w:val="47"/>
    <w:basedOn w:val="TableNormal1"/>
    <w:tblPr>
      <w:tblStyleRowBandSize w:val="1"/>
      <w:tblStyleColBandSize w:val="1"/>
      <w:tblCellMar>
        <w:left w:w="115" w:type="dxa"/>
        <w:right w:w="115" w:type="dxa"/>
      </w:tblCellMar>
    </w:tblPr>
  </w:style>
  <w:style w:type="table" w:customStyle="1" w:styleId="46">
    <w:name w:val="46"/>
    <w:basedOn w:val="TableNormal1"/>
    <w:tblPr>
      <w:tblStyleRowBandSize w:val="1"/>
      <w:tblStyleColBandSize w:val="1"/>
      <w:tblCellMar>
        <w:left w:w="115" w:type="dxa"/>
        <w:right w:w="115" w:type="dxa"/>
      </w:tblCellMar>
    </w:tblPr>
  </w:style>
  <w:style w:type="table" w:customStyle="1" w:styleId="45">
    <w:name w:val="45"/>
    <w:basedOn w:val="TableNormal1"/>
    <w:tblPr>
      <w:tblStyleRowBandSize w:val="1"/>
      <w:tblStyleColBandSize w:val="1"/>
      <w:tblCellMar>
        <w:left w:w="115" w:type="dxa"/>
        <w:right w:w="115" w:type="dxa"/>
      </w:tblCellMar>
    </w:tbl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1"/>
    <w:tblPr>
      <w:tblStyleRowBandSize w:val="1"/>
      <w:tblStyleColBandSize w:val="1"/>
      <w:tblCellMar>
        <w:left w:w="115" w:type="dxa"/>
        <w:right w:w="115" w:type="dxa"/>
      </w:tblCellMar>
    </w:tblPr>
  </w:style>
  <w:style w:type="table" w:customStyle="1" w:styleId="21">
    <w:name w:val="21"/>
    <w:basedOn w:val="TableNormal1"/>
    <w:tblPr>
      <w:tblStyleRowBandSize w:val="1"/>
      <w:tblStyleColBandSize w:val="1"/>
      <w:tblCellMar>
        <w:left w:w="115" w:type="dxa"/>
        <w:right w:w="115" w:type="dxa"/>
      </w:tblCellMar>
    </w:tblPr>
  </w:style>
  <w:style w:type="table" w:customStyle="1" w:styleId="20">
    <w:name w:val="20"/>
    <w:basedOn w:val="TableNormal1"/>
    <w:tblPr>
      <w:tblStyleRowBandSize w:val="1"/>
      <w:tblStyleColBandSize w:val="1"/>
      <w:tblCellMar>
        <w:left w:w="115" w:type="dxa"/>
        <w:right w:w="115" w:type="dxa"/>
      </w:tblCellMar>
    </w:tblPr>
  </w:style>
  <w:style w:type="table" w:customStyle="1" w:styleId="19">
    <w:name w:val="19"/>
    <w:basedOn w:val="TableNormal1"/>
    <w:tblPr>
      <w:tblStyleRowBandSize w:val="1"/>
      <w:tblStyleColBandSize w:val="1"/>
      <w:tblCellMar>
        <w:left w:w="115" w:type="dxa"/>
        <w:right w:w="115" w:type="dxa"/>
      </w:tblCellMar>
    </w:tblPr>
  </w:style>
  <w:style w:type="table" w:customStyle="1" w:styleId="18">
    <w:name w:val="18"/>
    <w:basedOn w:val="TableNormal1"/>
    <w:tblPr>
      <w:tblStyleRowBandSize w:val="1"/>
      <w:tblStyleColBandSize w:val="1"/>
      <w:tblCellMar>
        <w:left w:w="115" w:type="dxa"/>
        <w:right w:w="115" w:type="dxa"/>
      </w:tblCellMar>
    </w:tblPr>
  </w:style>
  <w:style w:type="table" w:customStyle="1" w:styleId="17">
    <w:name w:val="17"/>
    <w:basedOn w:val="TableNormal1"/>
    <w:tblPr>
      <w:tblStyleRowBandSize w:val="1"/>
      <w:tblStyleColBandSize w:val="1"/>
      <w:tblCellMar>
        <w:left w:w="115" w:type="dxa"/>
        <w:right w:w="115" w:type="dxa"/>
      </w:tblCellMar>
    </w:tblPr>
  </w:style>
  <w:style w:type="table" w:customStyle="1" w:styleId="16">
    <w:name w:val="16"/>
    <w:basedOn w:val="TableNormal1"/>
    <w:tblPr>
      <w:tblStyleRowBandSize w:val="1"/>
      <w:tblStyleColBandSize w:val="1"/>
      <w:tblCellMar>
        <w:left w:w="115" w:type="dxa"/>
        <w:right w:w="115" w:type="dxa"/>
      </w:tblCellMar>
    </w:tblPr>
  </w:style>
  <w:style w:type="table" w:customStyle="1" w:styleId="15">
    <w:name w:val="15"/>
    <w:basedOn w:val="TableNormal1"/>
    <w:tblPr>
      <w:tblStyleRowBandSize w:val="1"/>
      <w:tblStyleColBandSize w:val="1"/>
      <w:tblCellMar>
        <w:left w:w="115" w:type="dxa"/>
        <w:right w:w="115" w:type="dxa"/>
      </w:tblCellMar>
    </w:tblPr>
  </w:style>
  <w:style w:type="table" w:customStyle="1" w:styleId="14">
    <w:name w:val="14"/>
    <w:basedOn w:val="TableNormal1"/>
    <w:tblPr>
      <w:tblStyleRowBandSize w:val="1"/>
      <w:tblStyleColBandSize w:val="1"/>
      <w:tblCellMar>
        <w:left w:w="115" w:type="dxa"/>
        <w:right w:w="115" w:type="dxa"/>
      </w:tblCellMar>
    </w:tblPr>
  </w:style>
  <w:style w:type="table" w:customStyle="1" w:styleId="13">
    <w:name w:val="13"/>
    <w:basedOn w:val="TableNormal1"/>
    <w:tblPr>
      <w:tblStyleRowBandSize w:val="1"/>
      <w:tblStyleColBandSize w:val="1"/>
      <w:tblCellMar>
        <w:left w:w="115" w:type="dxa"/>
        <w:right w:w="115" w:type="dxa"/>
      </w:tblCellMar>
    </w:tblPr>
  </w:style>
  <w:style w:type="table" w:customStyle="1" w:styleId="12">
    <w:name w:val="12"/>
    <w:basedOn w:val="TableNormal1"/>
    <w:tblPr>
      <w:tblStyleRowBandSize w:val="1"/>
      <w:tblStyleColBandSize w:val="1"/>
      <w:tblCellMar>
        <w:left w:w="115" w:type="dxa"/>
        <w:right w:w="115" w:type="dxa"/>
      </w:tblCellMar>
    </w:tblPr>
  </w:style>
  <w:style w:type="table" w:customStyle="1" w:styleId="11">
    <w:name w:val="11"/>
    <w:basedOn w:val="TableNormal1"/>
    <w:tblPr>
      <w:tblStyleRowBandSize w:val="1"/>
      <w:tblStyleColBandSize w:val="1"/>
      <w:tblCellMar>
        <w:left w:w="115" w:type="dxa"/>
        <w:right w:w="115" w:type="dxa"/>
      </w:tblCellMar>
    </w:tblPr>
  </w:style>
  <w:style w:type="table" w:customStyle="1" w:styleId="10">
    <w:name w:val="10"/>
    <w:basedOn w:val="TableNormal1"/>
    <w:tblPr>
      <w:tblStyleRowBandSize w:val="1"/>
      <w:tblStyleColBandSize w:val="1"/>
      <w:tblCellMar>
        <w:left w:w="115" w:type="dxa"/>
        <w:right w:w="115" w:type="dxa"/>
      </w:tblCellMar>
    </w:tblPr>
  </w:style>
  <w:style w:type="table" w:customStyle="1" w:styleId="9">
    <w:name w:val="9"/>
    <w:basedOn w:val="TableNormal1"/>
    <w:tblPr>
      <w:tblStyleRowBandSize w:val="1"/>
      <w:tblStyleColBandSize w:val="1"/>
      <w:tblCellMar>
        <w:left w:w="115" w:type="dxa"/>
        <w:right w:w="115" w:type="dxa"/>
      </w:tblCellMar>
    </w:tblPr>
  </w:style>
  <w:style w:type="table" w:customStyle="1" w:styleId="8">
    <w:name w:val="8"/>
    <w:basedOn w:val="TableNormal1"/>
    <w:tblPr>
      <w:tblStyleRowBandSize w:val="1"/>
      <w:tblStyleColBandSize w:val="1"/>
      <w:tblCellMar>
        <w:left w:w="115" w:type="dxa"/>
        <w:right w:w="115" w:type="dxa"/>
      </w:tblCellMar>
    </w:tblPr>
  </w:style>
  <w:style w:type="table" w:customStyle="1" w:styleId="7">
    <w:name w:val="7"/>
    <w:basedOn w:val="TableNormal1"/>
    <w:tblPr>
      <w:tblStyleRowBandSize w:val="1"/>
      <w:tblStyleColBandSize w:val="1"/>
      <w:tblCellMar>
        <w:left w:w="115" w:type="dxa"/>
        <w:right w:w="115" w:type="dxa"/>
      </w:tblCellMar>
    </w:tblPr>
  </w:style>
  <w:style w:type="table" w:customStyle="1" w:styleId="6">
    <w:name w:val="6"/>
    <w:basedOn w:val="TableNormal1"/>
    <w:tblPr>
      <w:tblStyleRowBandSize w:val="1"/>
      <w:tblStyleColBandSize w:val="1"/>
      <w:tblCellMar>
        <w:left w:w="115" w:type="dxa"/>
        <w:right w:w="115" w:type="dxa"/>
      </w:tblCellMar>
    </w:tblPr>
  </w:style>
  <w:style w:type="table" w:customStyle="1" w:styleId="5">
    <w:name w:val="5"/>
    <w:basedOn w:val="TableNormal1"/>
    <w:tblPr>
      <w:tblStyleRowBandSize w:val="1"/>
      <w:tblStyleColBandSize w:val="1"/>
      <w:tblCellMar>
        <w:left w:w="115" w:type="dxa"/>
        <w:right w:w="115" w:type="dxa"/>
      </w:tblCellMar>
    </w:tblPr>
  </w:style>
  <w:style w:type="table" w:customStyle="1" w:styleId="4">
    <w:name w:val="4"/>
    <w:basedOn w:val="TableNormal1"/>
    <w:tblPr>
      <w:tblStyleRowBandSize w:val="1"/>
      <w:tblStyleColBandSize w:val="1"/>
      <w:tblCellMar>
        <w:left w:w="115" w:type="dxa"/>
        <w:right w:w="115" w:type="dxa"/>
      </w:tblCellMar>
    </w:tblPr>
  </w:style>
  <w:style w:type="table" w:customStyle="1" w:styleId="3">
    <w:name w:val="3"/>
    <w:basedOn w:val="TableNormal1"/>
    <w:tblPr>
      <w:tblStyleRowBandSize w:val="1"/>
      <w:tblStyleColBandSize w:val="1"/>
      <w:tblCellMar>
        <w:left w:w="115" w:type="dxa"/>
        <w:right w:w="115" w:type="dxa"/>
      </w:tblCellMar>
    </w:tblPr>
  </w:style>
  <w:style w:type="table" w:customStyle="1" w:styleId="2">
    <w:name w:val="2"/>
    <w:basedOn w:val="TableNormal1"/>
    <w:tblPr>
      <w:tblStyleRowBandSize w:val="1"/>
      <w:tblStyleColBandSize w:val="1"/>
      <w:tblCellMar>
        <w:left w:w="115" w:type="dxa"/>
        <w:right w:w="115" w:type="dxa"/>
      </w:tblCellMar>
    </w:tblPr>
  </w:style>
  <w:style w:type="table" w:customStyle="1" w:styleId="1">
    <w:name w:val="1"/>
    <w:basedOn w:val="TableNormal1"/>
    <w:tblPr>
      <w:tblStyleRowBandSize w:val="1"/>
      <w:tblStyleColBandSize w:val="1"/>
      <w:tblCellMar>
        <w:top w:w="100" w:type="dxa"/>
        <w:left w:w="100" w:type="dxa"/>
        <w:bottom w:w="100" w:type="dxa"/>
        <w:right w:w="100" w:type="dxa"/>
      </w:tblCellMar>
    </w:tblPr>
  </w:style>
  <w:style w:type="character" w:customStyle="1" w:styleId="Ttulo3Car">
    <w:name w:val="Título 3 Car"/>
    <w:basedOn w:val="Fuentedeprrafopredeter"/>
    <w:link w:val="Ttulo3"/>
    <w:uiPriority w:val="9"/>
    <w:rsid w:val="00BC38DF"/>
    <w:rPr>
      <w:b/>
      <w:bCs/>
      <w:szCs w:val="26"/>
      <w:lang w:eastAsia="es-ES"/>
    </w:rPr>
  </w:style>
  <w:style w:type="character" w:customStyle="1" w:styleId="Ttulo4Car">
    <w:name w:val="Título 4 Car"/>
    <w:basedOn w:val="Fuentedeprrafopredeter"/>
    <w:link w:val="Ttulo4"/>
    <w:uiPriority w:val="9"/>
    <w:rsid w:val="00021ADB"/>
    <w:rPr>
      <w:b/>
      <w:szCs w:val="28"/>
      <w:lang w:eastAsia="es-ES"/>
    </w:rPr>
  </w:style>
  <w:style w:type="paragraph" w:customStyle="1" w:styleId="msonormal0">
    <w:name w:val="msonormal"/>
    <w:basedOn w:val="Normal"/>
    <w:rsid w:val="00242EB4"/>
    <w:pPr>
      <w:spacing w:before="100" w:beforeAutospacing="1" w:after="100" w:afterAutospacing="1" w:line="240" w:lineRule="auto"/>
      <w:ind w:firstLine="0"/>
    </w:pPr>
    <w:rPr>
      <w:rFonts w:ascii="Times New Roman" w:eastAsia="Times New Roman" w:hAnsi="Times New Roman" w:cs="Times New Roman"/>
      <w:sz w:val="24"/>
      <w:lang w:val="es-CR" w:eastAsia="es-CR"/>
    </w:rPr>
  </w:style>
  <w:style w:type="paragraph" w:customStyle="1" w:styleId="xl71">
    <w:name w:val="xl71"/>
    <w:basedOn w:val="Normal"/>
    <w:rsid w:val="00242EB4"/>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ind w:firstLine="0"/>
    </w:pPr>
    <w:rPr>
      <w:rFonts w:ascii="Times New Roman" w:eastAsia="Times New Roman" w:hAnsi="Times New Roman" w:cs="Times New Roman"/>
      <w:sz w:val="24"/>
      <w:lang w:val="es-CR" w:eastAsia="es-CR"/>
    </w:rPr>
  </w:style>
  <w:style w:type="paragraph" w:customStyle="1" w:styleId="xl72">
    <w:name w:val="xl72"/>
    <w:basedOn w:val="Normal"/>
    <w:rsid w:val="00242EB4"/>
    <w:pPr>
      <w:pBdr>
        <w:top w:val="single" w:sz="4" w:space="0" w:color="auto"/>
        <w:left w:val="single" w:sz="4" w:space="0" w:color="auto"/>
        <w:bottom w:val="single" w:sz="4" w:space="0" w:color="auto"/>
      </w:pBdr>
      <w:shd w:val="clear" w:color="000000" w:fill="F4B084"/>
      <w:spacing w:before="100" w:beforeAutospacing="1" w:after="100" w:afterAutospacing="1" w:line="240" w:lineRule="auto"/>
      <w:ind w:firstLine="0"/>
      <w:textAlignment w:val="center"/>
    </w:pPr>
    <w:rPr>
      <w:rFonts w:ascii="Times New Roman" w:eastAsia="Times New Roman" w:hAnsi="Times New Roman" w:cs="Times New Roman"/>
      <w:sz w:val="24"/>
      <w:lang w:val="es-CR" w:eastAsia="es-CR"/>
    </w:rPr>
  </w:style>
  <w:style w:type="paragraph" w:customStyle="1" w:styleId="xl73">
    <w:name w:val="xl73"/>
    <w:basedOn w:val="Normal"/>
    <w:rsid w:val="00242EB4"/>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ind w:firstLine="0"/>
      <w:textAlignment w:val="center"/>
    </w:pPr>
    <w:rPr>
      <w:rFonts w:ascii="Times New Roman" w:eastAsia="Times New Roman" w:hAnsi="Times New Roman" w:cs="Times New Roman"/>
      <w:sz w:val="24"/>
      <w:lang w:val="es-CR" w:eastAsia="es-CR"/>
    </w:rPr>
  </w:style>
  <w:style w:type="paragraph" w:customStyle="1" w:styleId="xl74">
    <w:name w:val="xl74"/>
    <w:basedOn w:val="Normal"/>
    <w:rsid w:val="00242EB4"/>
    <w:pPr>
      <w:spacing w:before="100" w:beforeAutospacing="1" w:after="100" w:afterAutospacing="1" w:line="240" w:lineRule="auto"/>
      <w:ind w:firstLine="0"/>
      <w:textAlignment w:val="center"/>
    </w:pPr>
    <w:rPr>
      <w:rFonts w:ascii="Times New Roman" w:eastAsia="Times New Roman" w:hAnsi="Times New Roman" w:cs="Times New Roman"/>
      <w:sz w:val="24"/>
      <w:lang w:val="es-CR" w:eastAsia="es-CR"/>
    </w:rPr>
  </w:style>
  <w:style w:type="paragraph" w:customStyle="1" w:styleId="xl75">
    <w:name w:val="xl75"/>
    <w:basedOn w:val="Normal"/>
    <w:rsid w:val="00242EB4"/>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ind w:firstLine="0"/>
      <w:textAlignment w:val="center"/>
    </w:pPr>
    <w:rPr>
      <w:rFonts w:ascii="Times New Roman" w:eastAsia="Times New Roman" w:hAnsi="Times New Roman" w:cs="Times New Roman"/>
      <w:sz w:val="24"/>
      <w:lang w:val="es-CR" w:eastAsia="es-CR"/>
    </w:rPr>
  </w:style>
  <w:style w:type="paragraph" w:customStyle="1" w:styleId="xl76">
    <w:name w:val="xl76"/>
    <w:basedOn w:val="Normal"/>
    <w:rsid w:val="00242EB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ind w:firstLine="0"/>
      <w:textAlignment w:val="center"/>
    </w:pPr>
    <w:rPr>
      <w:rFonts w:ascii="Times New Roman" w:eastAsia="Times New Roman" w:hAnsi="Times New Roman" w:cs="Times New Roman"/>
      <w:sz w:val="24"/>
      <w:lang w:val="es-CR" w:eastAsia="es-CR"/>
    </w:rPr>
  </w:style>
  <w:style w:type="paragraph" w:customStyle="1" w:styleId="xl77">
    <w:name w:val="xl77"/>
    <w:basedOn w:val="Normal"/>
    <w:rsid w:val="00242EB4"/>
    <w:pPr>
      <w:spacing w:before="100" w:beforeAutospacing="1" w:after="100" w:afterAutospacing="1" w:line="240" w:lineRule="auto"/>
      <w:ind w:firstLine="0"/>
      <w:jc w:val="center"/>
      <w:textAlignment w:val="center"/>
    </w:pPr>
    <w:rPr>
      <w:rFonts w:ascii="Times New Roman" w:eastAsia="Times New Roman" w:hAnsi="Times New Roman" w:cs="Times New Roman"/>
      <w:sz w:val="24"/>
      <w:lang w:val="es-CR" w:eastAsia="es-CR"/>
    </w:rPr>
  </w:style>
  <w:style w:type="paragraph" w:customStyle="1" w:styleId="xl78">
    <w:name w:val="xl78"/>
    <w:basedOn w:val="Normal"/>
    <w:rsid w:val="00242EB4"/>
    <w:pPr>
      <w:spacing w:before="100" w:beforeAutospacing="1" w:after="100" w:afterAutospacing="1" w:line="240" w:lineRule="auto"/>
      <w:ind w:firstLine="0"/>
    </w:pPr>
    <w:rPr>
      <w:rFonts w:ascii="Times New Roman" w:eastAsia="Times New Roman" w:hAnsi="Times New Roman" w:cs="Times New Roman"/>
      <w:sz w:val="24"/>
      <w:lang w:val="es-CR" w:eastAsia="es-CR"/>
    </w:rPr>
  </w:style>
  <w:style w:type="paragraph" w:customStyle="1" w:styleId="xl79">
    <w:name w:val="xl79"/>
    <w:basedOn w:val="Normal"/>
    <w:rsid w:val="00242EB4"/>
    <w:pPr>
      <w:spacing w:before="100" w:beforeAutospacing="1" w:after="100" w:afterAutospacing="1" w:line="240" w:lineRule="auto"/>
      <w:ind w:firstLine="0"/>
      <w:textAlignment w:val="top"/>
    </w:pPr>
    <w:rPr>
      <w:rFonts w:ascii="Times New Roman" w:eastAsia="Times New Roman" w:hAnsi="Times New Roman" w:cs="Times New Roman"/>
      <w:sz w:val="24"/>
      <w:lang w:val="es-CR" w:eastAsia="es-CR"/>
    </w:rPr>
  </w:style>
  <w:style w:type="paragraph" w:customStyle="1" w:styleId="xl80">
    <w:name w:val="xl80"/>
    <w:basedOn w:val="Normal"/>
    <w:rsid w:val="00242EB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4"/>
      <w:lang w:val="es-CR" w:eastAsia="es-CR"/>
    </w:rPr>
  </w:style>
  <w:style w:type="paragraph" w:customStyle="1" w:styleId="xl81">
    <w:name w:val="xl81"/>
    <w:basedOn w:val="Normal"/>
    <w:rsid w:val="00242EB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top"/>
    </w:pPr>
    <w:rPr>
      <w:rFonts w:ascii="Times New Roman" w:eastAsia="Times New Roman" w:hAnsi="Times New Roman" w:cs="Times New Roman"/>
      <w:sz w:val="24"/>
      <w:lang w:val="es-CR" w:eastAsia="es-CR"/>
    </w:rPr>
  </w:style>
  <w:style w:type="paragraph" w:customStyle="1" w:styleId="xl82">
    <w:name w:val="xl82"/>
    <w:basedOn w:val="Normal"/>
    <w:rsid w:val="00242EB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ind w:firstLine="0"/>
    </w:pPr>
    <w:rPr>
      <w:rFonts w:ascii="Times New Roman" w:eastAsia="Times New Roman" w:hAnsi="Times New Roman" w:cs="Times New Roman"/>
      <w:sz w:val="24"/>
      <w:lang w:val="es-CR" w:eastAsia="es-CR"/>
    </w:rPr>
  </w:style>
  <w:style w:type="paragraph" w:customStyle="1" w:styleId="xl83">
    <w:name w:val="xl83"/>
    <w:basedOn w:val="Normal"/>
    <w:rsid w:val="00242EB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4"/>
      <w:lang w:val="es-CR" w:eastAsia="es-CR"/>
    </w:rPr>
  </w:style>
  <w:style w:type="paragraph" w:customStyle="1" w:styleId="xl84">
    <w:name w:val="xl84"/>
    <w:basedOn w:val="Normal"/>
    <w:rsid w:val="00242EB4"/>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ind w:firstLine="0"/>
    </w:pPr>
    <w:rPr>
      <w:rFonts w:ascii="Times New Roman" w:eastAsia="Times New Roman" w:hAnsi="Times New Roman" w:cs="Times New Roman"/>
      <w:sz w:val="24"/>
      <w:lang w:val="es-CR" w:eastAsia="es-CR"/>
    </w:rPr>
  </w:style>
  <w:style w:type="paragraph" w:customStyle="1" w:styleId="xl85">
    <w:name w:val="xl85"/>
    <w:basedOn w:val="Normal"/>
    <w:rsid w:val="00242EB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ascii="Times New Roman" w:eastAsia="Times New Roman" w:hAnsi="Times New Roman" w:cs="Times New Roman"/>
      <w:sz w:val="24"/>
      <w:lang w:val="es-CR" w:eastAsia="es-CR"/>
    </w:rPr>
  </w:style>
  <w:style w:type="paragraph" w:customStyle="1" w:styleId="xl86">
    <w:name w:val="xl86"/>
    <w:basedOn w:val="Normal"/>
    <w:rsid w:val="00242EB4"/>
    <w:pPr>
      <w:spacing w:before="100" w:beforeAutospacing="1" w:after="100" w:afterAutospacing="1" w:line="240" w:lineRule="auto"/>
      <w:ind w:firstLine="0"/>
      <w:textAlignment w:val="top"/>
    </w:pPr>
    <w:rPr>
      <w:rFonts w:ascii="Times New Roman" w:eastAsia="Times New Roman" w:hAnsi="Times New Roman" w:cs="Times New Roman"/>
      <w:sz w:val="24"/>
      <w:lang w:val="es-CR" w:eastAsia="es-CR"/>
    </w:rPr>
  </w:style>
  <w:style w:type="paragraph" w:customStyle="1" w:styleId="xl87">
    <w:name w:val="xl87"/>
    <w:basedOn w:val="Normal"/>
    <w:rsid w:val="00242EB4"/>
    <w:pPr>
      <w:pBdr>
        <w:top w:val="single" w:sz="4" w:space="0" w:color="auto"/>
        <w:left w:val="single" w:sz="4" w:space="11" w:color="auto"/>
        <w:bottom w:val="single" w:sz="4" w:space="0" w:color="auto"/>
        <w:right w:val="single" w:sz="4" w:space="0" w:color="auto"/>
      </w:pBdr>
      <w:spacing w:before="100" w:beforeAutospacing="1" w:after="100" w:afterAutospacing="1" w:line="240" w:lineRule="auto"/>
      <w:ind w:firstLineChars="100" w:firstLine="0"/>
      <w:textAlignment w:val="center"/>
    </w:pPr>
    <w:rPr>
      <w:rFonts w:ascii="Times New Roman" w:eastAsia="Times New Roman" w:hAnsi="Times New Roman" w:cs="Times New Roman"/>
      <w:sz w:val="24"/>
      <w:lang w:val="es-CR" w:eastAsia="es-CR"/>
    </w:rPr>
  </w:style>
  <w:style w:type="paragraph" w:customStyle="1" w:styleId="xl88">
    <w:name w:val="xl88"/>
    <w:basedOn w:val="Normal"/>
    <w:rsid w:val="00242EB4"/>
    <w:pPr>
      <w:pBdr>
        <w:bottom w:val="single" w:sz="4" w:space="0" w:color="auto"/>
      </w:pBdr>
      <w:shd w:val="clear" w:color="000000" w:fill="FF6824"/>
      <w:spacing w:before="100" w:beforeAutospacing="1" w:after="100" w:afterAutospacing="1" w:line="240" w:lineRule="auto"/>
      <w:ind w:firstLine="0"/>
      <w:textAlignment w:val="center"/>
    </w:pPr>
    <w:rPr>
      <w:rFonts w:ascii="Times New Roman" w:eastAsia="Times New Roman" w:hAnsi="Times New Roman" w:cs="Times New Roman"/>
      <w:sz w:val="24"/>
      <w:lang w:val="es-CR" w:eastAsia="es-CR"/>
    </w:rPr>
  </w:style>
  <w:style w:type="paragraph" w:customStyle="1" w:styleId="xl89">
    <w:name w:val="xl89"/>
    <w:basedOn w:val="Normal"/>
    <w:rsid w:val="00242EB4"/>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ind w:firstLine="0"/>
      <w:jc w:val="center"/>
      <w:textAlignment w:val="center"/>
    </w:pPr>
    <w:rPr>
      <w:rFonts w:ascii="Times New Roman" w:eastAsia="Times New Roman" w:hAnsi="Times New Roman" w:cs="Times New Roman"/>
      <w:sz w:val="24"/>
      <w:lang w:val="es-CR" w:eastAsia="es-CR"/>
    </w:rPr>
  </w:style>
  <w:style w:type="paragraph" w:customStyle="1" w:styleId="xl90">
    <w:name w:val="xl90"/>
    <w:basedOn w:val="Normal"/>
    <w:rsid w:val="00242EB4"/>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ind w:firstLine="0"/>
      <w:jc w:val="center"/>
      <w:textAlignment w:val="center"/>
    </w:pPr>
    <w:rPr>
      <w:rFonts w:ascii="Times New Roman" w:eastAsia="Times New Roman" w:hAnsi="Times New Roman" w:cs="Times New Roman"/>
      <w:sz w:val="24"/>
      <w:lang w:val="es-CR" w:eastAsia="es-CR"/>
    </w:rPr>
  </w:style>
  <w:style w:type="paragraph" w:customStyle="1" w:styleId="xl91">
    <w:name w:val="xl91"/>
    <w:basedOn w:val="Normal"/>
    <w:rsid w:val="00242EB4"/>
    <w:pPr>
      <w:pBdr>
        <w:top w:val="single" w:sz="4" w:space="0" w:color="auto"/>
        <w:left w:val="single" w:sz="4" w:space="0" w:color="auto"/>
        <w:right w:val="single" w:sz="4" w:space="0" w:color="auto"/>
      </w:pBdr>
      <w:shd w:val="clear" w:color="000000" w:fill="F4B084"/>
      <w:spacing w:before="100" w:beforeAutospacing="1" w:after="100" w:afterAutospacing="1" w:line="240" w:lineRule="auto"/>
      <w:ind w:firstLine="0"/>
      <w:jc w:val="center"/>
      <w:textAlignment w:val="center"/>
    </w:pPr>
    <w:rPr>
      <w:rFonts w:ascii="Times New Roman" w:eastAsia="Times New Roman" w:hAnsi="Times New Roman" w:cs="Times New Roman"/>
      <w:sz w:val="24"/>
      <w:lang w:val="es-CR" w:eastAsia="es-CR"/>
    </w:rPr>
  </w:style>
  <w:style w:type="paragraph" w:customStyle="1" w:styleId="xl92">
    <w:name w:val="xl92"/>
    <w:basedOn w:val="Normal"/>
    <w:rsid w:val="00242EB4"/>
    <w:pPr>
      <w:pBdr>
        <w:left w:val="single" w:sz="4" w:space="0" w:color="auto"/>
        <w:bottom w:val="single" w:sz="4" w:space="0" w:color="auto"/>
        <w:right w:val="single" w:sz="4" w:space="0" w:color="auto"/>
      </w:pBdr>
      <w:shd w:val="clear" w:color="000000" w:fill="F4B084"/>
      <w:spacing w:before="100" w:beforeAutospacing="1" w:after="100" w:afterAutospacing="1" w:line="240" w:lineRule="auto"/>
      <w:ind w:firstLine="0"/>
      <w:jc w:val="center"/>
      <w:textAlignment w:val="center"/>
    </w:pPr>
    <w:rPr>
      <w:rFonts w:ascii="Times New Roman" w:eastAsia="Times New Roman" w:hAnsi="Times New Roman" w:cs="Times New Roman"/>
      <w:sz w:val="24"/>
      <w:lang w:val="es-CR" w:eastAsia="es-CR"/>
    </w:rPr>
  </w:style>
  <w:style w:type="paragraph" w:customStyle="1" w:styleId="xl93">
    <w:name w:val="xl93"/>
    <w:basedOn w:val="Normal"/>
    <w:rsid w:val="00242EB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ind w:firstLine="0"/>
      <w:textAlignment w:val="center"/>
    </w:pPr>
    <w:rPr>
      <w:rFonts w:ascii="Times New Roman" w:eastAsia="Times New Roman" w:hAnsi="Times New Roman" w:cs="Times New Roman"/>
      <w:sz w:val="18"/>
      <w:szCs w:val="18"/>
      <w:lang w:val="es-CR" w:eastAsia="es-CR"/>
    </w:rPr>
  </w:style>
  <w:style w:type="paragraph" w:customStyle="1" w:styleId="xl94">
    <w:name w:val="xl94"/>
    <w:basedOn w:val="Normal"/>
    <w:rsid w:val="00242EB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ind w:firstLine="0"/>
      <w:textAlignment w:val="center"/>
    </w:pPr>
    <w:rPr>
      <w:rFonts w:ascii="Times New Roman" w:eastAsia="Times New Roman" w:hAnsi="Times New Roman" w:cs="Times New Roman"/>
      <w:sz w:val="18"/>
      <w:szCs w:val="18"/>
      <w:lang w:val="es-CR" w:eastAsia="es-CR"/>
    </w:rPr>
  </w:style>
  <w:style w:type="paragraph" w:customStyle="1" w:styleId="xl95">
    <w:name w:val="xl95"/>
    <w:basedOn w:val="Normal"/>
    <w:rsid w:val="00242EB4"/>
    <w:pPr>
      <w:pBdr>
        <w:top w:val="single" w:sz="4" w:space="0" w:color="auto"/>
        <w:left w:val="single" w:sz="4" w:space="0" w:color="auto"/>
        <w:bottom w:val="single" w:sz="4" w:space="0" w:color="auto"/>
        <w:right w:val="single" w:sz="4" w:space="0" w:color="auto"/>
      </w:pBdr>
      <w:shd w:val="clear" w:color="000000" w:fill="E99226"/>
      <w:spacing w:before="100" w:beforeAutospacing="1" w:after="100" w:afterAutospacing="1" w:line="240" w:lineRule="auto"/>
      <w:ind w:firstLine="0"/>
      <w:textAlignment w:val="center"/>
    </w:pPr>
    <w:rPr>
      <w:rFonts w:ascii="Times New Roman" w:eastAsia="Times New Roman" w:hAnsi="Times New Roman" w:cs="Times New Roman"/>
      <w:color w:val="E99226"/>
      <w:sz w:val="24"/>
      <w:lang w:val="es-CR" w:eastAsia="es-CR"/>
    </w:rPr>
  </w:style>
  <w:style w:type="paragraph" w:customStyle="1" w:styleId="xl96">
    <w:name w:val="xl96"/>
    <w:basedOn w:val="Normal"/>
    <w:rsid w:val="00242EB4"/>
    <w:pPr>
      <w:pBdr>
        <w:top w:val="single" w:sz="4" w:space="0" w:color="auto"/>
        <w:left w:val="single" w:sz="4" w:space="0" w:color="auto"/>
        <w:right w:val="single" w:sz="4" w:space="0" w:color="auto"/>
      </w:pBdr>
      <w:shd w:val="clear" w:color="000000" w:fill="E99226"/>
      <w:spacing w:before="100" w:beforeAutospacing="1" w:after="100" w:afterAutospacing="1" w:line="240" w:lineRule="auto"/>
      <w:ind w:firstLine="0"/>
      <w:textAlignment w:val="center"/>
    </w:pPr>
    <w:rPr>
      <w:rFonts w:ascii="Times New Roman" w:eastAsia="Times New Roman" w:hAnsi="Times New Roman" w:cs="Times New Roman"/>
      <w:color w:val="E99226"/>
      <w:sz w:val="24"/>
      <w:lang w:val="es-CR" w:eastAsia="es-CR"/>
    </w:rPr>
  </w:style>
  <w:style w:type="paragraph" w:customStyle="1" w:styleId="xl97">
    <w:name w:val="xl97"/>
    <w:basedOn w:val="Normal"/>
    <w:rsid w:val="00242EB4"/>
    <w:pPr>
      <w:pBdr>
        <w:left w:val="single" w:sz="4" w:space="0" w:color="auto"/>
        <w:right w:val="single" w:sz="4" w:space="0" w:color="auto"/>
      </w:pBdr>
      <w:shd w:val="clear" w:color="000000" w:fill="E99226"/>
      <w:spacing w:before="100" w:beforeAutospacing="1" w:after="100" w:afterAutospacing="1" w:line="240" w:lineRule="auto"/>
      <w:ind w:firstLine="0"/>
      <w:textAlignment w:val="center"/>
    </w:pPr>
    <w:rPr>
      <w:rFonts w:ascii="Times New Roman" w:eastAsia="Times New Roman" w:hAnsi="Times New Roman" w:cs="Times New Roman"/>
      <w:color w:val="E99226"/>
      <w:sz w:val="24"/>
      <w:lang w:val="es-CR" w:eastAsia="es-CR"/>
    </w:rPr>
  </w:style>
  <w:style w:type="paragraph" w:customStyle="1" w:styleId="xl98">
    <w:name w:val="xl98"/>
    <w:basedOn w:val="Normal"/>
    <w:rsid w:val="00242EB4"/>
    <w:pPr>
      <w:pBdr>
        <w:left w:val="single" w:sz="4" w:space="0" w:color="auto"/>
        <w:bottom w:val="single" w:sz="4" w:space="0" w:color="auto"/>
        <w:right w:val="single" w:sz="4" w:space="0" w:color="auto"/>
      </w:pBdr>
      <w:shd w:val="clear" w:color="000000" w:fill="E99226"/>
      <w:spacing w:before="100" w:beforeAutospacing="1" w:after="100" w:afterAutospacing="1" w:line="240" w:lineRule="auto"/>
      <w:ind w:firstLine="0"/>
      <w:textAlignment w:val="center"/>
    </w:pPr>
    <w:rPr>
      <w:rFonts w:ascii="Times New Roman" w:eastAsia="Times New Roman" w:hAnsi="Times New Roman" w:cs="Times New Roman"/>
      <w:color w:val="E99226"/>
      <w:sz w:val="24"/>
      <w:lang w:val="es-CR" w:eastAsia="es-CR"/>
    </w:rPr>
  </w:style>
  <w:style w:type="paragraph" w:customStyle="1" w:styleId="xl99">
    <w:name w:val="xl99"/>
    <w:basedOn w:val="Normal"/>
    <w:rsid w:val="00242EB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ind w:firstLine="0"/>
      <w:textAlignment w:val="center"/>
    </w:pPr>
    <w:rPr>
      <w:rFonts w:ascii="Times New Roman" w:eastAsia="Times New Roman" w:hAnsi="Times New Roman" w:cs="Times New Roman"/>
      <w:sz w:val="16"/>
      <w:szCs w:val="16"/>
      <w:lang w:val="es-CR" w:eastAsia="es-CR"/>
    </w:rPr>
  </w:style>
  <w:style w:type="paragraph" w:customStyle="1" w:styleId="xl100">
    <w:name w:val="xl100"/>
    <w:basedOn w:val="Normal"/>
    <w:rsid w:val="00242EB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ind w:firstLine="0"/>
      <w:textAlignment w:val="center"/>
    </w:pPr>
    <w:rPr>
      <w:rFonts w:ascii="Times New Roman" w:eastAsia="Times New Roman" w:hAnsi="Times New Roman" w:cs="Times New Roman"/>
      <w:sz w:val="16"/>
      <w:szCs w:val="16"/>
      <w:lang w:val="es-CR" w:eastAsia="es-CR"/>
    </w:rPr>
  </w:style>
  <w:style w:type="paragraph" w:customStyle="1" w:styleId="xl101">
    <w:name w:val="xl101"/>
    <w:basedOn w:val="Normal"/>
    <w:rsid w:val="00242EB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ind w:firstLine="0"/>
      <w:textAlignment w:val="center"/>
    </w:pPr>
    <w:rPr>
      <w:rFonts w:ascii="Times New Roman" w:eastAsia="Times New Roman" w:hAnsi="Times New Roman" w:cs="Times New Roman"/>
      <w:sz w:val="24"/>
      <w:lang w:val="es-CR" w:eastAsia="es-CR"/>
    </w:rPr>
  </w:style>
  <w:style w:type="paragraph" w:customStyle="1" w:styleId="font5">
    <w:name w:val="font5"/>
    <w:basedOn w:val="Normal"/>
    <w:rsid w:val="006358A3"/>
    <w:pPr>
      <w:spacing w:before="100" w:beforeAutospacing="1" w:after="100" w:afterAutospacing="1" w:line="240" w:lineRule="auto"/>
      <w:ind w:firstLine="0"/>
    </w:pPr>
    <w:rPr>
      <w:rFonts w:ascii="Calibri" w:eastAsia="Times New Roman" w:hAnsi="Calibri" w:cs="Calibri"/>
      <w:color w:val="000000"/>
      <w:sz w:val="18"/>
      <w:szCs w:val="18"/>
      <w:lang w:val="es-CR" w:eastAsia="es-CR"/>
    </w:rPr>
  </w:style>
  <w:style w:type="paragraph" w:customStyle="1" w:styleId="font6">
    <w:name w:val="font6"/>
    <w:basedOn w:val="Normal"/>
    <w:rsid w:val="006358A3"/>
    <w:pPr>
      <w:spacing w:before="100" w:beforeAutospacing="1" w:after="100" w:afterAutospacing="1" w:line="240" w:lineRule="auto"/>
      <w:ind w:firstLine="0"/>
    </w:pPr>
    <w:rPr>
      <w:rFonts w:ascii="Calibri" w:eastAsia="Times New Roman" w:hAnsi="Calibri" w:cs="Calibri"/>
      <w:b/>
      <w:bCs/>
      <w:color w:val="000000"/>
      <w:sz w:val="18"/>
      <w:szCs w:val="18"/>
      <w:lang w:val="es-CR" w:eastAsia="es-CR"/>
    </w:rPr>
  </w:style>
  <w:style w:type="character" w:customStyle="1" w:styleId="Ttulo5Car">
    <w:name w:val="Título 5 Car"/>
    <w:basedOn w:val="Fuentedeprrafopredeter"/>
    <w:link w:val="Ttulo5"/>
    <w:uiPriority w:val="9"/>
    <w:rsid w:val="0003613B"/>
    <w:rPr>
      <w:b/>
      <w:bCs/>
      <w:szCs w:val="24"/>
      <w:lang w:eastAsia="es-ES"/>
    </w:rPr>
  </w:style>
  <w:style w:type="character" w:customStyle="1" w:styleId="Ttulo1Car">
    <w:name w:val="Título 1 Car"/>
    <w:basedOn w:val="Fuentedeprrafopredeter"/>
    <w:link w:val="Ttulo1"/>
    <w:uiPriority w:val="9"/>
    <w:rsid w:val="000F7B71"/>
    <w:rPr>
      <w:b/>
      <w:bCs/>
      <w:szCs w:val="24"/>
      <w:lang w:eastAsia="es-ES"/>
    </w:rPr>
  </w:style>
  <w:style w:type="paragraph" w:customStyle="1" w:styleId="APA">
    <w:name w:val="APA"/>
    <w:basedOn w:val="Figura1"/>
    <w:link w:val="APACar"/>
    <w:qFormat/>
    <w:rsid w:val="00D81025"/>
    <w:pPr>
      <w:ind w:firstLine="720"/>
    </w:pPr>
  </w:style>
  <w:style w:type="character" w:customStyle="1" w:styleId="APACar">
    <w:name w:val="APA Car"/>
    <w:basedOn w:val="Figura1Car"/>
    <w:link w:val="APA"/>
    <w:rsid w:val="00D81025"/>
    <w:rPr>
      <w:szCs w:val="24"/>
      <w:lang w:eastAsia="es-ES"/>
    </w:rPr>
  </w:style>
  <w:style w:type="character" w:customStyle="1" w:styleId="Ttulo6Car">
    <w:name w:val="Título 6 Car"/>
    <w:basedOn w:val="Fuentedeprrafopredeter"/>
    <w:link w:val="Ttulo6"/>
    <w:uiPriority w:val="9"/>
    <w:semiHidden/>
    <w:rsid w:val="00A957BE"/>
    <w:rPr>
      <w:b/>
      <w:bCs/>
      <w:szCs w:val="24"/>
      <w:lang w:eastAsia="es-ES"/>
    </w:rPr>
  </w:style>
  <w:style w:type="character" w:customStyle="1" w:styleId="Ttulo7Car">
    <w:name w:val="Título 7 Car"/>
    <w:basedOn w:val="Fuentedeprrafopredeter"/>
    <w:link w:val="Ttulo7"/>
    <w:rsid w:val="00A957BE"/>
    <w:rPr>
      <w:b/>
      <w:bCs/>
      <w:szCs w:val="24"/>
      <w:lang w:eastAsia="es-ES"/>
    </w:rPr>
  </w:style>
  <w:style w:type="character" w:customStyle="1" w:styleId="Ttulo8Car">
    <w:name w:val="Título 8 Car"/>
    <w:basedOn w:val="Fuentedeprrafopredeter"/>
    <w:link w:val="Ttulo8"/>
    <w:rsid w:val="00A957BE"/>
    <w:rPr>
      <w:b/>
      <w:bCs/>
      <w:szCs w:val="24"/>
      <w:lang w:eastAsia="es-ES"/>
    </w:rPr>
  </w:style>
  <w:style w:type="character" w:customStyle="1" w:styleId="Ttulo9Car">
    <w:name w:val="Título 9 Car"/>
    <w:basedOn w:val="Fuentedeprrafopredeter"/>
    <w:link w:val="Ttulo9"/>
    <w:rsid w:val="00A957BE"/>
    <w:rPr>
      <w:b/>
      <w:bCs/>
      <w:szCs w:val="24"/>
      <w:u w:val="single"/>
      <w:lang w:eastAsia="es-ES"/>
    </w:rPr>
  </w:style>
  <w:style w:type="character" w:customStyle="1" w:styleId="TtuloCar">
    <w:name w:val="Título Car"/>
    <w:basedOn w:val="Fuentedeprrafopredeter"/>
    <w:link w:val="Ttulo"/>
    <w:uiPriority w:val="10"/>
    <w:rsid w:val="00A957BE"/>
    <w:rPr>
      <w:b/>
      <w:sz w:val="72"/>
      <w:szCs w:val="72"/>
      <w:lang w:eastAsia="es-ES"/>
    </w:rPr>
  </w:style>
  <w:style w:type="character" w:customStyle="1" w:styleId="TextoindependienteCar">
    <w:name w:val="Texto independiente Car"/>
    <w:basedOn w:val="Fuentedeprrafopredeter"/>
    <w:link w:val="Textoindependiente"/>
    <w:semiHidden/>
    <w:rsid w:val="00A957BE"/>
    <w:rPr>
      <w:szCs w:val="24"/>
      <w:lang w:eastAsia="es-ES"/>
    </w:rPr>
  </w:style>
  <w:style w:type="character" w:customStyle="1" w:styleId="Textoindependiente2Car">
    <w:name w:val="Texto independiente 2 Car"/>
    <w:basedOn w:val="Fuentedeprrafopredeter"/>
    <w:link w:val="Textoindependiente2"/>
    <w:semiHidden/>
    <w:rsid w:val="00A957BE"/>
    <w:rPr>
      <w:b/>
      <w:bCs/>
      <w:sz w:val="40"/>
      <w:szCs w:val="24"/>
      <w:lang w:eastAsia="es-ES"/>
    </w:rPr>
  </w:style>
  <w:style w:type="character" w:customStyle="1" w:styleId="Textoindependiente3Car">
    <w:name w:val="Texto independiente 3 Car"/>
    <w:basedOn w:val="Fuentedeprrafopredeter"/>
    <w:link w:val="Textoindependiente3"/>
    <w:semiHidden/>
    <w:rsid w:val="00A957BE"/>
    <w:rPr>
      <w:b/>
      <w:spacing w:val="-3"/>
      <w:szCs w:val="20"/>
      <w:lang w:val="es-ES_tradnl" w:eastAsia="es-ES"/>
    </w:rPr>
  </w:style>
  <w:style w:type="character" w:customStyle="1" w:styleId="SangradetextonormalCar">
    <w:name w:val="Sangría de texto normal Car"/>
    <w:basedOn w:val="Fuentedeprrafopredeter"/>
    <w:link w:val="Sangradetextonormal"/>
    <w:semiHidden/>
    <w:rsid w:val="00A957BE"/>
    <w:rPr>
      <w:color w:val="000000"/>
      <w:szCs w:val="16"/>
      <w:lang w:eastAsia="es-ES"/>
    </w:rPr>
  </w:style>
  <w:style w:type="character" w:customStyle="1" w:styleId="Sangra2detindependienteCar">
    <w:name w:val="Sangría 2 de t. independiente Car"/>
    <w:basedOn w:val="Fuentedeprrafopredeter"/>
    <w:link w:val="Sangra2detindependiente"/>
    <w:semiHidden/>
    <w:rsid w:val="00A957BE"/>
    <w:rPr>
      <w:szCs w:val="24"/>
      <w:lang w:val="es-ES_tradnl" w:eastAsia="es-ES"/>
    </w:rPr>
  </w:style>
  <w:style w:type="character" w:customStyle="1" w:styleId="Sangra3detindependienteCar">
    <w:name w:val="Sangría 3 de t. independiente Car"/>
    <w:basedOn w:val="Fuentedeprrafopredeter"/>
    <w:link w:val="Sangra3detindependiente"/>
    <w:semiHidden/>
    <w:rsid w:val="00A957BE"/>
    <w:rPr>
      <w:szCs w:val="24"/>
      <w:lang w:eastAsia="es-ES"/>
    </w:rPr>
  </w:style>
  <w:style w:type="character" w:customStyle="1" w:styleId="MapadeldocumentoCar">
    <w:name w:val="Mapa del documento Car"/>
    <w:basedOn w:val="Fuentedeprrafopredeter"/>
    <w:link w:val="Mapadeldocumento"/>
    <w:semiHidden/>
    <w:rsid w:val="00A957BE"/>
    <w:rPr>
      <w:rFonts w:ascii="Tahoma" w:hAnsi="Tahoma" w:cs="Tahoma"/>
      <w:szCs w:val="20"/>
      <w:shd w:val="clear" w:color="auto" w:fill="000080"/>
      <w:lang w:val="es-CR" w:eastAsia="es-ES"/>
    </w:rPr>
  </w:style>
  <w:style w:type="character" w:customStyle="1" w:styleId="TextonotapieCar">
    <w:name w:val="Texto nota pie Car"/>
    <w:basedOn w:val="Fuentedeprrafopredeter"/>
    <w:link w:val="Textonotapie"/>
    <w:semiHidden/>
    <w:rsid w:val="00A957BE"/>
    <w:rPr>
      <w:sz w:val="20"/>
      <w:szCs w:val="20"/>
      <w:lang w:eastAsia="es-ES"/>
    </w:rPr>
  </w:style>
  <w:style w:type="character" w:customStyle="1" w:styleId="SubttuloCar">
    <w:name w:val="Subtítulo Car"/>
    <w:basedOn w:val="Fuentedeprrafopredeter"/>
    <w:link w:val="Subttulo"/>
    <w:uiPriority w:val="11"/>
    <w:rsid w:val="00A957BE"/>
    <w:rPr>
      <w:rFonts w:ascii="Georgia" w:eastAsia="Georgia" w:hAnsi="Georgia" w:cs="Georgia"/>
      <w:i/>
      <w:color w:val="666666"/>
      <w:sz w:val="48"/>
      <w:szCs w:val="4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6389">
      <w:bodyDiv w:val="1"/>
      <w:marLeft w:val="0"/>
      <w:marRight w:val="0"/>
      <w:marTop w:val="0"/>
      <w:marBottom w:val="0"/>
      <w:divBdr>
        <w:top w:val="none" w:sz="0" w:space="0" w:color="auto"/>
        <w:left w:val="none" w:sz="0" w:space="0" w:color="auto"/>
        <w:bottom w:val="none" w:sz="0" w:space="0" w:color="auto"/>
        <w:right w:val="none" w:sz="0" w:space="0" w:color="auto"/>
      </w:divBdr>
    </w:div>
    <w:div w:id="21323979">
      <w:bodyDiv w:val="1"/>
      <w:marLeft w:val="0"/>
      <w:marRight w:val="0"/>
      <w:marTop w:val="0"/>
      <w:marBottom w:val="0"/>
      <w:divBdr>
        <w:top w:val="none" w:sz="0" w:space="0" w:color="auto"/>
        <w:left w:val="none" w:sz="0" w:space="0" w:color="auto"/>
        <w:bottom w:val="none" w:sz="0" w:space="0" w:color="auto"/>
        <w:right w:val="none" w:sz="0" w:space="0" w:color="auto"/>
      </w:divBdr>
    </w:div>
    <w:div w:id="27537665">
      <w:bodyDiv w:val="1"/>
      <w:marLeft w:val="0"/>
      <w:marRight w:val="0"/>
      <w:marTop w:val="0"/>
      <w:marBottom w:val="0"/>
      <w:divBdr>
        <w:top w:val="none" w:sz="0" w:space="0" w:color="auto"/>
        <w:left w:val="none" w:sz="0" w:space="0" w:color="auto"/>
        <w:bottom w:val="none" w:sz="0" w:space="0" w:color="auto"/>
        <w:right w:val="none" w:sz="0" w:space="0" w:color="auto"/>
      </w:divBdr>
    </w:div>
    <w:div w:id="33584258">
      <w:bodyDiv w:val="1"/>
      <w:marLeft w:val="0"/>
      <w:marRight w:val="0"/>
      <w:marTop w:val="0"/>
      <w:marBottom w:val="0"/>
      <w:divBdr>
        <w:top w:val="none" w:sz="0" w:space="0" w:color="auto"/>
        <w:left w:val="none" w:sz="0" w:space="0" w:color="auto"/>
        <w:bottom w:val="none" w:sz="0" w:space="0" w:color="auto"/>
        <w:right w:val="none" w:sz="0" w:space="0" w:color="auto"/>
      </w:divBdr>
    </w:div>
    <w:div w:id="34349685">
      <w:bodyDiv w:val="1"/>
      <w:marLeft w:val="0"/>
      <w:marRight w:val="0"/>
      <w:marTop w:val="0"/>
      <w:marBottom w:val="0"/>
      <w:divBdr>
        <w:top w:val="none" w:sz="0" w:space="0" w:color="auto"/>
        <w:left w:val="none" w:sz="0" w:space="0" w:color="auto"/>
        <w:bottom w:val="none" w:sz="0" w:space="0" w:color="auto"/>
        <w:right w:val="none" w:sz="0" w:space="0" w:color="auto"/>
      </w:divBdr>
    </w:div>
    <w:div w:id="40524146">
      <w:bodyDiv w:val="1"/>
      <w:marLeft w:val="0"/>
      <w:marRight w:val="0"/>
      <w:marTop w:val="0"/>
      <w:marBottom w:val="0"/>
      <w:divBdr>
        <w:top w:val="none" w:sz="0" w:space="0" w:color="auto"/>
        <w:left w:val="none" w:sz="0" w:space="0" w:color="auto"/>
        <w:bottom w:val="none" w:sz="0" w:space="0" w:color="auto"/>
        <w:right w:val="none" w:sz="0" w:space="0" w:color="auto"/>
      </w:divBdr>
    </w:div>
    <w:div w:id="40830074">
      <w:bodyDiv w:val="1"/>
      <w:marLeft w:val="0"/>
      <w:marRight w:val="0"/>
      <w:marTop w:val="0"/>
      <w:marBottom w:val="0"/>
      <w:divBdr>
        <w:top w:val="none" w:sz="0" w:space="0" w:color="auto"/>
        <w:left w:val="none" w:sz="0" w:space="0" w:color="auto"/>
        <w:bottom w:val="none" w:sz="0" w:space="0" w:color="auto"/>
        <w:right w:val="none" w:sz="0" w:space="0" w:color="auto"/>
      </w:divBdr>
    </w:div>
    <w:div w:id="43725412">
      <w:bodyDiv w:val="1"/>
      <w:marLeft w:val="0"/>
      <w:marRight w:val="0"/>
      <w:marTop w:val="0"/>
      <w:marBottom w:val="0"/>
      <w:divBdr>
        <w:top w:val="none" w:sz="0" w:space="0" w:color="auto"/>
        <w:left w:val="none" w:sz="0" w:space="0" w:color="auto"/>
        <w:bottom w:val="none" w:sz="0" w:space="0" w:color="auto"/>
        <w:right w:val="none" w:sz="0" w:space="0" w:color="auto"/>
      </w:divBdr>
    </w:div>
    <w:div w:id="56826060">
      <w:bodyDiv w:val="1"/>
      <w:marLeft w:val="0"/>
      <w:marRight w:val="0"/>
      <w:marTop w:val="0"/>
      <w:marBottom w:val="0"/>
      <w:divBdr>
        <w:top w:val="none" w:sz="0" w:space="0" w:color="auto"/>
        <w:left w:val="none" w:sz="0" w:space="0" w:color="auto"/>
        <w:bottom w:val="none" w:sz="0" w:space="0" w:color="auto"/>
        <w:right w:val="none" w:sz="0" w:space="0" w:color="auto"/>
      </w:divBdr>
    </w:div>
    <w:div w:id="72777307">
      <w:bodyDiv w:val="1"/>
      <w:marLeft w:val="0"/>
      <w:marRight w:val="0"/>
      <w:marTop w:val="0"/>
      <w:marBottom w:val="0"/>
      <w:divBdr>
        <w:top w:val="none" w:sz="0" w:space="0" w:color="auto"/>
        <w:left w:val="none" w:sz="0" w:space="0" w:color="auto"/>
        <w:bottom w:val="none" w:sz="0" w:space="0" w:color="auto"/>
        <w:right w:val="none" w:sz="0" w:space="0" w:color="auto"/>
      </w:divBdr>
    </w:div>
    <w:div w:id="73666961">
      <w:bodyDiv w:val="1"/>
      <w:marLeft w:val="0"/>
      <w:marRight w:val="0"/>
      <w:marTop w:val="0"/>
      <w:marBottom w:val="0"/>
      <w:divBdr>
        <w:top w:val="none" w:sz="0" w:space="0" w:color="auto"/>
        <w:left w:val="none" w:sz="0" w:space="0" w:color="auto"/>
        <w:bottom w:val="none" w:sz="0" w:space="0" w:color="auto"/>
        <w:right w:val="none" w:sz="0" w:space="0" w:color="auto"/>
      </w:divBdr>
    </w:div>
    <w:div w:id="78142563">
      <w:bodyDiv w:val="1"/>
      <w:marLeft w:val="0"/>
      <w:marRight w:val="0"/>
      <w:marTop w:val="0"/>
      <w:marBottom w:val="0"/>
      <w:divBdr>
        <w:top w:val="none" w:sz="0" w:space="0" w:color="auto"/>
        <w:left w:val="none" w:sz="0" w:space="0" w:color="auto"/>
        <w:bottom w:val="none" w:sz="0" w:space="0" w:color="auto"/>
        <w:right w:val="none" w:sz="0" w:space="0" w:color="auto"/>
      </w:divBdr>
    </w:div>
    <w:div w:id="86316071">
      <w:bodyDiv w:val="1"/>
      <w:marLeft w:val="0"/>
      <w:marRight w:val="0"/>
      <w:marTop w:val="0"/>
      <w:marBottom w:val="0"/>
      <w:divBdr>
        <w:top w:val="none" w:sz="0" w:space="0" w:color="auto"/>
        <w:left w:val="none" w:sz="0" w:space="0" w:color="auto"/>
        <w:bottom w:val="none" w:sz="0" w:space="0" w:color="auto"/>
        <w:right w:val="none" w:sz="0" w:space="0" w:color="auto"/>
      </w:divBdr>
    </w:div>
    <w:div w:id="86539209">
      <w:bodyDiv w:val="1"/>
      <w:marLeft w:val="0"/>
      <w:marRight w:val="0"/>
      <w:marTop w:val="0"/>
      <w:marBottom w:val="0"/>
      <w:divBdr>
        <w:top w:val="none" w:sz="0" w:space="0" w:color="auto"/>
        <w:left w:val="none" w:sz="0" w:space="0" w:color="auto"/>
        <w:bottom w:val="none" w:sz="0" w:space="0" w:color="auto"/>
        <w:right w:val="none" w:sz="0" w:space="0" w:color="auto"/>
      </w:divBdr>
    </w:div>
    <w:div w:id="87698130">
      <w:bodyDiv w:val="1"/>
      <w:marLeft w:val="0"/>
      <w:marRight w:val="0"/>
      <w:marTop w:val="0"/>
      <w:marBottom w:val="0"/>
      <w:divBdr>
        <w:top w:val="none" w:sz="0" w:space="0" w:color="auto"/>
        <w:left w:val="none" w:sz="0" w:space="0" w:color="auto"/>
        <w:bottom w:val="none" w:sz="0" w:space="0" w:color="auto"/>
        <w:right w:val="none" w:sz="0" w:space="0" w:color="auto"/>
      </w:divBdr>
    </w:div>
    <w:div w:id="87889399">
      <w:bodyDiv w:val="1"/>
      <w:marLeft w:val="0"/>
      <w:marRight w:val="0"/>
      <w:marTop w:val="0"/>
      <w:marBottom w:val="0"/>
      <w:divBdr>
        <w:top w:val="none" w:sz="0" w:space="0" w:color="auto"/>
        <w:left w:val="none" w:sz="0" w:space="0" w:color="auto"/>
        <w:bottom w:val="none" w:sz="0" w:space="0" w:color="auto"/>
        <w:right w:val="none" w:sz="0" w:space="0" w:color="auto"/>
      </w:divBdr>
    </w:div>
    <w:div w:id="88624091">
      <w:bodyDiv w:val="1"/>
      <w:marLeft w:val="0"/>
      <w:marRight w:val="0"/>
      <w:marTop w:val="0"/>
      <w:marBottom w:val="0"/>
      <w:divBdr>
        <w:top w:val="none" w:sz="0" w:space="0" w:color="auto"/>
        <w:left w:val="none" w:sz="0" w:space="0" w:color="auto"/>
        <w:bottom w:val="none" w:sz="0" w:space="0" w:color="auto"/>
        <w:right w:val="none" w:sz="0" w:space="0" w:color="auto"/>
      </w:divBdr>
    </w:div>
    <w:div w:id="94712570">
      <w:bodyDiv w:val="1"/>
      <w:marLeft w:val="0"/>
      <w:marRight w:val="0"/>
      <w:marTop w:val="0"/>
      <w:marBottom w:val="0"/>
      <w:divBdr>
        <w:top w:val="none" w:sz="0" w:space="0" w:color="auto"/>
        <w:left w:val="none" w:sz="0" w:space="0" w:color="auto"/>
        <w:bottom w:val="none" w:sz="0" w:space="0" w:color="auto"/>
        <w:right w:val="none" w:sz="0" w:space="0" w:color="auto"/>
      </w:divBdr>
    </w:div>
    <w:div w:id="118425099">
      <w:bodyDiv w:val="1"/>
      <w:marLeft w:val="0"/>
      <w:marRight w:val="0"/>
      <w:marTop w:val="0"/>
      <w:marBottom w:val="0"/>
      <w:divBdr>
        <w:top w:val="none" w:sz="0" w:space="0" w:color="auto"/>
        <w:left w:val="none" w:sz="0" w:space="0" w:color="auto"/>
        <w:bottom w:val="none" w:sz="0" w:space="0" w:color="auto"/>
        <w:right w:val="none" w:sz="0" w:space="0" w:color="auto"/>
      </w:divBdr>
    </w:div>
    <w:div w:id="121463469">
      <w:bodyDiv w:val="1"/>
      <w:marLeft w:val="0"/>
      <w:marRight w:val="0"/>
      <w:marTop w:val="0"/>
      <w:marBottom w:val="0"/>
      <w:divBdr>
        <w:top w:val="none" w:sz="0" w:space="0" w:color="auto"/>
        <w:left w:val="none" w:sz="0" w:space="0" w:color="auto"/>
        <w:bottom w:val="none" w:sz="0" w:space="0" w:color="auto"/>
        <w:right w:val="none" w:sz="0" w:space="0" w:color="auto"/>
      </w:divBdr>
    </w:div>
    <w:div w:id="130757185">
      <w:bodyDiv w:val="1"/>
      <w:marLeft w:val="0"/>
      <w:marRight w:val="0"/>
      <w:marTop w:val="0"/>
      <w:marBottom w:val="0"/>
      <w:divBdr>
        <w:top w:val="none" w:sz="0" w:space="0" w:color="auto"/>
        <w:left w:val="none" w:sz="0" w:space="0" w:color="auto"/>
        <w:bottom w:val="none" w:sz="0" w:space="0" w:color="auto"/>
        <w:right w:val="none" w:sz="0" w:space="0" w:color="auto"/>
      </w:divBdr>
    </w:div>
    <w:div w:id="141779589">
      <w:bodyDiv w:val="1"/>
      <w:marLeft w:val="0"/>
      <w:marRight w:val="0"/>
      <w:marTop w:val="0"/>
      <w:marBottom w:val="0"/>
      <w:divBdr>
        <w:top w:val="none" w:sz="0" w:space="0" w:color="auto"/>
        <w:left w:val="none" w:sz="0" w:space="0" w:color="auto"/>
        <w:bottom w:val="none" w:sz="0" w:space="0" w:color="auto"/>
        <w:right w:val="none" w:sz="0" w:space="0" w:color="auto"/>
      </w:divBdr>
    </w:div>
    <w:div w:id="146827419">
      <w:bodyDiv w:val="1"/>
      <w:marLeft w:val="0"/>
      <w:marRight w:val="0"/>
      <w:marTop w:val="0"/>
      <w:marBottom w:val="0"/>
      <w:divBdr>
        <w:top w:val="none" w:sz="0" w:space="0" w:color="auto"/>
        <w:left w:val="none" w:sz="0" w:space="0" w:color="auto"/>
        <w:bottom w:val="none" w:sz="0" w:space="0" w:color="auto"/>
        <w:right w:val="none" w:sz="0" w:space="0" w:color="auto"/>
      </w:divBdr>
    </w:div>
    <w:div w:id="147869591">
      <w:bodyDiv w:val="1"/>
      <w:marLeft w:val="0"/>
      <w:marRight w:val="0"/>
      <w:marTop w:val="0"/>
      <w:marBottom w:val="0"/>
      <w:divBdr>
        <w:top w:val="none" w:sz="0" w:space="0" w:color="auto"/>
        <w:left w:val="none" w:sz="0" w:space="0" w:color="auto"/>
        <w:bottom w:val="none" w:sz="0" w:space="0" w:color="auto"/>
        <w:right w:val="none" w:sz="0" w:space="0" w:color="auto"/>
      </w:divBdr>
    </w:div>
    <w:div w:id="150486202">
      <w:bodyDiv w:val="1"/>
      <w:marLeft w:val="0"/>
      <w:marRight w:val="0"/>
      <w:marTop w:val="0"/>
      <w:marBottom w:val="0"/>
      <w:divBdr>
        <w:top w:val="none" w:sz="0" w:space="0" w:color="auto"/>
        <w:left w:val="none" w:sz="0" w:space="0" w:color="auto"/>
        <w:bottom w:val="none" w:sz="0" w:space="0" w:color="auto"/>
        <w:right w:val="none" w:sz="0" w:space="0" w:color="auto"/>
      </w:divBdr>
    </w:div>
    <w:div w:id="151453846">
      <w:bodyDiv w:val="1"/>
      <w:marLeft w:val="0"/>
      <w:marRight w:val="0"/>
      <w:marTop w:val="0"/>
      <w:marBottom w:val="0"/>
      <w:divBdr>
        <w:top w:val="none" w:sz="0" w:space="0" w:color="auto"/>
        <w:left w:val="none" w:sz="0" w:space="0" w:color="auto"/>
        <w:bottom w:val="none" w:sz="0" w:space="0" w:color="auto"/>
        <w:right w:val="none" w:sz="0" w:space="0" w:color="auto"/>
      </w:divBdr>
    </w:div>
    <w:div w:id="156962129">
      <w:bodyDiv w:val="1"/>
      <w:marLeft w:val="0"/>
      <w:marRight w:val="0"/>
      <w:marTop w:val="0"/>
      <w:marBottom w:val="0"/>
      <w:divBdr>
        <w:top w:val="none" w:sz="0" w:space="0" w:color="auto"/>
        <w:left w:val="none" w:sz="0" w:space="0" w:color="auto"/>
        <w:bottom w:val="none" w:sz="0" w:space="0" w:color="auto"/>
        <w:right w:val="none" w:sz="0" w:space="0" w:color="auto"/>
      </w:divBdr>
    </w:div>
    <w:div w:id="161748727">
      <w:bodyDiv w:val="1"/>
      <w:marLeft w:val="0"/>
      <w:marRight w:val="0"/>
      <w:marTop w:val="0"/>
      <w:marBottom w:val="0"/>
      <w:divBdr>
        <w:top w:val="none" w:sz="0" w:space="0" w:color="auto"/>
        <w:left w:val="none" w:sz="0" w:space="0" w:color="auto"/>
        <w:bottom w:val="none" w:sz="0" w:space="0" w:color="auto"/>
        <w:right w:val="none" w:sz="0" w:space="0" w:color="auto"/>
      </w:divBdr>
    </w:div>
    <w:div w:id="162596252">
      <w:bodyDiv w:val="1"/>
      <w:marLeft w:val="0"/>
      <w:marRight w:val="0"/>
      <w:marTop w:val="0"/>
      <w:marBottom w:val="0"/>
      <w:divBdr>
        <w:top w:val="none" w:sz="0" w:space="0" w:color="auto"/>
        <w:left w:val="none" w:sz="0" w:space="0" w:color="auto"/>
        <w:bottom w:val="none" w:sz="0" w:space="0" w:color="auto"/>
        <w:right w:val="none" w:sz="0" w:space="0" w:color="auto"/>
      </w:divBdr>
    </w:div>
    <w:div w:id="178398915">
      <w:bodyDiv w:val="1"/>
      <w:marLeft w:val="0"/>
      <w:marRight w:val="0"/>
      <w:marTop w:val="0"/>
      <w:marBottom w:val="0"/>
      <w:divBdr>
        <w:top w:val="none" w:sz="0" w:space="0" w:color="auto"/>
        <w:left w:val="none" w:sz="0" w:space="0" w:color="auto"/>
        <w:bottom w:val="none" w:sz="0" w:space="0" w:color="auto"/>
        <w:right w:val="none" w:sz="0" w:space="0" w:color="auto"/>
      </w:divBdr>
    </w:div>
    <w:div w:id="179664214">
      <w:bodyDiv w:val="1"/>
      <w:marLeft w:val="0"/>
      <w:marRight w:val="0"/>
      <w:marTop w:val="0"/>
      <w:marBottom w:val="0"/>
      <w:divBdr>
        <w:top w:val="none" w:sz="0" w:space="0" w:color="auto"/>
        <w:left w:val="none" w:sz="0" w:space="0" w:color="auto"/>
        <w:bottom w:val="none" w:sz="0" w:space="0" w:color="auto"/>
        <w:right w:val="none" w:sz="0" w:space="0" w:color="auto"/>
      </w:divBdr>
    </w:div>
    <w:div w:id="189296131">
      <w:bodyDiv w:val="1"/>
      <w:marLeft w:val="0"/>
      <w:marRight w:val="0"/>
      <w:marTop w:val="0"/>
      <w:marBottom w:val="0"/>
      <w:divBdr>
        <w:top w:val="none" w:sz="0" w:space="0" w:color="auto"/>
        <w:left w:val="none" w:sz="0" w:space="0" w:color="auto"/>
        <w:bottom w:val="none" w:sz="0" w:space="0" w:color="auto"/>
        <w:right w:val="none" w:sz="0" w:space="0" w:color="auto"/>
      </w:divBdr>
    </w:div>
    <w:div w:id="193926011">
      <w:bodyDiv w:val="1"/>
      <w:marLeft w:val="0"/>
      <w:marRight w:val="0"/>
      <w:marTop w:val="0"/>
      <w:marBottom w:val="0"/>
      <w:divBdr>
        <w:top w:val="none" w:sz="0" w:space="0" w:color="auto"/>
        <w:left w:val="none" w:sz="0" w:space="0" w:color="auto"/>
        <w:bottom w:val="none" w:sz="0" w:space="0" w:color="auto"/>
        <w:right w:val="none" w:sz="0" w:space="0" w:color="auto"/>
      </w:divBdr>
    </w:div>
    <w:div w:id="196821455">
      <w:bodyDiv w:val="1"/>
      <w:marLeft w:val="0"/>
      <w:marRight w:val="0"/>
      <w:marTop w:val="0"/>
      <w:marBottom w:val="0"/>
      <w:divBdr>
        <w:top w:val="none" w:sz="0" w:space="0" w:color="auto"/>
        <w:left w:val="none" w:sz="0" w:space="0" w:color="auto"/>
        <w:bottom w:val="none" w:sz="0" w:space="0" w:color="auto"/>
        <w:right w:val="none" w:sz="0" w:space="0" w:color="auto"/>
      </w:divBdr>
    </w:div>
    <w:div w:id="199629411">
      <w:bodyDiv w:val="1"/>
      <w:marLeft w:val="0"/>
      <w:marRight w:val="0"/>
      <w:marTop w:val="0"/>
      <w:marBottom w:val="0"/>
      <w:divBdr>
        <w:top w:val="none" w:sz="0" w:space="0" w:color="auto"/>
        <w:left w:val="none" w:sz="0" w:space="0" w:color="auto"/>
        <w:bottom w:val="none" w:sz="0" w:space="0" w:color="auto"/>
        <w:right w:val="none" w:sz="0" w:space="0" w:color="auto"/>
      </w:divBdr>
    </w:div>
    <w:div w:id="200362148">
      <w:bodyDiv w:val="1"/>
      <w:marLeft w:val="0"/>
      <w:marRight w:val="0"/>
      <w:marTop w:val="0"/>
      <w:marBottom w:val="0"/>
      <w:divBdr>
        <w:top w:val="none" w:sz="0" w:space="0" w:color="auto"/>
        <w:left w:val="none" w:sz="0" w:space="0" w:color="auto"/>
        <w:bottom w:val="none" w:sz="0" w:space="0" w:color="auto"/>
        <w:right w:val="none" w:sz="0" w:space="0" w:color="auto"/>
      </w:divBdr>
    </w:div>
    <w:div w:id="205609997">
      <w:bodyDiv w:val="1"/>
      <w:marLeft w:val="0"/>
      <w:marRight w:val="0"/>
      <w:marTop w:val="0"/>
      <w:marBottom w:val="0"/>
      <w:divBdr>
        <w:top w:val="none" w:sz="0" w:space="0" w:color="auto"/>
        <w:left w:val="none" w:sz="0" w:space="0" w:color="auto"/>
        <w:bottom w:val="none" w:sz="0" w:space="0" w:color="auto"/>
        <w:right w:val="none" w:sz="0" w:space="0" w:color="auto"/>
      </w:divBdr>
    </w:div>
    <w:div w:id="210652821">
      <w:bodyDiv w:val="1"/>
      <w:marLeft w:val="0"/>
      <w:marRight w:val="0"/>
      <w:marTop w:val="0"/>
      <w:marBottom w:val="0"/>
      <w:divBdr>
        <w:top w:val="none" w:sz="0" w:space="0" w:color="auto"/>
        <w:left w:val="none" w:sz="0" w:space="0" w:color="auto"/>
        <w:bottom w:val="none" w:sz="0" w:space="0" w:color="auto"/>
        <w:right w:val="none" w:sz="0" w:space="0" w:color="auto"/>
      </w:divBdr>
    </w:div>
    <w:div w:id="210895412">
      <w:bodyDiv w:val="1"/>
      <w:marLeft w:val="0"/>
      <w:marRight w:val="0"/>
      <w:marTop w:val="0"/>
      <w:marBottom w:val="0"/>
      <w:divBdr>
        <w:top w:val="none" w:sz="0" w:space="0" w:color="auto"/>
        <w:left w:val="none" w:sz="0" w:space="0" w:color="auto"/>
        <w:bottom w:val="none" w:sz="0" w:space="0" w:color="auto"/>
        <w:right w:val="none" w:sz="0" w:space="0" w:color="auto"/>
      </w:divBdr>
    </w:div>
    <w:div w:id="214898219">
      <w:bodyDiv w:val="1"/>
      <w:marLeft w:val="0"/>
      <w:marRight w:val="0"/>
      <w:marTop w:val="0"/>
      <w:marBottom w:val="0"/>
      <w:divBdr>
        <w:top w:val="none" w:sz="0" w:space="0" w:color="auto"/>
        <w:left w:val="none" w:sz="0" w:space="0" w:color="auto"/>
        <w:bottom w:val="none" w:sz="0" w:space="0" w:color="auto"/>
        <w:right w:val="none" w:sz="0" w:space="0" w:color="auto"/>
      </w:divBdr>
    </w:div>
    <w:div w:id="220210138">
      <w:bodyDiv w:val="1"/>
      <w:marLeft w:val="0"/>
      <w:marRight w:val="0"/>
      <w:marTop w:val="0"/>
      <w:marBottom w:val="0"/>
      <w:divBdr>
        <w:top w:val="none" w:sz="0" w:space="0" w:color="auto"/>
        <w:left w:val="none" w:sz="0" w:space="0" w:color="auto"/>
        <w:bottom w:val="none" w:sz="0" w:space="0" w:color="auto"/>
        <w:right w:val="none" w:sz="0" w:space="0" w:color="auto"/>
      </w:divBdr>
    </w:div>
    <w:div w:id="233786137">
      <w:bodyDiv w:val="1"/>
      <w:marLeft w:val="0"/>
      <w:marRight w:val="0"/>
      <w:marTop w:val="0"/>
      <w:marBottom w:val="0"/>
      <w:divBdr>
        <w:top w:val="none" w:sz="0" w:space="0" w:color="auto"/>
        <w:left w:val="none" w:sz="0" w:space="0" w:color="auto"/>
        <w:bottom w:val="none" w:sz="0" w:space="0" w:color="auto"/>
        <w:right w:val="none" w:sz="0" w:space="0" w:color="auto"/>
      </w:divBdr>
    </w:div>
    <w:div w:id="250355447">
      <w:bodyDiv w:val="1"/>
      <w:marLeft w:val="0"/>
      <w:marRight w:val="0"/>
      <w:marTop w:val="0"/>
      <w:marBottom w:val="0"/>
      <w:divBdr>
        <w:top w:val="none" w:sz="0" w:space="0" w:color="auto"/>
        <w:left w:val="none" w:sz="0" w:space="0" w:color="auto"/>
        <w:bottom w:val="none" w:sz="0" w:space="0" w:color="auto"/>
        <w:right w:val="none" w:sz="0" w:space="0" w:color="auto"/>
      </w:divBdr>
    </w:div>
    <w:div w:id="255674310">
      <w:bodyDiv w:val="1"/>
      <w:marLeft w:val="0"/>
      <w:marRight w:val="0"/>
      <w:marTop w:val="0"/>
      <w:marBottom w:val="0"/>
      <w:divBdr>
        <w:top w:val="none" w:sz="0" w:space="0" w:color="auto"/>
        <w:left w:val="none" w:sz="0" w:space="0" w:color="auto"/>
        <w:bottom w:val="none" w:sz="0" w:space="0" w:color="auto"/>
        <w:right w:val="none" w:sz="0" w:space="0" w:color="auto"/>
      </w:divBdr>
    </w:div>
    <w:div w:id="258485722">
      <w:bodyDiv w:val="1"/>
      <w:marLeft w:val="0"/>
      <w:marRight w:val="0"/>
      <w:marTop w:val="0"/>
      <w:marBottom w:val="0"/>
      <w:divBdr>
        <w:top w:val="none" w:sz="0" w:space="0" w:color="auto"/>
        <w:left w:val="none" w:sz="0" w:space="0" w:color="auto"/>
        <w:bottom w:val="none" w:sz="0" w:space="0" w:color="auto"/>
        <w:right w:val="none" w:sz="0" w:space="0" w:color="auto"/>
      </w:divBdr>
    </w:div>
    <w:div w:id="259067873">
      <w:bodyDiv w:val="1"/>
      <w:marLeft w:val="0"/>
      <w:marRight w:val="0"/>
      <w:marTop w:val="0"/>
      <w:marBottom w:val="0"/>
      <w:divBdr>
        <w:top w:val="none" w:sz="0" w:space="0" w:color="auto"/>
        <w:left w:val="none" w:sz="0" w:space="0" w:color="auto"/>
        <w:bottom w:val="none" w:sz="0" w:space="0" w:color="auto"/>
        <w:right w:val="none" w:sz="0" w:space="0" w:color="auto"/>
      </w:divBdr>
    </w:div>
    <w:div w:id="261186403">
      <w:bodyDiv w:val="1"/>
      <w:marLeft w:val="0"/>
      <w:marRight w:val="0"/>
      <w:marTop w:val="0"/>
      <w:marBottom w:val="0"/>
      <w:divBdr>
        <w:top w:val="none" w:sz="0" w:space="0" w:color="auto"/>
        <w:left w:val="none" w:sz="0" w:space="0" w:color="auto"/>
        <w:bottom w:val="none" w:sz="0" w:space="0" w:color="auto"/>
        <w:right w:val="none" w:sz="0" w:space="0" w:color="auto"/>
      </w:divBdr>
    </w:div>
    <w:div w:id="282199496">
      <w:bodyDiv w:val="1"/>
      <w:marLeft w:val="0"/>
      <w:marRight w:val="0"/>
      <w:marTop w:val="0"/>
      <w:marBottom w:val="0"/>
      <w:divBdr>
        <w:top w:val="none" w:sz="0" w:space="0" w:color="auto"/>
        <w:left w:val="none" w:sz="0" w:space="0" w:color="auto"/>
        <w:bottom w:val="none" w:sz="0" w:space="0" w:color="auto"/>
        <w:right w:val="none" w:sz="0" w:space="0" w:color="auto"/>
      </w:divBdr>
    </w:div>
    <w:div w:id="282618892">
      <w:bodyDiv w:val="1"/>
      <w:marLeft w:val="0"/>
      <w:marRight w:val="0"/>
      <w:marTop w:val="0"/>
      <w:marBottom w:val="0"/>
      <w:divBdr>
        <w:top w:val="none" w:sz="0" w:space="0" w:color="auto"/>
        <w:left w:val="none" w:sz="0" w:space="0" w:color="auto"/>
        <w:bottom w:val="none" w:sz="0" w:space="0" w:color="auto"/>
        <w:right w:val="none" w:sz="0" w:space="0" w:color="auto"/>
      </w:divBdr>
    </w:div>
    <w:div w:id="288632502">
      <w:bodyDiv w:val="1"/>
      <w:marLeft w:val="0"/>
      <w:marRight w:val="0"/>
      <w:marTop w:val="0"/>
      <w:marBottom w:val="0"/>
      <w:divBdr>
        <w:top w:val="none" w:sz="0" w:space="0" w:color="auto"/>
        <w:left w:val="none" w:sz="0" w:space="0" w:color="auto"/>
        <w:bottom w:val="none" w:sz="0" w:space="0" w:color="auto"/>
        <w:right w:val="none" w:sz="0" w:space="0" w:color="auto"/>
      </w:divBdr>
    </w:div>
    <w:div w:id="291598121">
      <w:bodyDiv w:val="1"/>
      <w:marLeft w:val="0"/>
      <w:marRight w:val="0"/>
      <w:marTop w:val="0"/>
      <w:marBottom w:val="0"/>
      <w:divBdr>
        <w:top w:val="none" w:sz="0" w:space="0" w:color="auto"/>
        <w:left w:val="none" w:sz="0" w:space="0" w:color="auto"/>
        <w:bottom w:val="none" w:sz="0" w:space="0" w:color="auto"/>
        <w:right w:val="none" w:sz="0" w:space="0" w:color="auto"/>
      </w:divBdr>
    </w:div>
    <w:div w:id="291791366">
      <w:bodyDiv w:val="1"/>
      <w:marLeft w:val="0"/>
      <w:marRight w:val="0"/>
      <w:marTop w:val="0"/>
      <w:marBottom w:val="0"/>
      <w:divBdr>
        <w:top w:val="none" w:sz="0" w:space="0" w:color="auto"/>
        <w:left w:val="none" w:sz="0" w:space="0" w:color="auto"/>
        <w:bottom w:val="none" w:sz="0" w:space="0" w:color="auto"/>
        <w:right w:val="none" w:sz="0" w:space="0" w:color="auto"/>
      </w:divBdr>
    </w:div>
    <w:div w:id="297300050">
      <w:bodyDiv w:val="1"/>
      <w:marLeft w:val="0"/>
      <w:marRight w:val="0"/>
      <w:marTop w:val="0"/>
      <w:marBottom w:val="0"/>
      <w:divBdr>
        <w:top w:val="none" w:sz="0" w:space="0" w:color="auto"/>
        <w:left w:val="none" w:sz="0" w:space="0" w:color="auto"/>
        <w:bottom w:val="none" w:sz="0" w:space="0" w:color="auto"/>
        <w:right w:val="none" w:sz="0" w:space="0" w:color="auto"/>
      </w:divBdr>
    </w:div>
    <w:div w:id="308556128">
      <w:bodyDiv w:val="1"/>
      <w:marLeft w:val="0"/>
      <w:marRight w:val="0"/>
      <w:marTop w:val="0"/>
      <w:marBottom w:val="0"/>
      <w:divBdr>
        <w:top w:val="none" w:sz="0" w:space="0" w:color="auto"/>
        <w:left w:val="none" w:sz="0" w:space="0" w:color="auto"/>
        <w:bottom w:val="none" w:sz="0" w:space="0" w:color="auto"/>
        <w:right w:val="none" w:sz="0" w:space="0" w:color="auto"/>
      </w:divBdr>
    </w:div>
    <w:div w:id="315954980">
      <w:bodyDiv w:val="1"/>
      <w:marLeft w:val="0"/>
      <w:marRight w:val="0"/>
      <w:marTop w:val="0"/>
      <w:marBottom w:val="0"/>
      <w:divBdr>
        <w:top w:val="none" w:sz="0" w:space="0" w:color="auto"/>
        <w:left w:val="none" w:sz="0" w:space="0" w:color="auto"/>
        <w:bottom w:val="none" w:sz="0" w:space="0" w:color="auto"/>
        <w:right w:val="none" w:sz="0" w:space="0" w:color="auto"/>
      </w:divBdr>
    </w:div>
    <w:div w:id="318121591">
      <w:bodyDiv w:val="1"/>
      <w:marLeft w:val="0"/>
      <w:marRight w:val="0"/>
      <w:marTop w:val="0"/>
      <w:marBottom w:val="0"/>
      <w:divBdr>
        <w:top w:val="none" w:sz="0" w:space="0" w:color="auto"/>
        <w:left w:val="none" w:sz="0" w:space="0" w:color="auto"/>
        <w:bottom w:val="none" w:sz="0" w:space="0" w:color="auto"/>
        <w:right w:val="none" w:sz="0" w:space="0" w:color="auto"/>
      </w:divBdr>
    </w:div>
    <w:div w:id="320549118">
      <w:bodyDiv w:val="1"/>
      <w:marLeft w:val="0"/>
      <w:marRight w:val="0"/>
      <w:marTop w:val="0"/>
      <w:marBottom w:val="0"/>
      <w:divBdr>
        <w:top w:val="none" w:sz="0" w:space="0" w:color="auto"/>
        <w:left w:val="none" w:sz="0" w:space="0" w:color="auto"/>
        <w:bottom w:val="none" w:sz="0" w:space="0" w:color="auto"/>
        <w:right w:val="none" w:sz="0" w:space="0" w:color="auto"/>
      </w:divBdr>
    </w:div>
    <w:div w:id="327758272">
      <w:bodyDiv w:val="1"/>
      <w:marLeft w:val="0"/>
      <w:marRight w:val="0"/>
      <w:marTop w:val="0"/>
      <w:marBottom w:val="0"/>
      <w:divBdr>
        <w:top w:val="none" w:sz="0" w:space="0" w:color="auto"/>
        <w:left w:val="none" w:sz="0" w:space="0" w:color="auto"/>
        <w:bottom w:val="none" w:sz="0" w:space="0" w:color="auto"/>
        <w:right w:val="none" w:sz="0" w:space="0" w:color="auto"/>
      </w:divBdr>
    </w:div>
    <w:div w:id="333802771">
      <w:bodyDiv w:val="1"/>
      <w:marLeft w:val="0"/>
      <w:marRight w:val="0"/>
      <w:marTop w:val="0"/>
      <w:marBottom w:val="0"/>
      <w:divBdr>
        <w:top w:val="none" w:sz="0" w:space="0" w:color="auto"/>
        <w:left w:val="none" w:sz="0" w:space="0" w:color="auto"/>
        <w:bottom w:val="none" w:sz="0" w:space="0" w:color="auto"/>
        <w:right w:val="none" w:sz="0" w:space="0" w:color="auto"/>
      </w:divBdr>
    </w:div>
    <w:div w:id="333841586">
      <w:bodyDiv w:val="1"/>
      <w:marLeft w:val="0"/>
      <w:marRight w:val="0"/>
      <w:marTop w:val="0"/>
      <w:marBottom w:val="0"/>
      <w:divBdr>
        <w:top w:val="none" w:sz="0" w:space="0" w:color="auto"/>
        <w:left w:val="none" w:sz="0" w:space="0" w:color="auto"/>
        <w:bottom w:val="none" w:sz="0" w:space="0" w:color="auto"/>
        <w:right w:val="none" w:sz="0" w:space="0" w:color="auto"/>
      </w:divBdr>
    </w:div>
    <w:div w:id="343166212">
      <w:bodyDiv w:val="1"/>
      <w:marLeft w:val="0"/>
      <w:marRight w:val="0"/>
      <w:marTop w:val="0"/>
      <w:marBottom w:val="0"/>
      <w:divBdr>
        <w:top w:val="none" w:sz="0" w:space="0" w:color="auto"/>
        <w:left w:val="none" w:sz="0" w:space="0" w:color="auto"/>
        <w:bottom w:val="none" w:sz="0" w:space="0" w:color="auto"/>
        <w:right w:val="none" w:sz="0" w:space="0" w:color="auto"/>
      </w:divBdr>
    </w:div>
    <w:div w:id="350837170">
      <w:bodyDiv w:val="1"/>
      <w:marLeft w:val="0"/>
      <w:marRight w:val="0"/>
      <w:marTop w:val="0"/>
      <w:marBottom w:val="0"/>
      <w:divBdr>
        <w:top w:val="none" w:sz="0" w:space="0" w:color="auto"/>
        <w:left w:val="none" w:sz="0" w:space="0" w:color="auto"/>
        <w:bottom w:val="none" w:sz="0" w:space="0" w:color="auto"/>
        <w:right w:val="none" w:sz="0" w:space="0" w:color="auto"/>
      </w:divBdr>
    </w:div>
    <w:div w:id="360281840">
      <w:bodyDiv w:val="1"/>
      <w:marLeft w:val="0"/>
      <w:marRight w:val="0"/>
      <w:marTop w:val="0"/>
      <w:marBottom w:val="0"/>
      <w:divBdr>
        <w:top w:val="none" w:sz="0" w:space="0" w:color="auto"/>
        <w:left w:val="none" w:sz="0" w:space="0" w:color="auto"/>
        <w:bottom w:val="none" w:sz="0" w:space="0" w:color="auto"/>
        <w:right w:val="none" w:sz="0" w:space="0" w:color="auto"/>
      </w:divBdr>
    </w:div>
    <w:div w:id="363017442">
      <w:bodyDiv w:val="1"/>
      <w:marLeft w:val="0"/>
      <w:marRight w:val="0"/>
      <w:marTop w:val="0"/>
      <w:marBottom w:val="0"/>
      <w:divBdr>
        <w:top w:val="none" w:sz="0" w:space="0" w:color="auto"/>
        <w:left w:val="none" w:sz="0" w:space="0" w:color="auto"/>
        <w:bottom w:val="none" w:sz="0" w:space="0" w:color="auto"/>
        <w:right w:val="none" w:sz="0" w:space="0" w:color="auto"/>
      </w:divBdr>
    </w:div>
    <w:div w:id="370308380">
      <w:bodyDiv w:val="1"/>
      <w:marLeft w:val="0"/>
      <w:marRight w:val="0"/>
      <w:marTop w:val="0"/>
      <w:marBottom w:val="0"/>
      <w:divBdr>
        <w:top w:val="none" w:sz="0" w:space="0" w:color="auto"/>
        <w:left w:val="none" w:sz="0" w:space="0" w:color="auto"/>
        <w:bottom w:val="none" w:sz="0" w:space="0" w:color="auto"/>
        <w:right w:val="none" w:sz="0" w:space="0" w:color="auto"/>
      </w:divBdr>
    </w:div>
    <w:div w:id="385225997">
      <w:bodyDiv w:val="1"/>
      <w:marLeft w:val="0"/>
      <w:marRight w:val="0"/>
      <w:marTop w:val="0"/>
      <w:marBottom w:val="0"/>
      <w:divBdr>
        <w:top w:val="none" w:sz="0" w:space="0" w:color="auto"/>
        <w:left w:val="none" w:sz="0" w:space="0" w:color="auto"/>
        <w:bottom w:val="none" w:sz="0" w:space="0" w:color="auto"/>
        <w:right w:val="none" w:sz="0" w:space="0" w:color="auto"/>
      </w:divBdr>
    </w:div>
    <w:div w:id="395978746">
      <w:bodyDiv w:val="1"/>
      <w:marLeft w:val="0"/>
      <w:marRight w:val="0"/>
      <w:marTop w:val="0"/>
      <w:marBottom w:val="0"/>
      <w:divBdr>
        <w:top w:val="none" w:sz="0" w:space="0" w:color="auto"/>
        <w:left w:val="none" w:sz="0" w:space="0" w:color="auto"/>
        <w:bottom w:val="none" w:sz="0" w:space="0" w:color="auto"/>
        <w:right w:val="none" w:sz="0" w:space="0" w:color="auto"/>
      </w:divBdr>
    </w:div>
    <w:div w:id="397947403">
      <w:bodyDiv w:val="1"/>
      <w:marLeft w:val="0"/>
      <w:marRight w:val="0"/>
      <w:marTop w:val="0"/>
      <w:marBottom w:val="0"/>
      <w:divBdr>
        <w:top w:val="none" w:sz="0" w:space="0" w:color="auto"/>
        <w:left w:val="none" w:sz="0" w:space="0" w:color="auto"/>
        <w:bottom w:val="none" w:sz="0" w:space="0" w:color="auto"/>
        <w:right w:val="none" w:sz="0" w:space="0" w:color="auto"/>
      </w:divBdr>
    </w:div>
    <w:div w:id="399786894">
      <w:bodyDiv w:val="1"/>
      <w:marLeft w:val="0"/>
      <w:marRight w:val="0"/>
      <w:marTop w:val="0"/>
      <w:marBottom w:val="0"/>
      <w:divBdr>
        <w:top w:val="none" w:sz="0" w:space="0" w:color="auto"/>
        <w:left w:val="none" w:sz="0" w:space="0" w:color="auto"/>
        <w:bottom w:val="none" w:sz="0" w:space="0" w:color="auto"/>
        <w:right w:val="none" w:sz="0" w:space="0" w:color="auto"/>
      </w:divBdr>
    </w:div>
    <w:div w:id="402601417">
      <w:bodyDiv w:val="1"/>
      <w:marLeft w:val="0"/>
      <w:marRight w:val="0"/>
      <w:marTop w:val="0"/>
      <w:marBottom w:val="0"/>
      <w:divBdr>
        <w:top w:val="none" w:sz="0" w:space="0" w:color="auto"/>
        <w:left w:val="none" w:sz="0" w:space="0" w:color="auto"/>
        <w:bottom w:val="none" w:sz="0" w:space="0" w:color="auto"/>
        <w:right w:val="none" w:sz="0" w:space="0" w:color="auto"/>
      </w:divBdr>
    </w:div>
    <w:div w:id="403917473">
      <w:bodyDiv w:val="1"/>
      <w:marLeft w:val="0"/>
      <w:marRight w:val="0"/>
      <w:marTop w:val="0"/>
      <w:marBottom w:val="0"/>
      <w:divBdr>
        <w:top w:val="none" w:sz="0" w:space="0" w:color="auto"/>
        <w:left w:val="none" w:sz="0" w:space="0" w:color="auto"/>
        <w:bottom w:val="none" w:sz="0" w:space="0" w:color="auto"/>
        <w:right w:val="none" w:sz="0" w:space="0" w:color="auto"/>
      </w:divBdr>
    </w:div>
    <w:div w:id="413284857">
      <w:bodyDiv w:val="1"/>
      <w:marLeft w:val="0"/>
      <w:marRight w:val="0"/>
      <w:marTop w:val="0"/>
      <w:marBottom w:val="0"/>
      <w:divBdr>
        <w:top w:val="none" w:sz="0" w:space="0" w:color="auto"/>
        <w:left w:val="none" w:sz="0" w:space="0" w:color="auto"/>
        <w:bottom w:val="none" w:sz="0" w:space="0" w:color="auto"/>
        <w:right w:val="none" w:sz="0" w:space="0" w:color="auto"/>
      </w:divBdr>
    </w:div>
    <w:div w:id="413866423">
      <w:bodyDiv w:val="1"/>
      <w:marLeft w:val="0"/>
      <w:marRight w:val="0"/>
      <w:marTop w:val="0"/>
      <w:marBottom w:val="0"/>
      <w:divBdr>
        <w:top w:val="none" w:sz="0" w:space="0" w:color="auto"/>
        <w:left w:val="none" w:sz="0" w:space="0" w:color="auto"/>
        <w:bottom w:val="none" w:sz="0" w:space="0" w:color="auto"/>
        <w:right w:val="none" w:sz="0" w:space="0" w:color="auto"/>
      </w:divBdr>
    </w:div>
    <w:div w:id="415788414">
      <w:bodyDiv w:val="1"/>
      <w:marLeft w:val="0"/>
      <w:marRight w:val="0"/>
      <w:marTop w:val="0"/>
      <w:marBottom w:val="0"/>
      <w:divBdr>
        <w:top w:val="none" w:sz="0" w:space="0" w:color="auto"/>
        <w:left w:val="none" w:sz="0" w:space="0" w:color="auto"/>
        <w:bottom w:val="none" w:sz="0" w:space="0" w:color="auto"/>
        <w:right w:val="none" w:sz="0" w:space="0" w:color="auto"/>
      </w:divBdr>
    </w:div>
    <w:div w:id="416246537">
      <w:bodyDiv w:val="1"/>
      <w:marLeft w:val="0"/>
      <w:marRight w:val="0"/>
      <w:marTop w:val="0"/>
      <w:marBottom w:val="0"/>
      <w:divBdr>
        <w:top w:val="none" w:sz="0" w:space="0" w:color="auto"/>
        <w:left w:val="none" w:sz="0" w:space="0" w:color="auto"/>
        <w:bottom w:val="none" w:sz="0" w:space="0" w:color="auto"/>
        <w:right w:val="none" w:sz="0" w:space="0" w:color="auto"/>
      </w:divBdr>
    </w:div>
    <w:div w:id="426582116">
      <w:bodyDiv w:val="1"/>
      <w:marLeft w:val="0"/>
      <w:marRight w:val="0"/>
      <w:marTop w:val="0"/>
      <w:marBottom w:val="0"/>
      <w:divBdr>
        <w:top w:val="none" w:sz="0" w:space="0" w:color="auto"/>
        <w:left w:val="none" w:sz="0" w:space="0" w:color="auto"/>
        <w:bottom w:val="none" w:sz="0" w:space="0" w:color="auto"/>
        <w:right w:val="none" w:sz="0" w:space="0" w:color="auto"/>
      </w:divBdr>
    </w:div>
    <w:div w:id="429811900">
      <w:bodyDiv w:val="1"/>
      <w:marLeft w:val="0"/>
      <w:marRight w:val="0"/>
      <w:marTop w:val="0"/>
      <w:marBottom w:val="0"/>
      <w:divBdr>
        <w:top w:val="none" w:sz="0" w:space="0" w:color="auto"/>
        <w:left w:val="none" w:sz="0" w:space="0" w:color="auto"/>
        <w:bottom w:val="none" w:sz="0" w:space="0" w:color="auto"/>
        <w:right w:val="none" w:sz="0" w:space="0" w:color="auto"/>
      </w:divBdr>
    </w:div>
    <w:div w:id="430400697">
      <w:bodyDiv w:val="1"/>
      <w:marLeft w:val="0"/>
      <w:marRight w:val="0"/>
      <w:marTop w:val="0"/>
      <w:marBottom w:val="0"/>
      <w:divBdr>
        <w:top w:val="none" w:sz="0" w:space="0" w:color="auto"/>
        <w:left w:val="none" w:sz="0" w:space="0" w:color="auto"/>
        <w:bottom w:val="none" w:sz="0" w:space="0" w:color="auto"/>
        <w:right w:val="none" w:sz="0" w:space="0" w:color="auto"/>
      </w:divBdr>
    </w:div>
    <w:div w:id="433330474">
      <w:bodyDiv w:val="1"/>
      <w:marLeft w:val="0"/>
      <w:marRight w:val="0"/>
      <w:marTop w:val="0"/>
      <w:marBottom w:val="0"/>
      <w:divBdr>
        <w:top w:val="none" w:sz="0" w:space="0" w:color="auto"/>
        <w:left w:val="none" w:sz="0" w:space="0" w:color="auto"/>
        <w:bottom w:val="none" w:sz="0" w:space="0" w:color="auto"/>
        <w:right w:val="none" w:sz="0" w:space="0" w:color="auto"/>
      </w:divBdr>
    </w:div>
    <w:div w:id="440732516">
      <w:bodyDiv w:val="1"/>
      <w:marLeft w:val="0"/>
      <w:marRight w:val="0"/>
      <w:marTop w:val="0"/>
      <w:marBottom w:val="0"/>
      <w:divBdr>
        <w:top w:val="none" w:sz="0" w:space="0" w:color="auto"/>
        <w:left w:val="none" w:sz="0" w:space="0" w:color="auto"/>
        <w:bottom w:val="none" w:sz="0" w:space="0" w:color="auto"/>
        <w:right w:val="none" w:sz="0" w:space="0" w:color="auto"/>
      </w:divBdr>
    </w:div>
    <w:div w:id="444932812">
      <w:bodyDiv w:val="1"/>
      <w:marLeft w:val="0"/>
      <w:marRight w:val="0"/>
      <w:marTop w:val="0"/>
      <w:marBottom w:val="0"/>
      <w:divBdr>
        <w:top w:val="none" w:sz="0" w:space="0" w:color="auto"/>
        <w:left w:val="none" w:sz="0" w:space="0" w:color="auto"/>
        <w:bottom w:val="none" w:sz="0" w:space="0" w:color="auto"/>
        <w:right w:val="none" w:sz="0" w:space="0" w:color="auto"/>
      </w:divBdr>
    </w:div>
    <w:div w:id="468321758">
      <w:bodyDiv w:val="1"/>
      <w:marLeft w:val="0"/>
      <w:marRight w:val="0"/>
      <w:marTop w:val="0"/>
      <w:marBottom w:val="0"/>
      <w:divBdr>
        <w:top w:val="none" w:sz="0" w:space="0" w:color="auto"/>
        <w:left w:val="none" w:sz="0" w:space="0" w:color="auto"/>
        <w:bottom w:val="none" w:sz="0" w:space="0" w:color="auto"/>
        <w:right w:val="none" w:sz="0" w:space="0" w:color="auto"/>
      </w:divBdr>
    </w:div>
    <w:div w:id="474686824">
      <w:bodyDiv w:val="1"/>
      <w:marLeft w:val="0"/>
      <w:marRight w:val="0"/>
      <w:marTop w:val="0"/>
      <w:marBottom w:val="0"/>
      <w:divBdr>
        <w:top w:val="none" w:sz="0" w:space="0" w:color="auto"/>
        <w:left w:val="none" w:sz="0" w:space="0" w:color="auto"/>
        <w:bottom w:val="none" w:sz="0" w:space="0" w:color="auto"/>
        <w:right w:val="none" w:sz="0" w:space="0" w:color="auto"/>
      </w:divBdr>
    </w:div>
    <w:div w:id="486164544">
      <w:bodyDiv w:val="1"/>
      <w:marLeft w:val="0"/>
      <w:marRight w:val="0"/>
      <w:marTop w:val="0"/>
      <w:marBottom w:val="0"/>
      <w:divBdr>
        <w:top w:val="none" w:sz="0" w:space="0" w:color="auto"/>
        <w:left w:val="none" w:sz="0" w:space="0" w:color="auto"/>
        <w:bottom w:val="none" w:sz="0" w:space="0" w:color="auto"/>
        <w:right w:val="none" w:sz="0" w:space="0" w:color="auto"/>
      </w:divBdr>
    </w:div>
    <w:div w:id="486557952">
      <w:bodyDiv w:val="1"/>
      <w:marLeft w:val="0"/>
      <w:marRight w:val="0"/>
      <w:marTop w:val="0"/>
      <w:marBottom w:val="0"/>
      <w:divBdr>
        <w:top w:val="none" w:sz="0" w:space="0" w:color="auto"/>
        <w:left w:val="none" w:sz="0" w:space="0" w:color="auto"/>
        <w:bottom w:val="none" w:sz="0" w:space="0" w:color="auto"/>
        <w:right w:val="none" w:sz="0" w:space="0" w:color="auto"/>
      </w:divBdr>
    </w:div>
    <w:div w:id="493421996">
      <w:bodyDiv w:val="1"/>
      <w:marLeft w:val="0"/>
      <w:marRight w:val="0"/>
      <w:marTop w:val="0"/>
      <w:marBottom w:val="0"/>
      <w:divBdr>
        <w:top w:val="none" w:sz="0" w:space="0" w:color="auto"/>
        <w:left w:val="none" w:sz="0" w:space="0" w:color="auto"/>
        <w:bottom w:val="none" w:sz="0" w:space="0" w:color="auto"/>
        <w:right w:val="none" w:sz="0" w:space="0" w:color="auto"/>
      </w:divBdr>
    </w:div>
    <w:div w:id="493954392">
      <w:bodyDiv w:val="1"/>
      <w:marLeft w:val="0"/>
      <w:marRight w:val="0"/>
      <w:marTop w:val="0"/>
      <w:marBottom w:val="0"/>
      <w:divBdr>
        <w:top w:val="none" w:sz="0" w:space="0" w:color="auto"/>
        <w:left w:val="none" w:sz="0" w:space="0" w:color="auto"/>
        <w:bottom w:val="none" w:sz="0" w:space="0" w:color="auto"/>
        <w:right w:val="none" w:sz="0" w:space="0" w:color="auto"/>
      </w:divBdr>
      <w:divsChild>
        <w:div w:id="722338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4635275">
      <w:bodyDiv w:val="1"/>
      <w:marLeft w:val="0"/>
      <w:marRight w:val="0"/>
      <w:marTop w:val="0"/>
      <w:marBottom w:val="0"/>
      <w:divBdr>
        <w:top w:val="none" w:sz="0" w:space="0" w:color="auto"/>
        <w:left w:val="none" w:sz="0" w:space="0" w:color="auto"/>
        <w:bottom w:val="none" w:sz="0" w:space="0" w:color="auto"/>
        <w:right w:val="none" w:sz="0" w:space="0" w:color="auto"/>
      </w:divBdr>
    </w:div>
    <w:div w:id="513615115">
      <w:bodyDiv w:val="1"/>
      <w:marLeft w:val="0"/>
      <w:marRight w:val="0"/>
      <w:marTop w:val="0"/>
      <w:marBottom w:val="0"/>
      <w:divBdr>
        <w:top w:val="none" w:sz="0" w:space="0" w:color="auto"/>
        <w:left w:val="none" w:sz="0" w:space="0" w:color="auto"/>
        <w:bottom w:val="none" w:sz="0" w:space="0" w:color="auto"/>
        <w:right w:val="none" w:sz="0" w:space="0" w:color="auto"/>
      </w:divBdr>
    </w:div>
    <w:div w:id="517161443">
      <w:bodyDiv w:val="1"/>
      <w:marLeft w:val="0"/>
      <w:marRight w:val="0"/>
      <w:marTop w:val="0"/>
      <w:marBottom w:val="0"/>
      <w:divBdr>
        <w:top w:val="none" w:sz="0" w:space="0" w:color="auto"/>
        <w:left w:val="none" w:sz="0" w:space="0" w:color="auto"/>
        <w:bottom w:val="none" w:sz="0" w:space="0" w:color="auto"/>
        <w:right w:val="none" w:sz="0" w:space="0" w:color="auto"/>
      </w:divBdr>
    </w:div>
    <w:div w:id="520702229">
      <w:bodyDiv w:val="1"/>
      <w:marLeft w:val="0"/>
      <w:marRight w:val="0"/>
      <w:marTop w:val="0"/>
      <w:marBottom w:val="0"/>
      <w:divBdr>
        <w:top w:val="none" w:sz="0" w:space="0" w:color="auto"/>
        <w:left w:val="none" w:sz="0" w:space="0" w:color="auto"/>
        <w:bottom w:val="none" w:sz="0" w:space="0" w:color="auto"/>
        <w:right w:val="none" w:sz="0" w:space="0" w:color="auto"/>
      </w:divBdr>
    </w:div>
    <w:div w:id="522133692">
      <w:bodyDiv w:val="1"/>
      <w:marLeft w:val="0"/>
      <w:marRight w:val="0"/>
      <w:marTop w:val="0"/>
      <w:marBottom w:val="0"/>
      <w:divBdr>
        <w:top w:val="none" w:sz="0" w:space="0" w:color="auto"/>
        <w:left w:val="none" w:sz="0" w:space="0" w:color="auto"/>
        <w:bottom w:val="none" w:sz="0" w:space="0" w:color="auto"/>
        <w:right w:val="none" w:sz="0" w:space="0" w:color="auto"/>
      </w:divBdr>
    </w:div>
    <w:div w:id="527568185">
      <w:bodyDiv w:val="1"/>
      <w:marLeft w:val="0"/>
      <w:marRight w:val="0"/>
      <w:marTop w:val="0"/>
      <w:marBottom w:val="0"/>
      <w:divBdr>
        <w:top w:val="none" w:sz="0" w:space="0" w:color="auto"/>
        <w:left w:val="none" w:sz="0" w:space="0" w:color="auto"/>
        <w:bottom w:val="none" w:sz="0" w:space="0" w:color="auto"/>
        <w:right w:val="none" w:sz="0" w:space="0" w:color="auto"/>
      </w:divBdr>
    </w:div>
    <w:div w:id="544565741">
      <w:bodyDiv w:val="1"/>
      <w:marLeft w:val="0"/>
      <w:marRight w:val="0"/>
      <w:marTop w:val="0"/>
      <w:marBottom w:val="0"/>
      <w:divBdr>
        <w:top w:val="none" w:sz="0" w:space="0" w:color="auto"/>
        <w:left w:val="none" w:sz="0" w:space="0" w:color="auto"/>
        <w:bottom w:val="none" w:sz="0" w:space="0" w:color="auto"/>
        <w:right w:val="none" w:sz="0" w:space="0" w:color="auto"/>
      </w:divBdr>
    </w:div>
    <w:div w:id="551162102">
      <w:bodyDiv w:val="1"/>
      <w:marLeft w:val="0"/>
      <w:marRight w:val="0"/>
      <w:marTop w:val="0"/>
      <w:marBottom w:val="0"/>
      <w:divBdr>
        <w:top w:val="none" w:sz="0" w:space="0" w:color="auto"/>
        <w:left w:val="none" w:sz="0" w:space="0" w:color="auto"/>
        <w:bottom w:val="none" w:sz="0" w:space="0" w:color="auto"/>
        <w:right w:val="none" w:sz="0" w:space="0" w:color="auto"/>
      </w:divBdr>
    </w:div>
    <w:div w:id="559174867">
      <w:bodyDiv w:val="1"/>
      <w:marLeft w:val="0"/>
      <w:marRight w:val="0"/>
      <w:marTop w:val="0"/>
      <w:marBottom w:val="0"/>
      <w:divBdr>
        <w:top w:val="none" w:sz="0" w:space="0" w:color="auto"/>
        <w:left w:val="none" w:sz="0" w:space="0" w:color="auto"/>
        <w:bottom w:val="none" w:sz="0" w:space="0" w:color="auto"/>
        <w:right w:val="none" w:sz="0" w:space="0" w:color="auto"/>
      </w:divBdr>
    </w:div>
    <w:div w:id="569392069">
      <w:bodyDiv w:val="1"/>
      <w:marLeft w:val="0"/>
      <w:marRight w:val="0"/>
      <w:marTop w:val="0"/>
      <w:marBottom w:val="0"/>
      <w:divBdr>
        <w:top w:val="none" w:sz="0" w:space="0" w:color="auto"/>
        <w:left w:val="none" w:sz="0" w:space="0" w:color="auto"/>
        <w:bottom w:val="none" w:sz="0" w:space="0" w:color="auto"/>
        <w:right w:val="none" w:sz="0" w:space="0" w:color="auto"/>
      </w:divBdr>
    </w:div>
    <w:div w:id="579481809">
      <w:bodyDiv w:val="1"/>
      <w:marLeft w:val="0"/>
      <w:marRight w:val="0"/>
      <w:marTop w:val="0"/>
      <w:marBottom w:val="0"/>
      <w:divBdr>
        <w:top w:val="none" w:sz="0" w:space="0" w:color="auto"/>
        <w:left w:val="none" w:sz="0" w:space="0" w:color="auto"/>
        <w:bottom w:val="none" w:sz="0" w:space="0" w:color="auto"/>
        <w:right w:val="none" w:sz="0" w:space="0" w:color="auto"/>
      </w:divBdr>
    </w:div>
    <w:div w:id="586616088">
      <w:bodyDiv w:val="1"/>
      <w:marLeft w:val="0"/>
      <w:marRight w:val="0"/>
      <w:marTop w:val="0"/>
      <w:marBottom w:val="0"/>
      <w:divBdr>
        <w:top w:val="none" w:sz="0" w:space="0" w:color="auto"/>
        <w:left w:val="none" w:sz="0" w:space="0" w:color="auto"/>
        <w:bottom w:val="none" w:sz="0" w:space="0" w:color="auto"/>
        <w:right w:val="none" w:sz="0" w:space="0" w:color="auto"/>
      </w:divBdr>
    </w:div>
    <w:div w:id="588999868">
      <w:bodyDiv w:val="1"/>
      <w:marLeft w:val="0"/>
      <w:marRight w:val="0"/>
      <w:marTop w:val="0"/>
      <w:marBottom w:val="0"/>
      <w:divBdr>
        <w:top w:val="none" w:sz="0" w:space="0" w:color="auto"/>
        <w:left w:val="none" w:sz="0" w:space="0" w:color="auto"/>
        <w:bottom w:val="none" w:sz="0" w:space="0" w:color="auto"/>
        <w:right w:val="none" w:sz="0" w:space="0" w:color="auto"/>
      </w:divBdr>
    </w:div>
    <w:div w:id="591864556">
      <w:bodyDiv w:val="1"/>
      <w:marLeft w:val="0"/>
      <w:marRight w:val="0"/>
      <w:marTop w:val="0"/>
      <w:marBottom w:val="0"/>
      <w:divBdr>
        <w:top w:val="none" w:sz="0" w:space="0" w:color="auto"/>
        <w:left w:val="none" w:sz="0" w:space="0" w:color="auto"/>
        <w:bottom w:val="none" w:sz="0" w:space="0" w:color="auto"/>
        <w:right w:val="none" w:sz="0" w:space="0" w:color="auto"/>
      </w:divBdr>
    </w:div>
    <w:div w:id="595791102">
      <w:bodyDiv w:val="1"/>
      <w:marLeft w:val="0"/>
      <w:marRight w:val="0"/>
      <w:marTop w:val="0"/>
      <w:marBottom w:val="0"/>
      <w:divBdr>
        <w:top w:val="none" w:sz="0" w:space="0" w:color="auto"/>
        <w:left w:val="none" w:sz="0" w:space="0" w:color="auto"/>
        <w:bottom w:val="none" w:sz="0" w:space="0" w:color="auto"/>
        <w:right w:val="none" w:sz="0" w:space="0" w:color="auto"/>
      </w:divBdr>
    </w:div>
    <w:div w:id="602226364">
      <w:bodyDiv w:val="1"/>
      <w:marLeft w:val="0"/>
      <w:marRight w:val="0"/>
      <w:marTop w:val="0"/>
      <w:marBottom w:val="0"/>
      <w:divBdr>
        <w:top w:val="none" w:sz="0" w:space="0" w:color="auto"/>
        <w:left w:val="none" w:sz="0" w:space="0" w:color="auto"/>
        <w:bottom w:val="none" w:sz="0" w:space="0" w:color="auto"/>
        <w:right w:val="none" w:sz="0" w:space="0" w:color="auto"/>
      </w:divBdr>
    </w:div>
    <w:div w:id="604656553">
      <w:bodyDiv w:val="1"/>
      <w:marLeft w:val="0"/>
      <w:marRight w:val="0"/>
      <w:marTop w:val="0"/>
      <w:marBottom w:val="0"/>
      <w:divBdr>
        <w:top w:val="none" w:sz="0" w:space="0" w:color="auto"/>
        <w:left w:val="none" w:sz="0" w:space="0" w:color="auto"/>
        <w:bottom w:val="none" w:sz="0" w:space="0" w:color="auto"/>
        <w:right w:val="none" w:sz="0" w:space="0" w:color="auto"/>
      </w:divBdr>
    </w:div>
    <w:div w:id="614598456">
      <w:bodyDiv w:val="1"/>
      <w:marLeft w:val="0"/>
      <w:marRight w:val="0"/>
      <w:marTop w:val="0"/>
      <w:marBottom w:val="0"/>
      <w:divBdr>
        <w:top w:val="none" w:sz="0" w:space="0" w:color="auto"/>
        <w:left w:val="none" w:sz="0" w:space="0" w:color="auto"/>
        <w:bottom w:val="none" w:sz="0" w:space="0" w:color="auto"/>
        <w:right w:val="none" w:sz="0" w:space="0" w:color="auto"/>
      </w:divBdr>
    </w:div>
    <w:div w:id="615140458">
      <w:bodyDiv w:val="1"/>
      <w:marLeft w:val="0"/>
      <w:marRight w:val="0"/>
      <w:marTop w:val="0"/>
      <w:marBottom w:val="0"/>
      <w:divBdr>
        <w:top w:val="none" w:sz="0" w:space="0" w:color="auto"/>
        <w:left w:val="none" w:sz="0" w:space="0" w:color="auto"/>
        <w:bottom w:val="none" w:sz="0" w:space="0" w:color="auto"/>
        <w:right w:val="none" w:sz="0" w:space="0" w:color="auto"/>
      </w:divBdr>
    </w:div>
    <w:div w:id="619648113">
      <w:bodyDiv w:val="1"/>
      <w:marLeft w:val="0"/>
      <w:marRight w:val="0"/>
      <w:marTop w:val="0"/>
      <w:marBottom w:val="0"/>
      <w:divBdr>
        <w:top w:val="none" w:sz="0" w:space="0" w:color="auto"/>
        <w:left w:val="none" w:sz="0" w:space="0" w:color="auto"/>
        <w:bottom w:val="none" w:sz="0" w:space="0" w:color="auto"/>
        <w:right w:val="none" w:sz="0" w:space="0" w:color="auto"/>
      </w:divBdr>
    </w:div>
    <w:div w:id="626668232">
      <w:bodyDiv w:val="1"/>
      <w:marLeft w:val="0"/>
      <w:marRight w:val="0"/>
      <w:marTop w:val="0"/>
      <w:marBottom w:val="0"/>
      <w:divBdr>
        <w:top w:val="none" w:sz="0" w:space="0" w:color="auto"/>
        <w:left w:val="none" w:sz="0" w:space="0" w:color="auto"/>
        <w:bottom w:val="none" w:sz="0" w:space="0" w:color="auto"/>
        <w:right w:val="none" w:sz="0" w:space="0" w:color="auto"/>
      </w:divBdr>
    </w:div>
    <w:div w:id="626860443">
      <w:bodyDiv w:val="1"/>
      <w:marLeft w:val="0"/>
      <w:marRight w:val="0"/>
      <w:marTop w:val="0"/>
      <w:marBottom w:val="0"/>
      <w:divBdr>
        <w:top w:val="none" w:sz="0" w:space="0" w:color="auto"/>
        <w:left w:val="none" w:sz="0" w:space="0" w:color="auto"/>
        <w:bottom w:val="none" w:sz="0" w:space="0" w:color="auto"/>
        <w:right w:val="none" w:sz="0" w:space="0" w:color="auto"/>
      </w:divBdr>
    </w:div>
    <w:div w:id="627051882">
      <w:bodyDiv w:val="1"/>
      <w:marLeft w:val="0"/>
      <w:marRight w:val="0"/>
      <w:marTop w:val="0"/>
      <w:marBottom w:val="0"/>
      <w:divBdr>
        <w:top w:val="none" w:sz="0" w:space="0" w:color="auto"/>
        <w:left w:val="none" w:sz="0" w:space="0" w:color="auto"/>
        <w:bottom w:val="none" w:sz="0" w:space="0" w:color="auto"/>
        <w:right w:val="none" w:sz="0" w:space="0" w:color="auto"/>
      </w:divBdr>
    </w:div>
    <w:div w:id="634602160">
      <w:bodyDiv w:val="1"/>
      <w:marLeft w:val="0"/>
      <w:marRight w:val="0"/>
      <w:marTop w:val="0"/>
      <w:marBottom w:val="0"/>
      <w:divBdr>
        <w:top w:val="none" w:sz="0" w:space="0" w:color="auto"/>
        <w:left w:val="none" w:sz="0" w:space="0" w:color="auto"/>
        <w:bottom w:val="none" w:sz="0" w:space="0" w:color="auto"/>
        <w:right w:val="none" w:sz="0" w:space="0" w:color="auto"/>
      </w:divBdr>
    </w:div>
    <w:div w:id="637616346">
      <w:bodyDiv w:val="1"/>
      <w:marLeft w:val="0"/>
      <w:marRight w:val="0"/>
      <w:marTop w:val="0"/>
      <w:marBottom w:val="0"/>
      <w:divBdr>
        <w:top w:val="none" w:sz="0" w:space="0" w:color="auto"/>
        <w:left w:val="none" w:sz="0" w:space="0" w:color="auto"/>
        <w:bottom w:val="none" w:sz="0" w:space="0" w:color="auto"/>
        <w:right w:val="none" w:sz="0" w:space="0" w:color="auto"/>
      </w:divBdr>
    </w:div>
    <w:div w:id="639264477">
      <w:bodyDiv w:val="1"/>
      <w:marLeft w:val="0"/>
      <w:marRight w:val="0"/>
      <w:marTop w:val="0"/>
      <w:marBottom w:val="0"/>
      <w:divBdr>
        <w:top w:val="none" w:sz="0" w:space="0" w:color="auto"/>
        <w:left w:val="none" w:sz="0" w:space="0" w:color="auto"/>
        <w:bottom w:val="none" w:sz="0" w:space="0" w:color="auto"/>
        <w:right w:val="none" w:sz="0" w:space="0" w:color="auto"/>
      </w:divBdr>
    </w:div>
    <w:div w:id="644240326">
      <w:bodyDiv w:val="1"/>
      <w:marLeft w:val="0"/>
      <w:marRight w:val="0"/>
      <w:marTop w:val="0"/>
      <w:marBottom w:val="0"/>
      <w:divBdr>
        <w:top w:val="none" w:sz="0" w:space="0" w:color="auto"/>
        <w:left w:val="none" w:sz="0" w:space="0" w:color="auto"/>
        <w:bottom w:val="none" w:sz="0" w:space="0" w:color="auto"/>
        <w:right w:val="none" w:sz="0" w:space="0" w:color="auto"/>
      </w:divBdr>
    </w:div>
    <w:div w:id="670834468">
      <w:bodyDiv w:val="1"/>
      <w:marLeft w:val="0"/>
      <w:marRight w:val="0"/>
      <w:marTop w:val="0"/>
      <w:marBottom w:val="0"/>
      <w:divBdr>
        <w:top w:val="none" w:sz="0" w:space="0" w:color="auto"/>
        <w:left w:val="none" w:sz="0" w:space="0" w:color="auto"/>
        <w:bottom w:val="none" w:sz="0" w:space="0" w:color="auto"/>
        <w:right w:val="none" w:sz="0" w:space="0" w:color="auto"/>
      </w:divBdr>
    </w:div>
    <w:div w:id="675232222">
      <w:bodyDiv w:val="1"/>
      <w:marLeft w:val="0"/>
      <w:marRight w:val="0"/>
      <w:marTop w:val="0"/>
      <w:marBottom w:val="0"/>
      <w:divBdr>
        <w:top w:val="none" w:sz="0" w:space="0" w:color="auto"/>
        <w:left w:val="none" w:sz="0" w:space="0" w:color="auto"/>
        <w:bottom w:val="none" w:sz="0" w:space="0" w:color="auto"/>
        <w:right w:val="none" w:sz="0" w:space="0" w:color="auto"/>
      </w:divBdr>
    </w:div>
    <w:div w:id="675303584">
      <w:bodyDiv w:val="1"/>
      <w:marLeft w:val="0"/>
      <w:marRight w:val="0"/>
      <w:marTop w:val="0"/>
      <w:marBottom w:val="0"/>
      <w:divBdr>
        <w:top w:val="none" w:sz="0" w:space="0" w:color="auto"/>
        <w:left w:val="none" w:sz="0" w:space="0" w:color="auto"/>
        <w:bottom w:val="none" w:sz="0" w:space="0" w:color="auto"/>
        <w:right w:val="none" w:sz="0" w:space="0" w:color="auto"/>
      </w:divBdr>
    </w:div>
    <w:div w:id="676351160">
      <w:bodyDiv w:val="1"/>
      <w:marLeft w:val="0"/>
      <w:marRight w:val="0"/>
      <w:marTop w:val="0"/>
      <w:marBottom w:val="0"/>
      <w:divBdr>
        <w:top w:val="none" w:sz="0" w:space="0" w:color="auto"/>
        <w:left w:val="none" w:sz="0" w:space="0" w:color="auto"/>
        <w:bottom w:val="none" w:sz="0" w:space="0" w:color="auto"/>
        <w:right w:val="none" w:sz="0" w:space="0" w:color="auto"/>
      </w:divBdr>
    </w:div>
    <w:div w:id="678193521">
      <w:bodyDiv w:val="1"/>
      <w:marLeft w:val="0"/>
      <w:marRight w:val="0"/>
      <w:marTop w:val="0"/>
      <w:marBottom w:val="0"/>
      <w:divBdr>
        <w:top w:val="none" w:sz="0" w:space="0" w:color="auto"/>
        <w:left w:val="none" w:sz="0" w:space="0" w:color="auto"/>
        <w:bottom w:val="none" w:sz="0" w:space="0" w:color="auto"/>
        <w:right w:val="none" w:sz="0" w:space="0" w:color="auto"/>
      </w:divBdr>
    </w:div>
    <w:div w:id="689835863">
      <w:bodyDiv w:val="1"/>
      <w:marLeft w:val="0"/>
      <w:marRight w:val="0"/>
      <w:marTop w:val="0"/>
      <w:marBottom w:val="0"/>
      <w:divBdr>
        <w:top w:val="none" w:sz="0" w:space="0" w:color="auto"/>
        <w:left w:val="none" w:sz="0" w:space="0" w:color="auto"/>
        <w:bottom w:val="none" w:sz="0" w:space="0" w:color="auto"/>
        <w:right w:val="none" w:sz="0" w:space="0" w:color="auto"/>
      </w:divBdr>
      <w:divsChild>
        <w:div w:id="1414621846">
          <w:marLeft w:val="547"/>
          <w:marRight w:val="0"/>
          <w:marTop w:val="0"/>
          <w:marBottom w:val="0"/>
          <w:divBdr>
            <w:top w:val="none" w:sz="0" w:space="0" w:color="auto"/>
            <w:left w:val="none" w:sz="0" w:space="0" w:color="auto"/>
            <w:bottom w:val="none" w:sz="0" w:space="0" w:color="auto"/>
            <w:right w:val="none" w:sz="0" w:space="0" w:color="auto"/>
          </w:divBdr>
        </w:div>
      </w:divsChild>
    </w:div>
    <w:div w:id="696932988">
      <w:bodyDiv w:val="1"/>
      <w:marLeft w:val="0"/>
      <w:marRight w:val="0"/>
      <w:marTop w:val="0"/>
      <w:marBottom w:val="0"/>
      <w:divBdr>
        <w:top w:val="none" w:sz="0" w:space="0" w:color="auto"/>
        <w:left w:val="none" w:sz="0" w:space="0" w:color="auto"/>
        <w:bottom w:val="none" w:sz="0" w:space="0" w:color="auto"/>
        <w:right w:val="none" w:sz="0" w:space="0" w:color="auto"/>
      </w:divBdr>
    </w:div>
    <w:div w:id="699203740">
      <w:bodyDiv w:val="1"/>
      <w:marLeft w:val="0"/>
      <w:marRight w:val="0"/>
      <w:marTop w:val="0"/>
      <w:marBottom w:val="0"/>
      <w:divBdr>
        <w:top w:val="none" w:sz="0" w:space="0" w:color="auto"/>
        <w:left w:val="none" w:sz="0" w:space="0" w:color="auto"/>
        <w:bottom w:val="none" w:sz="0" w:space="0" w:color="auto"/>
        <w:right w:val="none" w:sz="0" w:space="0" w:color="auto"/>
      </w:divBdr>
    </w:div>
    <w:div w:id="699552934">
      <w:bodyDiv w:val="1"/>
      <w:marLeft w:val="0"/>
      <w:marRight w:val="0"/>
      <w:marTop w:val="0"/>
      <w:marBottom w:val="0"/>
      <w:divBdr>
        <w:top w:val="none" w:sz="0" w:space="0" w:color="auto"/>
        <w:left w:val="none" w:sz="0" w:space="0" w:color="auto"/>
        <w:bottom w:val="none" w:sz="0" w:space="0" w:color="auto"/>
        <w:right w:val="none" w:sz="0" w:space="0" w:color="auto"/>
      </w:divBdr>
    </w:div>
    <w:div w:id="700519930">
      <w:bodyDiv w:val="1"/>
      <w:marLeft w:val="0"/>
      <w:marRight w:val="0"/>
      <w:marTop w:val="0"/>
      <w:marBottom w:val="0"/>
      <w:divBdr>
        <w:top w:val="none" w:sz="0" w:space="0" w:color="auto"/>
        <w:left w:val="none" w:sz="0" w:space="0" w:color="auto"/>
        <w:bottom w:val="none" w:sz="0" w:space="0" w:color="auto"/>
        <w:right w:val="none" w:sz="0" w:space="0" w:color="auto"/>
      </w:divBdr>
    </w:div>
    <w:div w:id="700783792">
      <w:bodyDiv w:val="1"/>
      <w:marLeft w:val="0"/>
      <w:marRight w:val="0"/>
      <w:marTop w:val="0"/>
      <w:marBottom w:val="0"/>
      <w:divBdr>
        <w:top w:val="none" w:sz="0" w:space="0" w:color="auto"/>
        <w:left w:val="none" w:sz="0" w:space="0" w:color="auto"/>
        <w:bottom w:val="none" w:sz="0" w:space="0" w:color="auto"/>
        <w:right w:val="none" w:sz="0" w:space="0" w:color="auto"/>
      </w:divBdr>
    </w:div>
    <w:div w:id="739251821">
      <w:bodyDiv w:val="1"/>
      <w:marLeft w:val="0"/>
      <w:marRight w:val="0"/>
      <w:marTop w:val="0"/>
      <w:marBottom w:val="0"/>
      <w:divBdr>
        <w:top w:val="none" w:sz="0" w:space="0" w:color="auto"/>
        <w:left w:val="none" w:sz="0" w:space="0" w:color="auto"/>
        <w:bottom w:val="none" w:sz="0" w:space="0" w:color="auto"/>
        <w:right w:val="none" w:sz="0" w:space="0" w:color="auto"/>
      </w:divBdr>
    </w:div>
    <w:div w:id="740448617">
      <w:bodyDiv w:val="1"/>
      <w:marLeft w:val="0"/>
      <w:marRight w:val="0"/>
      <w:marTop w:val="0"/>
      <w:marBottom w:val="0"/>
      <w:divBdr>
        <w:top w:val="none" w:sz="0" w:space="0" w:color="auto"/>
        <w:left w:val="none" w:sz="0" w:space="0" w:color="auto"/>
        <w:bottom w:val="none" w:sz="0" w:space="0" w:color="auto"/>
        <w:right w:val="none" w:sz="0" w:space="0" w:color="auto"/>
      </w:divBdr>
    </w:div>
    <w:div w:id="746070322">
      <w:bodyDiv w:val="1"/>
      <w:marLeft w:val="0"/>
      <w:marRight w:val="0"/>
      <w:marTop w:val="0"/>
      <w:marBottom w:val="0"/>
      <w:divBdr>
        <w:top w:val="none" w:sz="0" w:space="0" w:color="auto"/>
        <w:left w:val="none" w:sz="0" w:space="0" w:color="auto"/>
        <w:bottom w:val="none" w:sz="0" w:space="0" w:color="auto"/>
        <w:right w:val="none" w:sz="0" w:space="0" w:color="auto"/>
      </w:divBdr>
    </w:div>
    <w:div w:id="749275607">
      <w:bodyDiv w:val="1"/>
      <w:marLeft w:val="0"/>
      <w:marRight w:val="0"/>
      <w:marTop w:val="0"/>
      <w:marBottom w:val="0"/>
      <w:divBdr>
        <w:top w:val="none" w:sz="0" w:space="0" w:color="auto"/>
        <w:left w:val="none" w:sz="0" w:space="0" w:color="auto"/>
        <w:bottom w:val="none" w:sz="0" w:space="0" w:color="auto"/>
        <w:right w:val="none" w:sz="0" w:space="0" w:color="auto"/>
      </w:divBdr>
    </w:div>
    <w:div w:id="756442172">
      <w:bodyDiv w:val="1"/>
      <w:marLeft w:val="0"/>
      <w:marRight w:val="0"/>
      <w:marTop w:val="0"/>
      <w:marBottom w:val="0"/>
      <w:divBdr>
        <w:top w:val="none" w:sz="0" w:space="0" w:color="auto"/>
        <w:left w:val="none" w:sz="0" w:space="0" w:color="auto"/>
        <w:bottom w:val="none" w:sz="0" w:space="0" w:color="auto"/>
        <w:right w:val="none" w:sz="0" w:space="0" w:color="auto"/>
      </w:divBdr>
    </w:div>
    <w:div w:id="759330280">
      <w:bodyDiv w:val="1"/>
      <w:marLeft w:val="0"/>
      <w:marRight w:val="0"/>
      <w:marTop w:val="0"/>
      <w:marBottom w:val="0"/>
      <w:divBdr>
        <w:top w:val="none" w:sz="0" w:space="0" w:color="auto"/>
        <w:left w:val="none" w:sz="0" w:space="0" w:color="auto"/>
        <w:bottom w:val="none" w:sz="0" w:space="0" w:color="auto"/>
        <w:right w:val="none" w:sz="0" w:space="0" w:color="auto"/>
      </w:divBdr>
    </w:div>
    <w:div w:id="778187916">
      <w:bodyDiv w:val="1"/>
      <w:marLeft w:val="0"/>
      <w:marRight w:val="0"/>
      <w:marTop w:val="0"/>
      <w:marBottom w:val="0"/>
      <w:divBdr>
        <w:top w:val="none" w:sz="0" w:space="0" w:color="auto"/>
        <w:left w:val="none" w:sz="0" w:space="0" w:color="auto"/>
        <w:bottom w:val="none" w:sz="0" w:space="0" w:color="auto"/>
        <w:right w:val="none" w:sz="0" w:space="0" w:color="auto"/>
      </w:divBdr>
    </w:div>
    <w:div w:id="780954139">
      <w:bodyDiv w:val="1"/>
      <w:marLeft w:val="0"/>
      <w:marRight w:val="0"/>
      <w:marTop w:val="0"/>
      <w:marBottom w:val="0"/>
      <w:divBdr>
        <w:top w:val="none" w:sz="0" w:space="0" w:color="auto"/>
        <w:left w:val="none" w:sz="0" w:space="0" w:color="auto"/>
        <w:bottom w:val="none" w:sz="0" w:space="0" w:color="auto"/>
        <w:right w:val="none" w:sz="0" w:space="0" w:color="auto"/>
      </w:divBdr>
    </w:div>
    <w:div w:id="781456689">
      <w:bodyDiv w:val="1"/>
      <w:marLeft w:val="0"/>
      <w:marRight w:val="0"/>
      <w:marTop w:val="0"/>
      <w:marBottom w:val="0"/>
      <w:divBdr>
        <w:top w:val="none" w:sz="0" w:space="0" w:color="auto"/>
        <w:left w:val="none" w:sz="0" w:space="0" w:color="auto"/>
        <w:bottom w:val="none" w:sz="0" w:space="0" w:color="auto"/>
        <w:right w:val="none" w:sz="0" w:space="0" w:color="auto"/>
      </w:divBdr>
    </w:div>
    <w:div w:id="788204633">
      <w:bodyDiv w:val="1"/>
      <w:marLeft w:val="0"/>
      <w:marRight w:val="0"/>
      <w:marTop w:val="0"/>
      <w:marBottom w:val="0"/>
      <w:divBdr>
        <w:top w:val="none" w:sz="0" w:space="0" w:color="auto"/>
        <w:left w:val="none" w:sz="0" w:space="0" w:color="auto"/>
        <w:bottom w:val="none" w:sz="0" w:space="0" w:color="auto"/>
        <w:right w:val="none" w:sz="0" w:space="0" w:color="auto"/>
      </w:divBdr>
    </w:div>
    <w:div w:id="790978705">
      <w:bodyDiv w:val="1"/>
      <w:marLeft w:val="0"/>
      <w:marRight w:val="0"/>
      <w:marTop w:val="0"/>
      <w:marBottom w:val="0"/>
      <w:divBdr>
        <w:top w:val="none" w:sz="0" w:space="0" w:color="auto"/>
        <w:left w:val="none" w:sz="0" w:space="0" w:color="auto"/>
        <w:bottom w:val="none" w:sz="0" w:space="0" w:color="auto"/>
        <w:right w:val="none" w:sz="0" w:space="0" w:color="auto"/>
      </w:divBdr>
    </w:div>
    <w:div w:id="792334770">
      <w:bodyDiv w:val="1"/>
      <w:marLeft w:val="0"/>
      <w:marRight w:val="0"/>
      <w:marTop w:val="0"/>
      <w:marBottom w:val="0"/>
      <w:divBdr>
        <w:top w:val="none" w:sz="0" w:space="0" w:color="auto"/>
        <w:left w:val="none" w:sz="0" w:space="0" w:color="auto"/>
        <w:bottom w:val="none" w:sz="0" w:space="0" w:color="auto"/>
        <w:right w:val="none" w:sz="0" w:space="0" w:color="auto"/>
      </w:divBdr>
    </w:div>
    <w:div w:id="792941221">
      <w:bodyDiv w:val="1"/>
      <w:marLeft w:val="0"/>
      <w:marRight w:val="0"/>
      <w:marTop w:val="0"/>
      <w:marBottom w:val="0"/>
      <w:divBdr>
        <w:top w:val="none" w:sz="0" w:space="0" w:color="auto"/>
        <w:left w:val="none" w:sz="0" w:space="0" w:color="auto"/>
        <w:bottom w:val="none" w:sz="0" w:space="0" w:color="auto"/>
        <w:right w:val="none" w:sz="0" w:space="0" w:color="auto"/>
      </w:divBdr>
    </w:div>
    <w:div w:id="798570450">
      <w:bodyDiv w:val="1"/>
      <w:marLeft w:val="0"/>
      <w:marRight w:val="0"/>
      <w:marTop w:val="0"/>
      <w:marBottom w:val="0"/>
      <w:divBdr>
        <w:top w:val="none" w:sz="0" w:space="0" w:color="auto"/>
        <w:left w:val="none" w:sz="0" w:space="0" w:color="auto"/>
        <w:bottom w:val="none" w:sz="0" w:space="0" w:color="auto"/>
        <w:right w:val="none" w:sz="0" w:space="0" w:color="auto"/>
      </w:divBdr>
    </w:div>
    <w:div w:id="804852446">
      <w:bodyDiv w:val="1"/>
      <w:marLeft w:val="0"/>
      <w:marRight w:val="0"/>
      <w:marTop w:val="0"/>
      <w:marBottom w:val="0"/>
      <w:divBdr>
        <w:top w:val="none" w:sz="0" w:space="0" w:color="auto"/>
        <w:left w:val="none" w:sz="0" w:space="0" w:color="auto"/>
        <w:bottom w:val="none" w:sz="0" w:space="0" w:color="auto"/>
        <w:right w:val="none" w:sz="0" w:space="0" w:color="auto"/>
      </w:divBdr>
    </w:div>
    <w:div w:id="812336481">
      <w:bodyDiv w:val="1"/>
      <w:marLeft w:val="0"/>
      <w:marRight w:val="0"/>
      <w:marTop w:val="0"/>
      <w:marBottom w:val="0"/>
      <w:divBdr>
        <w:top w:val="none" w:sz="0" w:space="0" w:color="auto"/>
        <w:left w:val="none" w:sz="0" w:space="0" w:color="auto"/>
        <w:bottom w:val="none" w:sz="0" w:space="0" w:color="auto"/>
        <w:right w:val="none" w:sz="0" w:space="0" w:color="auto"/>
      </w:divBdr>
    </w:div>
    <w:div w:id="815413560">
      <w:bodyDiv w:val="1"/>
      <w:marLeft w:val="0"/>
      <w:marRight w:val="0"/>
      <w:marTop w:val="0"/>
      <w:marBottom w:val="0"/>
      <w:divBdr>
        <w:top w:val="none" w:sz="0" w:space="0" w:color="auto"/>
        <w:left w:val="none" w:sz="0" w:space="0" w:color="auto"/>
        <w:bottom w:val="none" w:sz="0" w:space="0" w:color="auto"/>
        <w:right w:val="none" w:sz="0" w:space="0" w:color="auto"/>
      </w:divBdr>
    </w:div>
    <w:div w:id="837504670">
      <w:bodyDiv w:val="1"/>
      <w:marLeft w:val="0"/>
      <w:marRight w:val="0"/>
      <w:marTop w:val="0"/>
      <w:marBottom w:val="0"/>
      <w:divBdr>
        <w:top w:val="none" w:sz="0" w:space="0" w:color="auto"/>
        <w:left w:val="none" w:sz="0" w:space="0" w:color="auto"/>
        <w:bottom w:val="none" w:sz="0" w:space="0" w:color="auto"/>
        <w:right w:val="none" w:sz="0" w:space="0" w:color="auto"/>
      </w:divBdr>
    </w:div>
    <w:div w:id="843862843">
      <w:bodyDiv w:val="1"/>
      <w:marLeft w:val="0"/>
      <w:marRight w:val="0"/>
      <w:marTop w:val="0"/>
      <w:marBottom w:val="0"/>
      <w:divBdr>
        <w:top w:val="none" w:sz="0" w:space="0" w:color="auto"/>
        <w:left w:val="none" w:sz="0" w:space="0" w:color="auto"/>
        <w:bottom w:val="none" w:sz="0" w:space="0" w:color="auto"/>
        <w:right w:val="none" w:sz="0" w:space="0" w:color="auto"/>
      </w:divBdr>
    </w:div>
    <w:div w:id="844169966">
      <w:bodyDiv w:val="1"/>
      <w:marLeft w:val="0"/>
      <w:marRight w:val="0"/>
      <w:marTop w:val="0"/>
      <w:marBottom w:val="0"/>
      <w:divBdr>
        <w:top w:val="none" w:sz="0" w:space="0" w:color="auto"/>
        <w:left w:val="none" w:sz="0" w:space="0" w:color="auto"/>
        <w:bottom w:val="none" w:sz="0" w:space="0" w:color="auto"/>
        <w:right w:val="none" w:sz="0" w:space="0" w:color="auto"/>
      </w:divBdr>
    </w:div>
    <w:div w:id="857357347">
      <w:bodyDiv w:val="1"/>
      <w:marLeft w:val="0"/>
      <w:marRight w:val="0"/>
      <w:marTop w:val="0"/>
      <w:marBottom w:val="0"/>
      <w:divBdr>
        <w:top w:val="none" w:sz="0" w:space="0" w:color="auto"/>
        <w:left w:val="none" w:sz="0" w:space="0" w:color="auto"/>
        <w:bottom w:val="none" w:sz="0" w:space="0" w:color="auto"/>
        <w:right w:val="none" w:sz="0" w:space="0" w:color="auto"/>
      </w:divBdr>
    </w:div>
    <w:div w:id="861167759">
      <w:bodyDiv w:val="1"/>
      <w:marLeft w:val="0"/>
      <w:marRight w:val="0"/>
      <w:marTop w:val="0"/>
      <w:marBottom w:val="0"/>
      <w:divBdr>
        <w:top w:val="none" w:sz="0" w:space="0" w:color="auto"/>
        <w:left w:val="none" w:sz="0" w:space="0" w:color="auto"/>
        <w:bottom w:val="none" w:sz="0" w:space="0" w:color="auto"/>
        <w:right w:val="none" w:sz="0" w:space="0" w:color="auto"/>
      </w:divBdr>
    </w:div>
    <w:div w:id="863206198">
      <w:bodyDiv w:val="1"/>
      <w:marLeft w:val="0"/>
      <w:marRight w:val="0"/>
      <w:marTop w:val="0"/>
      <w:marBottom w:val="0"/>
      <w:divBdr>
        <w:top w:val="none" w:sz="0" w:space="0" w:color="auto"/>
        <w:left w:val="none" w:sz="0" w:space="0" w:color="auto"/>
        <w:bottom w:val="none" w:sz="0" w:space="0" w:color="auto"/>
        <w:right w:val="none" w:sz="0" w:space="0" w:color="auto"/>
      </w:divBdr>
    </w:div>
    <w:div w:id="864058001">
      <w:bodyDiv w:val="1"/>
      <w:marLeft w:val="0"/>
      <w:marRight w:val="0"/>
      <w:marTop w:val="0"/>
      <w:marBottom w:val="0"/>
      <w:divBdr>
        <w:top w:val="none" w:sz="0" w:space="0" w:color="auto"/>
        <w:left w:val="none" w:sz="0" w:space="0" w:color="auto"/>
        <w:bottom w:val="none" w:sz="0" w:space="0" w:color="auto"/>
        <w:right w:val="none" w:sz="0" w:space="0" w:color="auto"/>
      </w:divBdr>
    </w:div>
    <w:div w:id="873810176">
      <w:bodyDiv w:val="1"/>
      <w:marLeft w:val="0"/>
      <w:marRight w:val="0"/>
      <w:marTop w:val="0"/>
      <w:marBottom w:val="0"/>
      <w:divBdr>
        <w:top w:val="none" w:sz="0" w:space="0" w:color="auto"/>
        <w:left w:val="none" w:sz="0" w:space="0" w:color="auto"/>
        <w:bottom w:val="none" w:sz="0" w:space="0" w:color="auto"/>
        <w:right w:val="none" w:sz="0" w:space="0" w:color="auto"/>
      </w:divBdr>
    </w:div>
    <w:div w:id="878931686">
      <w:bodyDiv w:val="1"/>
      <w:marLeft w:val="0"/>
      <w:marRight w:val="0"/>
      <w:marTop w:val="0"/>
      <w:marBottom w:val="0"/>
      <w:divBdr>
        <w:top w:val="none" w:sz="0" w:space="0" w:color="auto"/>
        <w:left w:val="none" w:sz="0" w:space="0" w:color="auto"/>
        <w:bottom w:val="none" w:sz="0" w:space="0" w:color="auto"/>
        <w:right w:val="none" w:sz="0" w:space="0" w:color="auto"/>
      </w:divBdr>
    </w:div>
    <w:div w:id="886259401">
      <w:bodyDiv w:val="1"/>
      <w:marLeft w:val="0"/>
      <w:marRight w:val="0"/>
      <w:marTop w:val="0"/>
      <w:marBottom w:val="0"/>
      <w:divBdr>
        <w:top w:val="none" w:sz="0" w:space="0" w:color="auto"/>
        <w:left w:val="none" w:sz="0" w:space="0" w:color="auto"/>
        <w:bottom w:val="none" w:sz="0" w:space="0" w:color="auto"/>
        <w:right w:val="none" w:sz="0" w:space="0" w:color="auto"/>
      </w:divBdr>
    </w:div>
    <w:div w:id="900560705">
      <w:bodyDiv w:val="1"/>
      <w:marLeft w:val="0"/>
      <w:marRight w:val="0"/>
      <w:marTop w:val="0"/>
      <w:marBottom w:val="0"/>
      <w:divBdr>
        <w:top w:val="none" w:sz="0" w:space="0" w:color="auto"/>
        <w:left w:val="none" w:sz="0" w:space="0" w:color="auto"/>
        <w:bottom w:val="none" w:sz="0" w:space="0" w:color="auto"/>
        <w:right w:val="none" w:sz="0" w:space="0" w:color="auto"/>
      </w:divBdr>
    </w:div>
    <w:div w:id="904225597">
      <w:bodyDiv w:val="1"/>
      <w:marLeft w:val="0"/>
      <w:marRight w:val="0"/>
      <w:marTop w:val="0"/>
      <w:marBottom w:val="0"/>
      <w:divBdr>
        <w:top w:val="none" w:sz="0" w:space="0" w:color="auto"/>
        <w:left w:val="none" w:sz="0" w:space="0" w:color="auto"/>
        <w:bottom w:val="none" w:sz="0" w:space="0" w:color="auto"/>
        <w:right w:val="none" w:sz="0" w:space="0" w:color="auto"/>
      </w:divBdr>
    </w:div>
    <w:div w:id="906494764">
      <w:bodyDiv w:val="1"/>
      <w:marLeft w:val="0"/>
      <w:marRight w:val="0"/>
      <w:marTop w:val="0"/>
      <w:marBottom w:val="0"/>
      <w:divBdr>
        <w:top w:val="none" w:sz="0" w:space="0" w:color="auto"/>
        <w:left w:val="none" w:sz="0" w:space="0" w:color="auto"/>
        <w:bottom w:val="none" w:sz="0" w:space="0" w:color="auto"/>
        <w:right w:val="none" w:sz="0" w:space="0" w:color="auto"/>
      </w:divBdr>
    </w:div>
    <w:div w:id="923685710">
      <w:bodyDiv w:val="1"/>
      <w:marLeft w:val="0"/>
      <w:marRight w:val="0"/>
      <w:marTop w:val="0"/>
      <w:marBottom w:val="0"/>
      <w:divBdr>
        <w:top w:val="none" w:sz="0" w:space="0" w:color="auto"/>
        <w:left w:val="none" w:sz="0" w:space="0" w:color="auto"/>
        <w:bottom w:val="none" w:sz="0" w:space="0" w:color="auto"/>
        <w:right w:val="none" w:sz="0" w:space="0" w:color="auto"/>
      </w:divBdr>
    </w:div>
    <w:div w:id="924191552">
      <w:bodyDiv w:val="1"/>
      <w:marLeft w:val="0"/>
      <w:marRight w:val="0"/>
      <w:marTop w:val="0"/>
      <w:marBottom w:val="0"/>
      <w:divBdr>
        <w:top w:val="none" w:sz="0" w:space="0" w:color="auto"/>
        <w:left w:val="none" w:sz="0" w:space="0" w:color="auto"/>
        <w:bottom w:val="none" w:sz="0" w:space="0" w:color="auto"/>
        <w:right w:val="none" w:sz="0" w:space="0" w:color="auto"/>
      </w:divBdr>
    </w:div>
    <w:div w:id="931626965">
      <w:bodyDiv w:val="1"/>
      <w:marLeft w:val="0"/>
      <w:marRight w:val="0"/>
      <w:marTop w:val="0"/>
      <w:marBottom w:val="0"/>
      <w:divBdr>
        <w:top w:val="none" w:sz="0" w:space="0" w:color="auto"/>
        <w:left w:val="none" w:sz="0" w:space="0" w:color="auto"/>
        <w:bottom w:val="none" w:sz="0" w:space="0" w:color="auto"/>
        <w:right w:val="none" w:sz="0" w:space="0" w:color="auto"/>
      </w:divBdr>
    </w:div>
    <w:div w:id="934247934">
      <w:bodyDiv w:val="1"/>
      <w:marLeft w:val="0"/>
      <w:marRight w:val="0"/>
      <w:marTop w:val="0"/>
      <w:marBottom w:val="0"/>
      <w:divBdr>
        <w:top w:val="none" w:sz="0" w:space="0" w:color="auto"/>
        <w:left w:val="none" w:sz="0" w:space="0" w:color="auto"/>
        <w:bottom w:val="none" w:sz="0" w:space="0" w:color="auto"/>
        <w:right w:val="none" w:sz="0" w:space="0" w:color="auto"/>
      </w:divBdr>
    </w:div>
    <w:div w:id="934825487">
      <w:bodyDiv w:val="1"/>
      <w:marLeft w:val="0"/>
      <w:marRight w:val="0"/>
      <w:marTop w:val="0"/>
      <w:marBottom w:val="0"/>
      <w:divBdr>
        <w:top w:val="none" w:sz="0" w:space="0" w:color="auto"/>
        <w:left w:val="none" w:sz="0" w:space="0" w:color="auto"/>
        <w:bottom w:val="none" w:sz="0" w:space="0" w:color="auto"/>
        <w:right w:val="none" w:sz="0" w:space="0" w:color="auto"/>
      </w:divBdr>
    </w:div>
    <w:div w:id="942151508">
      <w:bodyDiv w:val="1"/>
      <w:marLeft w:val="0"/>
      <w:marRight w:val="0"/>
      <w:marTop w:val="0"/>
      <w:marBottom w:val="0"/>
      <w:divBdr>
        <w:top w:val="none" w:sz="0" w:space="0" w:color="auto"/>
        <w:left w:val="none" w:sz="0" w:space="0" w:color="auto"/>
        <w:bottom w:val="none" w:sz="0" w:space="0" w:color="auto"/>
        <w:right w:val="none" w:sz="0" w:space="0" w:color="auto"/>
      </w:divBdr>
    </w:div>
    <w:div w:id="945620204">
      <w:bodyDiv w:val="1"/>
      <w:marLeft w:val="0"/>
      <w:marRight w:val="0"/>
      <w:marTop w:val="0"/>
      <w:marBottom w:val="0"/>
      <w:divBdr>
        <w:top w:val="none" w:sz="0" w:space="0" w:color="auto"/>
        <w:left w:val="none" w:sz="0" w:space="0" w:color="auto"/>
        <w:bottom w:val="none" w:sz="0" w:space="0" w:color="auto"/>
        <w:right w:val="none" w:sz="0" w:space="0" w:color="auto"/>
      </w:divBdr>
    </w:div>
    <w:div w:id="947850404">
      <w:bodyDiv w:val="1"/>
      <w:marLeft w:val="0"/>
      <w:marRight w:val="0"/>
      <w:marTop w:val="0"/>
      <w:marBottom w:val="0"/>
      <w:divBdr>
        <w:top w:val="none" w:sz="0" w:space="0" w:color="auto"/>
        <w:left w:val="none" w:sz="0" w:space="0" w:color="auto"/>
        <w:bottom w:val="none" w:sz="0" w:space="0" w:color="auto"/>
        <w:right w:val="none" w:sz="0" w:space="0" w:color="auto"/>
      </w:divBdr>
    </w:div>
    <w:div w:id="964234790">
      <w:bodyDiv w:val="1"/>
      <w:marLeft w:val="0"/>
      <w:marRight w:val="0"/>
      <w:marTop w:val="0"/>
      <w:marBottom w:val="0"/>
      <w:divBdr>
        <w:top w:val="none" w:sz="0" w:space="0" w:color="auto"/>
        <w:left w:val="none" w:sz="0" w:space="0" w:color="auto"/>
        <w:bottom w:val="none" w:sz="0" w:space="0" w:color="auto"/>
        <w:right w:val="none" w:sz="0" w:space="0" w:color="auto"/>
      </w:divBdr>
    </w:div>
    <w:div w:id="967516934">
      <w:bodyDiv w:val="1"/>
      <w:marLeft w:val="0"/>
      <w:marRight w:val="0"/>
      <w:marTop w:val="0"/>
      <w:marBottom w:val="0"/>
      <w:divBdr>
        <w:top w:val="none" w:sz="0" w:space="0" w:color="auto"/>
        <w:left w:val="none" w:sz="0" w:space="0" w:color="auto"/>
        <w:bottom w:val="none" w:sz="0" w:space="0" w:color="auto"/>
        <w:right w:val="none" w:sz="0" w:space="0" w:color="auto"/>
      </w:divBdr>
    </w:div>
    <w:div w:id="988094079">
      <w:bodyDiv w:val="1"/>
      <w:marLeft w:val="0"/>
      <w:marRight w:val="0"/>
      <w:marTop w:val="0"/>
      <w:marBottom w:val="0"/>
      <w:divBdr>
        <w:top w:val="none" w:sz="0" w:space="0" w:color="auto"/>
        <w:left w:val="none" w:sz="0" w:space="0" w:color="auto"/>
        <w:bottom w:val="none" w:sz="0" w:space="0" w:color="auto"/>
        <w:right w:val="none" w:sz="0" w:space="0" w:color="auto"/>
      </w:divBdr>
    </w:div>
    <w:div w:id="995760949">
      <w:bodyDiv w:val="1"/>
      <w:marLeft w:val="0"/>
      <w:marRight w:val="0"/>
      <w:marTop w:val="0"/>
      <w:marBottom w:val="0"/>
      <w:divBdr>
        <w:top w:val="none" w:sz="0" w:space="0" w:color="auto"/>
        <w:left w:val="none" w:sz="0" w:space="0" w:color="auto"/>
        <w:bottom w:val="none" w:sz="0" w:space="0" w:color="auto"/>
        <w:right w:val="none" w:sz="0" w:space="0" w:color="auto"/>
      </w:divBdr>
    </w:div>
    <w:div w:id="997415430">
      <w:bodyDiv w:val="1"/>
      <w:marLeft w:val="0"/>
      <w:marRight w:val="0"/>
      <w:marTop w:val="0"/>
      <w:marBottom w:val="0"/>
      <w:divBdr>
        <w:top w:val="none" w:sz="0" w:space="0" w:color="auto"/>
        <w:left w:val="none" w:sz="0" w:space="0" w:color="auto"/>
        <w:bottom w:val="none" w:sz="0" w:space="0" w:color="auto"/>
        <w:right w:val="none" w:sz="0" w:space="0" w:color="auto"/>
      </w:divBdr>
    </w:div>
    <w:div w:id="998072977">
      <w:bodyDiv w:val="1"/>
      <w:marLeft w:val="0"/>
      <w:marRight w:val="0"/>
      <w:marTop w:val="0"/>
      <w:marBottom w:val="0"/>
      <w:divBdr>
        <w:top w:val="none" w:sz="0" w:space="0" w:color="auto"/>
        <w:left w:val="none" w:sz="0" w:space="0" w:color="auto"/>
        <w:bottom w:val="none" w:sz="0" w:space="0" w:color="auto"/>
        <w:right w:val="none" w:sz="0" w:space="0" w:color="auto"/>
      </w:divBdr>
    </w:div>
    <w:div w:id="998922855">
      <w:bodyDiv w:val="1"/>
      <w:marLeft w:val="0"/>
      <w:marRight w:val="0"/>
      <w:marTop w:val="0"/>
      <w:marBottom w:val="0"/>
      <w:divBdr>
        <w:top w:val="none" w:sz="0" w:space="0" w:color="auto"/>
        <w:left w:val="none" w:sz="0" w:space="0" w:color="auto"/>
        <w:bottom w:val="none" w:sz="0" w:space="0" w:color="auto"/>
        <w:right w:val="none" w:sz="0" w:space="0" w:color="auto"/>
      </w:divBdr>
    </w:div>
    <w:div w:id="1001858362">
      <w:bodyDiv w:val="1"/>
      <w:marLeft w:val="0"/>
      <w:marRight w:val="0"/>
      <w:marTop w:val="0"/>
      <w:marBottom w:val="0"/>
      <w:divBdr>
        <w:top w:val="none" w:sz="0" w:space="0" w:color="auto"/>
        <w:left w:val="none" w:sz="0" w:space="0" w:color="auto"/>
        <w:bottom w:val="none" w:sz="0" w:space="0" w:color="auto"/>
        <w:right w:val="none" w:sz="0" w:space="0" w:color="auto"/>
      </w:divBdr>
    </w:div>
    <w:div w:id="1009871470">
      <w:bodyDiv w:val="1"/>
      <w:marLeft w:val="0"/>
      <w:marRight w:val="0"/>
      <w:marTop w:val="0"/>
      <w:marBottom w:val="0"/>
      <w:divBdr>
        <w:top w:val="none" w:sz="0" w:space="0" w:color="auto"/>
        <w:left w:val="none" w:sz="0" w:space="0" w:color="auto"/>
        <w:bottom w:val="none" w:sz="0" w:space="0" w:color="auto"/>
        <w:right w:val="none" w:sz="0" w:space="0" w:color="auto"/>
      </w:divBdr>
    </w:div>
    <w:div w:id="1010638903">
      <w:bodyDiv w:val="1"/>
      <w:marLeft w:val="0"/>
      <w:marRight w:val="0"/>
      <w:marTop w:val="0"/>
      <w:marBottom w:val="0"/>
      <w:divBdr>
        <w:top w:val="none" w:sz="0" w:space="0" w:color="auto"/>
        <w:left w:val="none" w:sz="0" w:space="0" w:color="auto"/>
        <w:bottom w:val="none" w:sz="0" w:space="0" w:color="auto"/>
        <w:right w:val="none" w:sz="0" w:space="0" w:color="auto"/>
      </w:divBdr>
    </w:div>
    <w:div w:id="1013649389">
      <w:bodyDiv w:val="1"/>
      <w:marLeft w:val="0"/>
      <w:marRight w:val="0"/>
      <w:marTop w:val="0"/>
      <w:marBottom w:val="0"/>
      <w:divBdr>
        <w:top w:val="none" w:sz="0" w:space="0" w:color="auto"/>
        <w:left w:val="none" w:sz="0" w:space="0" w:color="auto"/>
        <w:bottom w:val="none" w:sz="0" w:space="0" w:color="auto"/>
        <w:right w:val="none" w:sz="0" w:space="0" w:color="auto"/>
      </w:divBdr>
    </w:div>
    <w:div w:id="1017461447">
      <w:bodyDiv w:val="1"/>
      <w:marLeft w:val="0"/>
      <w:marRight w:val="0"/>
      <w:marTop w:val="0"/>
      <w:marBottom w:val="0"/>
      <w:divBdr>
        <w:top w:val="none" w:sz="0" w:space="0" w:color="auto"/>
        <w:left w:val="none" w:sz="0" w:space="0" w:color="auto"/>
        <w:bottom w:val="none" w:sz="0" w:space="0" w:color="auto"/>
        <w:right w:val="none" w:sz="0" w:space="0" w:color="auto"/>
      </w:divBdr>
    </w:div>
    <w:div w:id="1026834706">
      <w:bodyDiv w:val="1"/>
      <w:marLeft w:val="0"/>
      <w:marRight w:val="0"/>
      <w:marTop w:val="0"/>
      <w:marBottom w:val="0"/>
      <w:divBdr>
        <w:top w:val="none" w:sz="0" w:space="0" w:color="auto"/>
        <w:left w:val="none" w:sz="0" w:space="0" w:color="auto"/>
        <w:bottom w:val="none" w:sz="0" w:space="0" w:color="auto"/>
        <w:right w:val="none" w:sz="0" w:space="0" w:color="auto"/>
      </w:divBdr>
    </w:div>
    <w:div w:id="1042286194">
      <w:bodyDiv w:val="1"/>
      <w:marLeft w:val="0"/>
      <w:marRight w:val="0"/>
      <w:marTop w:val="0"/>
      <w:marBottom w:val="0"/>
      <w:divBdr>
        <w:top w:val="none" w:sz="0" w:space="0" w:color="auto"/>
        <w:left w:val="none" w:sz="0" w:space="0" w:color="auto"/>
        <w:bottom w:val="none" w:sz="0" w:space="0" w:color="auto"/>
        <w:right w:val="none" w:sz="0" w:space="0" w:color="auto"/>
      </w:divBdr>
    </w:div>
    <w:div w:id="1055276125">
      <w:bodyDiv w:val="1"/>
      <w:marLeft w:val="0"/>
      <w:marRight w:val="0"/>
      <w:marTop w:val="0"/>
      <w:marBottom w:val="0"/>
      <w:divBdr>
        <w:top w:val="none" w:sz="0" w:space="0" w:color="auto"/>
        <w:left w:val="none" w:sz="0" w:space="0" w:color="auto"/>
        <w:bottom w:val="none" w:sz="0" w:space="0" w:color="auto"/>
        <w:right w:val="none" w:sz="0" w:space="0" w:color="auto"/>
      </w:divBdr>
    </w:div>
    <w:div w:id="1060009539">
      <w:bodyDiv w:val="1"/>
      <w:marLeft w:val="0"/>
      <w:marRight w:val="0"/>
      <w:marTop w:val="0"/>
      <w:marBottom w:val="0"/>
      <w:divBdr>
        <w:top w:val="none" w:sz="0" w:space="0" w:color="auto"/>
        <w:left w:val="none" w:sz="0" w:space="0" w:color="auto"/>
        <w:bottom w:val="none" w:sz="0" w:space="0" w:color="auto"/>
        <w:right w:val="none" w:sz="0" w:space="0" w:color="auto"/>
      </w:divBdr>
    </w:div>
    <w:div w:id="1072199884">
      <w:bodyDiv w:val="1"/>
      <w:marLeft w:val="0"/>
      <w:marRight w:val="0"/>
      <w:marTop w:val="0"/>
      <w:marBottom w:val="0"/>
      <w:divBdr>
        <w:top w:val="none" w:sz="0" w:space="0" w:color="auto"/>
        <w:left w:val="none" w:sz="0" w:space="0" w:color="auto"/>
        <w:bottom w:val="none" w:sz="0" w:space="0" w:color="auto"/>
        <w:right w:val="none" w:sz="0" w:space="0" w:color="auto"/>
      </w:divBdr>
    </w:div>
    <w:div w:id="1073509262">
      <w:bodyDiv w:val="1"/>
      <w:marLeft w:val="0"/>
      <w:marRight w:val="0"/>
      <w:marTop w:val="0"/>
      <w:marBottom w:val="0"/>
      <w:divBdr>
        <w:top w:val="none" w:sz="0" w:space="0" w:color="auto"/>
        <w:left w:val="none" w:sz="0" w:space="0" w:color="auto"/>
        <w:bottom w:val="none" w:sz="0" w:space="0" w:color="auto"/>
        <w:right w:val="none" w:sz="0" w:space="0" w:color="auto"/>
      </w:divBdr>
    </w:div>
    <w:div w:id="1078795237">
      <w:bodyDiv w:val="1"/>
      <w:marLeft w:val="0"/>
      <w:marRight w:val="0"/>
      <w:marTop w:val="0"/>
      <w:marBottom w:val="0"/>
      <w:divBdr>
        <w:top w:val="none" w:sz="0" w:space="0" w:color="auto"/>
        <w:left w:val="none" w:sz="0" w:space="0" w:color="auto"/>
        <w:bottom w:val="none" w:sz="0" w:space="0" w:color="auto"/>
        <w:right w:val="none" w:sz="0" w:space="0" w:color="auto"/>
      </w:divBdr>
    </w:div>
    <w:div w:id="1098598344">
      <w:bodyDiv w:val="1"/>
      <w:marLeft w:val="0"/>
      <w:marRight w:val="0"/>
      <w:marTop w:val="0"/>
      <w:marBottom w:val="0"/>
      <w:divBdr>
        <w:top w:val="none" w:sz="0" w:space="0" w:color="auto"/>
        <w:left w:val="none" w:sz="0" w:space="0" w:color="auto"/>
        <w:bottom w:val="none" w:sz="0" w:space="0" w:color="auto"/>
        <w:right w:val="none" w:sz="0" w:space="0" w:color="auto"/>
      </w:divBdr>
    </w:div>
    <w:div w:id="1100756993">
      <w:bodyDiv w:val="1"/>
      <w:marLeft w:val="0"/>
      <w:marRight w:val="0"/>
      <w:marTop w:val="0"/>
      <w:marBottom w:val="0"/>
      <w:divBdr>
        <w:top w:val="none" w:sz="0" w:space="0" w:color="auto"/>
        <w:left w:val="none" w:sz="0" w:space="0" w:color="auto"/>
        <w:bottom w:val="none" w:sz="0" w:space="0" w:color="auto"/>
        <w:right w:val="none" w:sz="0" w:space="0" w:color="auto"/>
      </w:divBdr>
    </w:div>
    <w:div w:id="1102258261">
      <w:bodyDiv w:val="1"/>
      <w:marLeft w:val="0"/>
      <w:marRight w:val="0"/>
      <w:marTop w:val="0"/>
      <w:marBottom w:val="0"/>
      <w:divBdr>
        <w:top w:val="none" w:sz="0" w:space="0" w:color="auto"/>
        <w:left w:val="none" w:sz="0" w:space="0" w:color="auto"/>
        <w:bottom w:val="none" w:sz="0" w:space="0" w:color="auto"/>
        <w:right w:val="none" w:sz="0" w:space="0" w:color="auto"/>
      </w:divBdr>
    </w:div>
    <w:div w:id="1105461266">
      <w:bodyDiv w:val="1"/>
      <w:marLeft w:val="0"/>
      <w:marRight w:val="0"/>
      <w:marTop w:val="0"/>
      <w:marBottom w:val="0"/>
      <w:divBdr>
        <w:top w:val="none" w:sz="0" w:space="0" w:color="auto"/>
        <w:left w:val="none" w:sz="0" w:space="0" w:color="auto"/>
        <w:bottom w:val="none" w:sz="0" w:space="0" w:color="auto"/>
        <w:right w:val="none" w:sz="0" w:space="0" w:color="auto"/>
      </w:divBdr>
    </w:div>
    <w:div w:id="1107776888">
      <w:bodyDiv w:val="1"/>
      <w:marLeft w:val="0"/>
      <w:marRight w:val="0"/>
      <w:marTop w:val="0"/>
      <w:marBottom w:val="0"/>
      <w:divBdr>
        <w:top w:val="none" w:sz="0" w:space="0" w:color="auto"/>
        <w:left w:val="none" w:sz="0" w:space="0" w:color="auto"/>
        <w:bottom w:val="none" w:sz="0" w:space="0" w:color="auto"/>
        <w:right w:val="none" w:sz="0" w:space="0" w:color="auto"/>
      </w:divBdr>
    </w:div>
    <w:div w:id="1113209648">
      <w:bodyDiv w:val="1"/>
      <w:marLeft w:val="0"/>
      <w:marRight w:val="0"/>
      <w:marTop w:val="0"/>
      <w:marBottom w:val="0"/>
      <w:divBdr>
        <w:top w:val="none" w:sz="0" w:space="0" w:color="auto"/>
        <w:left w:val="none" w:sz="0" w:space="0" w:color="auto"/>
        <w:bottom w:val="none" w:sz="0" w:space="0" w:color="auto"/>
        <w:right w:val="none" w:sz="0" w:space="0" w:color="auto"/>
      </w:divBdr>
    </w:div>
    <w:div w:id="1116221474">
      <w:bodyDiv w:val="1"/>
      <w:marLeft w:val="0"/>
      <w:marRight w:val="0"/>
      <w:marTop w:val="0"/>
      <w:marBottom w:val="0"/>
      <w:divBdr>
        <w:top w:val="none" w:sz="0" w:space="0" w:color="auto"/>
        <w:left w:val="none" w:sz="0" w:space="0" w:color="auto"/>
        <w:bottom w:val="none" w:sz="0" w:space="0" w:color="auto"/>
        <w:right w:val="none" w:sz="0" w:space="0" w:color="auto"/>
      </w:divBdr>
    </w:div>
    <w:div w:id="1134828530">
      <w:bodyDiv w:val="1"/>
      <w:marLeft w:val="0"/>
      <w:marRight w:val="0"/>
      <w:marTop w:val="0"/>
      <w:marBottom w:val="0"/>
      <w:divBdr>
        <w:top w:val="none" w:sz="0" w:space="0" w:color="auto"/>
        <w:left w:val="none" w:sz="0" w:space="0" w:color="auto"/>
        <w:bottom w:val="none" w:sz="0" w:space="0" w:color="auto"/>
        <w:right w:val="none" w:sz="0" w:space="0" w:color="auto"/>
      </w:divBdr>
    </w:div>
    <w:div w:id="1140417166">
      <w:bodyDiv w:val="1"/>
      <w:marLeft w:val="0"/>
      <w:marRight w:val="0"/>
      <w:marTop w:val="0"/>
      <w:marBottom w:val="0"/>
      <w:divBdr>
        <w:top w:val="none" w:sz="0" w:space="0" w:color="auto"/>
        <w:left w:val="none" w:sz="0" w:space="0" w:color="auto"/>
        <w:bottom w:val="none" w:sz="0" w:space="0" w:color="auto"/>
        <w:right w:val="none" w:sz="0" w:space="0" w:color="auto"/>
      </w:divBdr>
    </w:div>
    <w:div w:id="1158107328">
      <w:bodyDiv w:val="1"/>
      <w:marLeft w:val="0"/>
      <w:marRight w:val="0"/>
      <w:marTop w:val="0"/>
      <w:marBottom w:val="0"/>
      <w:divBdr>
        <w:top w:val="none" w:sz="0" w:space="0" w:color="auto"/>
        <w:left w:val="none" w:sz="0" w:space="0" w:color="auto"/>
        <w:bottom w:val="none" w:sz="0" w:space="0" w:color="auto"/>
        <w:right w:val="none" w:sz="0" w:space="0" w:color="auto"/>
      </w:divBdr>
    </w:div>
    <w:div w:id="1159266558">
      <w:bodyDiv w:val="1"/>
      <w:marLeft w:val="0"/>
      <w:marRight w:val="0"/>
      <w:marTop w:val="0"/>
      <w:marBottom w:val="0"/>
      <w:divBdr>
        <w:top w:val="none" w:sz="0" w:space="0" w:color="auto"/>
        <w:left w:val="none" w:sz="0" w:space="0" w:color="auto"/>
        <w:bottom w:val="none" w:sz="0" w:space="0" w:color="auto"/>
        <w:right w:val="none" w:sz="0" w:space="0" w:color="auto"/>
      </w:divBdr>
    </w:div>
    <w:div w:id="1161894190">
      <w:bodyDiv w:val="1"/>
      <w:marLeft w:val="0"/>
      <w:marRight w:val="0"/>
      <w:marTop w:val="0"/>
      <w:marBottom w:val="0"/>
      <w:divBdr>
        <w:top w:val="none" w:sz="0" w:space="0" w:color="auto"/>
        <w:left w:val="none" w:sz="0" w:space="0" w:color="auto"/>
        <w:bottom w:val="none" w:sz="0" w:space="0" w:color="auto"/>
        <w:right w:val="none" w:sz="0" w:space="0" w:color="auto"/>
      </w:divBdr>
    </w:div>
    <w:div w:id="1164512587">
      <w:bodyDiv w:val="1"/>
      <w:marLeft w:val="0"/>
      <w:marRight w:val="0"/>
      <w:marTop w:val="0"/>
      <w:marBottom w:val="0"/>
      <w:divBdr>
        <w:top w:val="none" w:sz="0" w:space="0" w:color="auto"/>
        <w:left w:val="none" w:sz="0" w:space="0" w:color="auto"/>
        <w:bottom w:val="none" w:sz="0" w:space="0" w:color="auto"/>
        <w:right w:val="none" w:sz="0" w:space="0" w:color="auto"/>
      </w:divBdr>
    </w:div>
    <w:div w:id="1175877791">
      <w:bodyDiv w:val="1"/>
      <w:marLeft w:val="0"/>
      <w:marRight w:val="0"/>
      <w:marTop w:val="0"/>
      <w:marBottom w:val="0"/>
      <w:divBdr>
        <w:top w:val="none" w:sz="0" w:space="0" w:color="auto"/>
        <w:left w:val="none" w:sz="0" w:space="0" w:color="auto"/>
        <w:bottom w:val="none" w:sz="0" w:space="0" w:color="auto"/>
        <w:right w:val="none" w:sz="0" w:space="0" w:color="auto"/>
      </w:divBdr>
    </w:div>
    <w:div w:id="1192957025">
      <w:bodyDiv w:val="1"/>
      <w:marLeft w:val="0"/>
      <w:marRight w:val="0"/>
      <w:marTop w:val="0"/>
      <w:marBottom w:val="0"/>
      <w:divBdr>
        <w:top w:val="none" w:sz="0" w:space="0" w:color="auto"/>
        <w:left w:val="none" w:sz="0" w:space="0" w:color="auto"/>
        <w:bottom w:val="none" w:sz="0" w:space="0" w:color="auto"/>
        <w:right w:val="none" w:sz="0" w:space="0" w:color="auto"/>
      </w:divBdr>
    </w:div>
    <w:div w:id="1200432405">
      <w:bodyDiv w:val="1"/>
      <w:marLeft w:val="0"/>
      <w:marRight w:val="0"/>
      <w:marTop w:val="0"/>
      <w:marBottom w:val="0"/>
      <w:divBdr>
        <w:top w:val="none" w:sz="0" w:space="0" w:color="auto"/>
        <w:left w:val="none" w:sz="0" w:space="0" w:color="auto"/>
        <w:bottom w:val="none" w:sz="0" w:space="0" w:color="auto"/>
        <w:right w:val="none" w:sz="0" w:space="0" w:color="auto"/>
      </w:divBdr>
    </w:div>
    <w:div w:id="1200630194">
      <w:bodyDiv w:val="1"/>
      <w:marLeft w:val="0"/>
      <w:marRight w:val="0"/>
      <w:marTop w:val="0"/>
      <w:marBottom w:val="0"/>
      <w:divBdr>
        <w:top w:val="none" w:sz="0" w:space="0" w:color="auto"/>
        <w:left w:val="none" w:sz="0" w:space="0" w:color="auto"/>
        <w:bottom w:val="none" w:sz="0" w:space="0" w:color="auto"/>
        <w:right w:val="none" w:sz="0" w:space="0" w:color="auto"/>
      </w:divBdr>
    </w:div>
    <w:div w:id="1203832729">
      <w:bodyDiv w:val="1"/>
      <w:marLeft w:val="0"/>
      <w:marRight w:val="0"/>
      <w:marTop w:val="0"/>
      <w:marBottom w:val="0"/>
      <w:divBdr>
        <w:top w:val="none" w:sz="0" w:space="0" w:color="auto"/>
        <w:left w:val="none" w:sz="0" w:space="0" w:color="auto"/>
        <w:bottom w:val="none" w:sz="0" w:space="0" w:color="auto"/>
        <w:right w:val="none" w:sz="0" w:space="0" w:color="auto"/>
      </w:divBdr>
    </w:div>
    <w:div w:id="1210722497">
      <w:bodyDiv w:val="1"/>
      <w:marLeft w:val="0"/>
      <w:marRight w:val="0"/>
      <w:marTop w:val="0"/>
      <w:marBottom w:val="0"/>
      <w:divBdr>
        <w:top w:val="none" w:sz="0" w:space="0" w:color="auto"/>
        <w:left w:val="none" w:sz="0" w:space="0" w:color="auto"/>
        <w:bottom w:val="none" w:sz="0" w:space="0" w:color="auto"/>
        <w:right w:val="none" w:sz="0" w:space="0" w:color="auto"/>
      </w:divBdr>
      <w:divsChild>
        <w:div w:id="1154369693">
          <w:marLeft w:val="0"/>
          <w:marRight w:val="0"/>
          <w:marTop w:val="0"/>
          <w:marBottom w:val="0"/>
          <w:divBdr>
            <w:top w:val="none" w:sz="0" w:space="0" w:color="auto"/>
            <w:left w:val="none" w:sz="0" w:space="0" w:color="auto"/>
            <w:bottom w:val="none" w:sz="0" w:space="0" w:color="auto"/>
            <w:right w:val="none" w:sz="0" w:space="0" w:color="auto"/>
          </w:divBdr>
        </w:div>
      </w:divsChild>
    </w:div>
    <w:div w:id="1221407720">
      <w:bodyDiv w:val="1"/>
      <w:marLeft w:val="0"/>
      <w:marRight w:val="0"/>
      <w:marTop w:val="0"/>
      <w:marBottom w:val="0"/>
      <w:divBdr>
        <w:top w:val="none" w:sz="0" w:space="0" w:color="auto"/>
        <w:left w:val="none" w:sz="0" w:space="0" w:color="auto"/>
        <w:bottom w:val="none" w:sz="0" w:space="0" w:color="auto"/>
        <w:right w:val="none" w:sz="0" w:space="0" w:color="auto"/>
      </w:divBdr>
    </w:div>
    <w:div w:id="1229069958">
      <w:bodyDiv w:val="1"/>
      <w:marLeft w:val="0"/>
      <w:marRight w:val="0"/>
      <w:marTop w:val="0"/>
      <w:marBottom w:val="0"/>
      <w:divBdr>
        <w:top w:val="none" w:sz="0" w:space="0" w:color="auto"/>
        <w:left w:val="none" w:sz="0" w:space="0" w:color="auto"/>
        <w:bottom w:val="none" w:sz="0" w:space="0" w:color="auto"/>
        <w:right w:val="none" w:sz="0" w:space="0" w:color="auto"/>
      </w:divBdr>
    </w:div>
    <w:div w:id="1239289597">
      <w:bodyDiv w:val="1"/>
      <w:marLeft w:val="0"/>
      <w:marRight w:val="0"/>
      <w:marTop w:val="0"/>
      <w:marBottom w:val="0"/>
      <w:divBdr>
        <w:top w:val="none" w:sz="0" w:space="0" w:color="auto"/>
        <w:left w:val="none" w:sz="0" w:space="0" w:color="auto"/>
        <w:bottom w:val="none" w:sz="0" w:space="0" w:color="auto"/>
        <w:right w:val="none" w:sz="0" w:space="0" w:color="auto"/>
      </w:divBdr>
    </w:div>
    <w:div w:id="1240403439">
      <w:bodyDiv w:val="1"/>
      <w:marLeft w:val="0"/>
      <w:marRight w:val="0"/>
      <w:marTop w:val="0"/>
      <w:marBottom w:val="0"/>
      <w:divBdr>
        <w:top w:val="none" w:sz="0" w:space="0" w:color="auto"/>
        <w:left w:val="none" w:sz="0" w:space="0" w:color="auto"/>
        <w:bottom w:val="none" w:sz="0" w:space="0" w:color="auto"/>
        <w:right w:val="none" w:sz="0" w:space="0" w:color="auto"/>
      </w:divBdr>
    </w:div>
    <w:div w:id="1244296943">
      <w:bodyDiv w:val="1"/>
      <w:marLeft w:val="0"/>
      <w:marRight w:val="0"/>
      <w:marTop w:val="0"/>
      <w:marBottom w:val="0"/>
      <w:divBdr>
        <w:top w:val="none" w:sz="0" w:space="0" w:color="auto"/>
        <w:left w:val="none" w:sz="0" w:space="0" w:color="auto"/>
        <w:bottom w:val="none" w:sz="0" w:space="0" w:color="auto"/>
        <w:right w:val="none" w:sz="0" w:space="0" w:color="auto"/>
      </w:divBdr>
    </w:div>
    <w:div w:id="1255745195">
      <w:bodyDiv w:val="1"/>
      <w:marLeft w:val="0"/>
      <w:marRight w:val="0"/>
      <w:marTop w:val="0"/>
      <w:marBottom w:val="0"/>
      <w:divBdr>
        <w:top w:val="none" w:sz="0" w:space="0" w:color="auto"/>
        <w:left w:val="none" w:sz="0" w:space="0" w:color="auto"/>
        <w:bottom w:val="none" w:sz="0" w:space="0" w:color="auto"/>
        <w:right w:val="none" w:sz="0" w:space="0" w:color="auto"/>
      </w:divBdr>
    </w:div>
    <w:div w:id="1259748655">
      <w:bodyDiv w:val="1"/>
      <w:marLeft w:val="0"/>
      <w:marRight w:val="0"/>
      <w:marTop w:val="0"/>
      <w:marBottom w:val="0"/>
      <w:divBdr>
        <w:top w:val="none" w:sz="0" w:space="0" w:color="auto"/>
        <w:left w:val="none" w:sz="0" w:space="0" w:color="auto"/>
        <w:bottom w:val="none" w:sz="0" w:space="0" w:color="auto"/>
        <w:right w:val="none" w:sz="0" w:space="0" w:color="auto"/>
      </w:divBdr>
    </w:div>
    <w:div w:id="1259868220">
      <w:bodyDiv w:val="1"/>
      <w:marLeft w:val="0"/>
      <w:marRight w:val="0"/>
      <w:marTop w:val="0"/>
      <w:marBottom w:val="0"/>
      <w:divBdr>
        <w:top w:val="none" w:sz="0" w:space="0" w:color="auto"/>
        <w:left w:val="none" w:sz="0" w:space="0" w:color="auto"/>
        <w:bottom w:val="none" w:sz="0" w:space="0" w:color="auto"/>
        <w:right w:val="none" w:sz="0" w:space="0" w:color="auto"/>
      </w:divBdr>
    </w:div>
    <w:div w:id="1281961882">
      <w:bodyDiv w:val="1"/>
      <w:marLeft w:val="0"/>
      <w:marRight w:val="0"/>
      <w:marTop w:val="0"/>
      <w:marBottom w:val="0"/>
      <w:divBdr>
        <w:top w:val="none" w:sz="0" w:space="0" w:color="auto"/>
        <w:left w:val="none" w:sz="0" w:space="0" w:color="auto"/>
        <w:bottom w:val="none" w:sz="0" w:space="0" w:color="auto"/>
        <w:right w:val="none" w:sz="0" w:space="0" w:color="auto"/>
      </w:divBdr>
    </w:div>
    <w:div w:id="1285963680">
      <w:bodyDiv w:val="1"/>
      <w:marLeft w:val="0"/>
      <w:marRight w:val="0"/>
      <w:marTop w:val="0"/>
      <w:marBottom w:val="0"/>
      <w:divBdr>
        <w:top w:val="none" w:sz="0" w:space="0" w:color="auto"/>
        <w:left w:val="none" w:sz="0" w:space="0" w:color="auto"/>
        <w:bottom w:val="none" w:sz="0" w:space="0" w:color="auto"/>
        <w:right w:val="none" w:sz="0" w:space="0" w:color="auto"/>
      </w:divBdr>
    </w:div>
    <w:div w:id="1288854290">
      <w:bodyDiv w:val="1"/>
      <w:marLeft w:val="0"/>
      <w:marRight w:val="0"/>
      <w:marTop w:val="0"/>
      <w:marBottom w:val="0"/>
      <w:divBdr>
        <w:top w:val="none" w:sz="0" w:space="0" w:color="auto"/>
        <w:left w:val="none" w:sz="0" w:space="0" w:color="auto"/>
        <w:bottom w:val="none" w:sz="0" w:space="0" w:color="auto"/>
        <w:right w:val="none" w:sz="0" w:space="0" w:color="auto"/>
      </w:divBdr>
    </w:div>
    <w:div w:id="1290360307">
      <w:bodyDiv w:val="1"/>
      <w:marLeft w:val="0"/>
      <w:marRight w:val="0"/>
      <w:marTop w:val="0"/>
      <w:marBottom w:val="0"/>
      <w:divBdr>
        <w:top w:val="none" w:sz="0" w:space="0" w:color="auto"/>
        <w:left w:val="none" w:sz="0" w:space="0" w:color="auto"/>
        <w:bottom w:val="none" w:sz="0" w:space="0" w:color="auto"/>
        <w:right w:val="none" w:sz="0" w:space="0" w:color="auto"/>
      </w:divBdr>
    </w:div>
    <w:div w:id="1301883272">
      <w:bodyDiv w:val="1"/>
      <w:marLeft w:val="0"/>
      <w:marRight w:val="0"/>
      <w:marTop w:val="0"/>
      <w:marBottom w:val="0"/>
      <w:divBdr>
        <w:top w:val="none" w:sz="0" w:space="0" w:color="auto"/>
        <w:left w:val="none" w:sz="0" w:space="0" w:color="auto"/>
        <w:bottom w:val="none" w:sz="0" w:space="0" w:color="auto"/>
        <w:right w:val="none" w:sz="0" w:space="0" w:color="auto"/>
      </w:divBdr>
      <w:divsChild>
        <w:div w:id="7661985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6451663">
      <w:bodyDiv w:val="1"/>
      <w:marLeft w:val="0"/>
      <w:marRight w:val="0"/>
      <w:marTop w:val="0"/>
      <w:marBottom w:val="0"/>
      <w:divBdr>
        <w:top w:val="none" w:sz="0" w:space="0" w:color="auto"/>
        <w:left w:val="none" w:sz="0" w:space="0" w:color="auto"/>
        <w:bottom w:val="none" w:sz="0" w:space="0" w:color="auto"/>
        <w:right w:val="none" w:sz="0" w:space="0" w:color="auto"/>
      </w:divBdr>
    </w:div>
    <w:div w:id="1317420866">
      <w:bodyDiv w:val="1"/>
      <w:marLeft w:val="0"/>
      <w:marRight w:val="0"/>
      <w:marTop w:val="0"/>
      <w:marBottom w:val="0"/>
      <w:divBdr>
        <w:top w:val="none" w:sz="0" w:space="0" w:color="auto"/>
        <w:left w:val="none" w:sz="0" w:space="0" w:color="auto"/>
        <w:bottom w:val="none" w:sz="0" w:space="0" w:color="auto"/>
        <w:right w:val="none" w:sz="0" w:space="0" w:color="auto"/>
      </w:divBdr>
    </w:div>
    <w:div w:id="1321425649">
      <w:bodyDiv w:val="1"/>
      <w:marLeft w:val="0"/>
      <w:marRight w:val="0"/>
      <w:marTop w:val="0"/>
      <w:marBottom w:val="0"/>
      <w:divBdr>
        <w:top w:val="none" w:sz="0" w:space="0" w:color="auto"/>
        <w:left w:val="none" w:sz="0" w:space="0" w:color="auto"/>
        <w:bottom w:val="none" w:sz="0" w:space="0" w:color="auto"/>
        <w:right w:val="none" w:sz="0" w:space="0" w:color="auto"/>
      </w:divBdr>
    </w:div>
    <w:div w:id="1324623333">
      <w:bodyDiv w:val="1"/>
      <w:marLeft w:val="0"/>
      <w:marRight w:val="0"/>
      <w:marTop w:val="0"/>
      <w:marBottom w:val="0"/>
      <w:divBdr>
        <w:top w:val="none" w:sz="0" w:space="0" w:color="auto"/>
        <w:left w:val="none" w:sz="0" w:space="0" w:color="auto"/>
        <w:bottom w:val="none" w:sz="0" w:space="0" w:color="auto"/>
        <w:right w:val="none" w:sz="0" w:space="0" w:color="auto"/>
      </w:divBdr>
    </w:div>
    <w:div w:id="1337071632">
      <w:bodyDiv w:val="1"/>
      <w:marLeft w:val="0"/>
      <w:marRight w:val="0"/>
      <w:marTop w:val="0"/>
      <w:marBottom w:val="0"/>
      <w:divBdr>
        <w:top w:val="none" w:sz="0" w:space="0" w:color="auto"/>
        <w:left w:val="none" w:sz="0" w:space="0" w:color="auto"/>
        <w:bottom w:val="none" w:sz="0" w:space="0" w:color="auto"/>
        <w:right w:val="none" w:sz="0" w:space="0" w:color="auto"/>
      </w:divBdr>
    </w:div>
    <w:div w:id="1339774469">
      <w:bodyDiv w:val="1"/>
      <w:marLeft w:val="0"/>
      <w:marRight w:val="0"/>
      <w:marTop w:val="0"/>
      <w:marBottom w:val="0"/>
      <w:divBdr>
        <w:top w:val="none" w:sz="0" w:space="0" w:color="auto"/>
        <w:left w:val="none" w:sz="0" w:space="0" w:color="auto"/>
        <w:bottom w:val="none" w:sz="0" w:space="0" w:color="auto"/>
        <w:right w:val="none" w:sz="0" w:space="0" w:color="auto"/>
      </w:divBdr>
    </w:div>
    <w:div w:id="1351446687">
      <w:bodyDiv w:val="1"/>
      <w:marLeft w:val="0"/>
      <w:marRight w:val="0"/>
      <w:marTop w:val="0"/>
      <w:marBottom w:val="0"/>
      <w:divBdr>
        <w:top w:val="none" w:sz="0" w:space="0" w:color="auto"/>
        <w:left w:val="none" w:sz="0" w:space="0" w:color="auto"/>
        <w:bottom w:val="none" w:sz="0" w:space="0" w:color="auto"/>
        <w:right w:val="none" w:sz="0" w:space="0" w:color="auto"/>
      </w:divBdr>
    </w:div>
    <w:div w:id="1352073813">
      <w:bodyDiv w:val="1"/>
      <w:marLeft w:val="0"/>
      <w:marRight w:val="0"/>
      <w:marTop w:val="0"/>
      <w:marBottom w:val="0"/>
      <w:divBdr>
        <w:top w:val="none" w:sz="0" w:space="0" w:color="auto"/>
        <w:left w:val="none" w:sz="0" w:space="0" w:color="auto"/>
        <w:bottom w:val="none" w:sz="0" w:space="0" w:color="auto"/>
        <w:right w:val="none" w:sz="0" w:space="0" w:color="auto"/>
      </w:divBdr>
    </w:div>
    <w:div w:id="1359357296">
      <w:bodyDiv w:val="1"/>
      <w:marLeft w:val="0"/>
      <w:marRight w:val="0"/>
      <w:marTop w:val="0"/>
      <w:marBottom w:val="0"/>
      <w:divBdr>
        <w:top w:val="none" w:sz="0" w:space="0" w:color="auto"/>
        <w:left w:val="none" w:sz="0" w:space="0" w:color="auto"/>
        <w:bottom w:val="none" w:sz="0" w:space="0" w:color="auto"/>
        <w:right w:val="none" w:sz="0" w:space="0" w:color="auto"/>
      </w:divBdr>
    </w:div>
    <w:div w:id="1370842153">
      <w:bodyDiv w:val="1"/>
      <w:marLeft w:val="0"/>
      <w:marRight w:val="0"/>
      <w:marTop w:val="0"/>
      <w:marBottom w:val="0"/>
      <w:divBdr>
        <w:top w:val="none" w:sz="0" w:space="0" w:color="auto"/>
        <w:left w:val="none" w:sz="0" w:space="0" w:color="auto"/>
        <w:bottom w:val="none" w:sz="0" w:space="0" w:color="auto"/>
        <w:right w:val="none" w:sz="0" w:space="0" w:color="auto"/>
      </w:divBdr>
      <w:divsChild>
        <w:div w:id="1635058920">
          <w:marLeft w:val="0"/>
          <w:marRight w:val="0"/>
          <w:marTop w:val="0"/>
          <w:marBottom w:val="0"/>
          <w:divBdr>
            <w:top w:val="none" w:sz="0" w:space="0" w:color="auto"/>
            <w:left w:val="none" w:sz="0" w:space="0" w:color="auto"/>
            <w:bottom w:val="none" w:sz="0" w:space="0" w:color="auto"/>
            <w:right w:val="none" w:sz="0" w:space="0" w:color="auto"/>
          </w:divBdr>
        </w:div>
      </w:divsChild>
    </w:div>
    <w:div w:id="1374967096">
      <w:bodyDiv w:val="1"/>
      <w:marLeft w:val="0"/>
      <w:marRight w:val="0"/>
      <w:marTop w:val="0"/>
      <w:marBottom w:val="0"/>
      <w:divBdr>
        <w:top w:val="none" w:sz="0" w:space="0" w:color="auto"/>
        <w:left w:val="none" w:sz="0" w:space="0" w:color="auto"/>
        <w:bottom w:val="none" w:sz="0" w:space="0" w:color="auto"/>
        <w:right w:val="none" w:sz="0" w:space="0" w:color="auto"/>
      </w:divBdr>
    </w:div>
    <w:div w:id="1380857202">
      <w:bodyDiv w:val="1"/>
      <w:marLeft w:val="0"/>
      <w:marRight w:val="0"/>
      <w:marTop w:val="0"/>
      <w:marBottom w:val="0"/>
      <w:divBdr>
        <w:top w:val="none" w:sz="0" w:space="0" w:color="auto"/>
        <w:left w:val="none" w:sz="0" w:space="0" w:color="auto"/>
        <w:bottom w:val="none" w:sz="0" w:space="0" w:color="auto"/>
        <w:right w:val="none" w:sz="0" w:space="0" w:color="auto"/>
      </w:divBdr>
    </w:div>
    <w:div w:id="1389762360">
      <w:bodyDiv w:val="1"/>
      <w:marLeft w:val="0"/>
      <w:marRight w:val="0"/>
      <w:marTop w:val="0"/>
      <w:marBottom w:val="0"/>
      <w:divBdr>
        <w:top w:val="none" w:sz="0" w:space="0" w:color="auto"/>
        <w:left w:val="none" w:sz="0" w:space="0" w:color="auto"/>
        <w:bottom w:val="none" w:sz="0" w:space="0" w:color="auto"/>
        <w:right w:val="none" w:sz="0" w:space="0" w:color="auto"/>
      </w:divBdr>
    </w:div>
    <w:div w:id="1396390168">
      <w:bodyDiv w:val="1"/>
      <w:marLeft w:val="0"/>
      <w:marRight w:val="0"/>
      <w:marTop w:val="0"/>
      <w:marBottom w:val="0"/>
      <w:divBdr>
        <w:top w:val="none" w:sz="0" w:space="0" w:color="auto"/>
        <w:left w:val="none" w:sz="0" w:space="0" w:color="auto"/>
        <w:bottom w:val="none" w:sz="0" w:space="0" w:color="auto"/>
        <w:right w:val="none" w:sz="0" w:space="0" w:color="auto"/>
      </w:divBdr>
    </w:div>
    <w:div w:id="1397434833">
      <w:bodyDiv w:val="1"/>
      <w:marLeft w:val="0"/>
      <w:marRight w:val="0"/>
      <w:marTop w:val="0"/>
      <w:marBottom w:val="0"/>
      <w:divBdr>
        <w:top w:val="none" w:sz="0" w:space="0" w:color="auto"/>
        <w:left w:val="none" w:sz="0" w:space="0" w:color="auto"/>
        <w:bottom w:val="none" w:sz="0" w:space="0" w:color="auto"/>
        <w:right w:val="none" w:sz="0" w:space="0" w:color="auto"/>
      </w:divBdr>
    </w:div>
    <w:div w:id="1400325754">
      <w:bodyDiv w:val="1"/>
      <w:marLeft w:val="0"/>
      <w:marRight w:val="0"/>
      <w:marTop w:val="0"/>
      <w:marBottom w:val="0"/>
      <w:divBdr>
        <w:top w:val="none" w:sz="0" w:space="0" w:color="auto"/>
        <w:left w:val="none" w:sz="0" w:space="0" w:color="auto"/>
        <w:bottom w:val="none" w:sz="0" w:space="0" w:color="auto"/>
        <w:right w:val="none" w:sz="0" w:space="0" w:color="auto"/>
      </w:divBdr>
    </w:div>
    <w:div w:id="1415399070">
      <w:bodyDiv w:val="1"/>
      <w:marLeft w:val="0"/>
      <w:marRight w:val="0"/>
      <w:marTop w:val="0"/>
      <w:marBottom w:val="0"/>
      <w:divBdr>
        <w:top w:val="none" w:sz="0" w:space="0" w:color="auto"/>
        <w:left w:val="none" w:sz="0" w:space="0" w:color="auto"/>
        <w:bottom w:val="none" w:sz="0" w:space="0" w:color="auto"/>
        <w:right w:val="none" w:sz="0" w:space="0" w:color="auto"/>
      </w:divBdr>
    </w:div>
    <w:div w:id="1418675193">
      <w:bodyDiv w:val="1"/>
      <w:marLeft w:val="0"/>
      <w:marRight w:val="0"/>
      <w:marTop w:val="0"/>
      <w:marBottom w:val="0"/>
      <w:divBdr>
        <w:top w:val="none" w:sz="0" w:space="0" w:color="auto"/>
        <w:left w:val="none" w:sz="0" w:space="0" w:color="auto"/>
        <w:bottom w:val="none" w:sz="0" w:space="0" w:color="auto"/>
        <w:right w:val="none" w:sz="0" w:space="0" w:color="auto"/>
      </w:divBdr>
    </w:div>
    <w:div w:id="1418867978">
      <w:bodyDiv w:val="1"/>
      <w:marLeft w:val="0"/>
      <w:marRight w:val="0"/>
      <w:marTop w:val="0"/>
      <w:marBottom w:val="0"/>
      <w:divBdr>
        <w:top w:val="none" w:sz="0" w:space="0" w:color="auto"/>
        <w:left w:val="none" w:sz="0" w:space="0" w:color="auto"/>
        <w:bottom w:val="none" w:sz="0" w:space="0" w:color="auto"/>
        <w:right w:val="none" w:sz="0" w:space="0" w:color="auto"/>
      </w:divBdr>
    </w:div>
    <w:div w:id="1419059407">
      <w:bodyDiv w:val="1"/>
      <w:marLeft w:val="0"/>
      <w:marRight w:val="0"/>
      <w:marTop w:val="0"/>
      <w:marBottom w:val="0"/>
      <w:divBdr>
        <w:top w:val="none" w:sz="0" w:space="0" w:color="auto"/>
        <w:left w:val="none" w:sz="0" w:space="0" w:color="auto"/>
        <w:bottom w:val="none" w:sz="0" w:space="0" w:color="auto"/>
        <w:right w:val="none" w:sz="0" w:space="0" w:color="auto"/>
      </w:divBdr>
    </w:div>
    <w:div w:id="1428816003">
      <w:bodyDiv w:val="1"/>
      <w:marLeft w:val="0"/>
      <w:marRight w:val="0"/>
      <w:marTop w:val="0"/>
      <w:marBottom w:val="0"/>
      <w:divBdr>
        <w:top w:val="none" w:sz="0" w:space="0" w:color="auto"/>
        <w:left w:val="none" w:sz="0" w:space="0" w:color="auto"/>
        <w:bottom w:val="none" w:sz="0" w:space="0" w:color="auto"/>
        <w:right w:val="none" w:sz="0" w:space="0" w:color="auto"/>
      </w:divBdr>
    </w:div>
    <w:div w:id="1437293544">
      <w:bodyDiv w:val="1"/>
      <w:marLeft w:val="0"/>
      <w:marRight w:val="0"/>
      <w:marTop w:val="0"/>
      <w:marBottom w:val="0"/>
      <w:divBdr>
        <w:top w:val="none" w:sz="0" w:space="0" w:color="auto"/>
        <w:left w:val="none" w:sz="0" w:space="0" w:color="auto"/>
        <w:bottom w:val="none" w:sz="0" w:space="0" w:color="auto"/>
        <w:right w:val="none" w:sz="0" w:space="0" w:color="auto"/>
      </w:divBdr>
    </w:div>
    <w:div w:id="1439717248">
      <w:bodyDiv w:val="1"/>
      <w:marLeft w:val="0"/>
      <w:marRight w:val="0"/>
      <w:marTop w:val="0"/>
      <w:marBottom w:val="0"/>
      <w:divBdr>
        <w:top w:val="none" w:sz="0" w:space="0" w:color="auto"/>
        <w:left w:val="none" w:sz="0" w:space="0" w:color="auto"/>
        <w:bottom w:val="none" w:sz="0" w:space="0" w:color="auto"/>
        <w:right w:val="none" w:sz="0" w:space="0" w:color="auto"/>
      </w:divBdr>
    </w:div>
    <w:div w:id="1457068027">
      <w:bodyDiv w:val="1"/>
      <w:marLeft w:val="0"/>
      <w:marRight w:val="0"/>
      <w:marTop w:val="0"/>
      <w:marBottom w:val="0"/>
      <w:divBdr>
        <w:top w:val="none" w:sz="0" w:space="0" w:color="auto"/>
        <w:left w:val="none" w:sz="0" w:space="0" w:color="auto"/>
        <w:bottom w:val="none" w:sz="0" w:space="0" w:color="auto"/>
        <w:right w:val="none" w:sz="0" w:space="0" w:color="auto"/>
      </w:divBdr>
    </w:div>
    <w:div w:id="1464814129">
      <w:bodyDiv w:val="1"/>
      <w:marLeft w:val="0"/>
      <w:marRight w:val="0"/>
      <w:marTop w:val="0"/>
      <w:marBottom w:val="0"/>
      <w:divBdr>
        <w:top w:val="none" w:sz="0" w:space="0" w:color="auto"/>
        <w:left w:val="none" w:sz="0" w:space="0" w:color="auto"/>
        <w:bottom w:val="none" w:sz="0" w:space="0" w:color="auto"/>
        <w:right w:val="none" w:sz="0" w:space="0" w:color="auto"/>
      </w:divBdr>
    </w:div>
    <w:div w:id="1471901379">
      <w:bodyDiv w:val="1"/>
      <w:marLeft w:val="0"/>
      <w:marRight w:val="0"/>
      <w:marTop w:val="0"/>
      <w:marBottom w:val="0"/>
      <w:divBdr>
        <w:top w:val="none" w:sz="0" w:space="0" w:color="auto"/>
        <w:left w:val="none" w:sz="0" w:space="0" w:color="auto"/>
        <w:bottom w:val="none" w:sz="0" w:space="0" w:color="auto"/>
        <w:right w:val="none" w:sz="0" w:space="0" w:color="auto"/>
      </w:divBdr>
    </w:div>
    <w:div w:id="1485971624">
      <w:bodyDiv w:val="1"/>
      <w:marLeft w:val="0"/>
      <w:marRight w:val="0"/>
      <w:marTop w:val="0"/>
      <w:marBottom w:val="0"/>
      <w:divBdr>
        <w:top w:val="none" w:sz="0" w:space="0" w:color="auto"/>
        <w:left w:val="none" w:sz="0" w:space="0" w:color="auto"/>
        <w:bottom w:val="none" w:sz="0" w:space="0" w:color="auto"/>
        <w:right w:val="none" w:sz="0" w:space="0" w:color="auto"/>
      </w:divBdr>
    </w:div>
    <w:div w:id="1489588101">
      <w:bodyDiv w:val="1"/>
      <w:marLeft w:val="0"/>
      <w:marRight w:val="0"/>
      <w:marTop w:val="0"/>
      <w:marBottom w:val="0"/>
      <w:divBdr>
        <w:top w:val="none" w:sz="0" w:space="0" w:color="auto"/>
        <w:left w:val="none" w:sz="0" w:space="0" w:color="auto"/>
        <w:bottom w:val="none" w:sz="0" w:space="0" w:color="auto"/>
        <w:right w:val="none" w:sz="0" w:space="0" w:color="auto"/>
      </w:divBdr>
    </w:div>
    <w:div w:id="1490248996">
      <w:bodyDiv w:val="1"/>
      <w:marLeft w:val="0"/>
      <w:marRight w:val="0"/>
      <w:marTop w:val="0"/>
      <w:marBottom w:val="0"/>
      <w:divBdr>
        <w:top w:val="none" w:sz="0" w:space="0" w:color="auto"/>
        <w:left w:val="none" w:sz="0" w:space="0" w:color="auto"/>
        <w:bottom w:val="none" w:sz="0" w:space="0" w:color="auto"/>
        <w:right w:val="none" w:sz="0" w:space="0" w:color="auto"/>
      </w:divBdr>
    </w:div>
    <w:div w:id="1499299101">
      <w:bodyDiv w:val="1"/>
      <w:marLeft w:val="0"/>
      <w:marRight w:val="0"/>
      <w:marTop w:val="0"/>
      <w:marBottom w:val="0"/>
      <w:divBdr>
        <w:top w:val="none" w:sz="0" w:space="0" w:color="auto"/>
        <w:left w:val="none" w:sz="0" w:space="0" w:color="auto"/>
        <w:bottom w:val="none" w:sz="0" w:space="0" w:color="auto"/>
        <w:right w:val="none" w:sz="0" w:space="0" w:color="auto"/>
      </w:divBdr>
    </w:div>
    <w:div w:id="1500269462">
      <w:bodyDiv w:val="1"/>
      <w:marLeft w:val="0"/>
      <w:marRight w:val="0"/>
      <w:marTop w:val="0"/>
      <w:marBottom w:val="0"/>
      <w:divBdr>
        <w:top w:val="none" w:sz="0" w:space="0" w:color="auto"/>
        <w:left w:val="none" w:sz="0" w:space="0" w:color="auto"/>
        <w:bottom w:val="none" w:sz="0" w:space="0" w:color="auto"/>
        <w:right w:val="none" w:sz="0" w:space="0" w:color="auto"/>
      </w:divBdr>
    </w:div>
    <w:div w:id="1504200539">
      <w:bodyDiv w:val="1"/>
      <w:marLeft w:val="0"/>
      <w:marRight w:val="0"/>
      <w:marTop w:val="0"/>
      <w:marBottom w:val="0"/>
      <w:divBdr>
        <w:top w:val="none" w:sz="0" w:space="0" w:color="auto"/>
        <w:left w:val="none" w:sz="0" w:space="0" w:color="auto"/>
        <w:bottom w:val="none" w:sz="0" w:space="0" w:color="auto"/>
        <w:right w:val="none" w:sz="0" w:space="0" w:color="auto"/>
      </w:divBdr>
    </w:div>
    <w:div w:id="1526141119">
      <w:bodyDiv w:val="1"/>
      <w:marLeft w:val="0"/>
      <w:marRight w:val="0"/>
      <w:marTop w:val="0"/>
      <w:marBottom w:val="0"/>
      <w:divBdr>
        <w:top w:val="none" w:sz="0" w:space="0" w:color="auto"/>
        <w:left w:val="none" w:sz="0" w:space="0" w:color="auto"/>
        <w:bottom w:val="none" w:sz="0" w:space="0" w:color="auto"/>
        <w:right w:val="none" w:sz="0" w:space="0" w:color="auto"/>
      </w:divBdr>
    </w:div>
    <w:div w:id="1540628129">
      <w:bodyDiv w:val="1"/>
      <w:marLeft w:val="0"/>
      <w:marRight w:val="0"/>
      <w:marTop w:val="0"/>
      <w:marBottom w:val="0"/>
      <w:divBdr>
        <w:top w:val="none" w:sz="0" w:space="0" w:color="auto"/>
        <w:left w:val="none" w:sz="0" w:space="0" w:color="auto"/>
        <w:bottom w:val="none" w:sz="0" w:space="0" w:color="auto"/>
        <w:right w:val="none" w:sz="0" w:space="0" w:color="auto"/>
      </w:divBdr>
    </w:div>
    <w:div w:id="1552494122">
      <w:bodyDiv w:val="1"/>
      <w:marLeft w:val="0"/>
      <w:marRight w:val="0"/>
      <w:marTop w:val="0"/>
      <w:marBottom w:val="0"/>
      <w:divBdr>
        <w:top w:val="none" w:sz="0" w:space="0" w:color="auto"/>
        <w:left w:val="none" w:sz="0" w:space="0" w:color="auto"/>
        <w:bottom w:val="none" w:sz="0" w:space="0" w:color="auto"/>
        <w:right w:val="none" w:sz="0" w:space="0" w:color="auto"/>
      </w:divBdr>
    </w:div>
    <w:div w:id="1553734040">
      <w:bodyDiv w:val="1"/>
      <w:marLeft w:val="0"/>
      <w:marRight w:val="0"/>
      <w:marTop w:val="0"/>
      <w:marBottom w:val="0"/>
      <w:divBdr>
        <w:top w:val="none" w:sz="0" w:space="0" w:color="auto"/>
        <w:left w:val="none" w:sz="0" w:space="0" w:color="auto"/>
        <w:bottom w:val="none" w:sz="0" w:space="0" w:color="auto"/>
        <w:right w:val="none" w:sz="0" w:space="0" w:color="auto"/>
      </w:divBdr>
    </w:div>
    <w:div w:id="1553806142">
      <w:bodyDiv w:val="1"/>
      <w:marLeft w:val="0"/>
      <w:marRight w:val="0"/>
      <w:marTop w:val="0"/>
      <w:marBottom w:val="0"/>
      <w:divBdr>
        <w:top w:val="none" w:sz="0" w:space="0" w:color="auto"/>
        <w:left w:val="none" w:sz="0" w:space="0" w:color="auto"/>
        <w:bottom w:val="none" w:sz="0" w:space="0" w:color="auto"/>
        <w:right w:val="none" w:sz="0" w:space="0" w:color="auto"/>
      </w:divBdr>
    </w:div>
    <w:div w:id="1555576585">
      <w:bodyDiv w:val="1"/>
      <w:marLeft w:val="0"/>
      <w:marRight w:val="0"/>
      <w:marTop w:val="0"/>
      <w:marBottom w:val="0"/>
      <w:divBdr>
        <w:top w:val="none" w:sz="0" w:space="0" w:color="auto"/>
        <w:left w:val="none" w:sz="0" w:space="0" w:color="auto"/>
        <w:bottom w:val="none" w:sz="0" w:space="0" w:color="auto"/>
        <w:right w:val="none" w:sz="0" w:space="0" w:color="auto"/>
      </w:divBdr>
    </w:div>
    <w:div w:id="1555694326">
      <w:bodyDiv w:val="1"/>
      <w:marLeft w:val="0"/>
      <w:marRight w:val="0"/>
      <w:marTop w:val="0"/>
      <w:marBottom w:val="0"/>
      <w:divBdr>
        <w:top w:val="none" w:sz="0" w:space="0" w:color="auto"/>
        <w:left w:val="none" w:sz="0" w:space="0" w:color="auto"/>
        <w:bottom w:val="none" w:sz="0" w:space="0" w:color="auto"/>
        <w:right w:val="none" w:sz="0" w:space="0" w:color="auto"/>
      </w:divBdr>
    </w:div>
    <w:div w:id="1556626021">
      <w:bodyDiv w:val="1"/>
      <w:marLeft w:val="0"/>
      <w:marRight w:val="0"/>
      <w:marTop w:val="0"/>
      <w:marBottom w:val="0"/>
      <w:divBdr>
        <w:top w:val="none" w:sz="0" w:space="0" w:color="auto"/>
        <w:left w:val="none" w:sz="0" w:space="0" w:color="auto"/>
        <w:bottom w:val="none" w:sz="0" w:space="0" w:color="auto"/>
        <w:right w:val="none" w:sz="0" w:space="0" w:color="auto"/>
      </w:divBdr>
    </w:div>
    <w:div w:id="1558471825">
      <w:bodyDiv w:val="1"/>
      <w:marLeft w:val="0"/>
      <w:marRight w:val="0"/>
      <w:marTop w:val="0"/>
      <w:marBottom w:val="0"/>
      <w:divBdr>
        <w:top w:val="none" w:sz="0" w:space="0" w:color="auto"/>
        <w:left w:val="none" w:sz="0" w:space="0" w:color="auto"/>
        <w:bottom w:val="none" w:sz="0" w:space="0" w:color="auto"/>
        <w:right w:val="none" w:sz="0" w:space="0" w:color="auto"/>
      </w:divBdr>
    </w:div>
    <w:div w:id="1559169709">
      <w:bodyDiv w:val="1"/>
      <w:marLeft w:val="0"/>
      <w:marRight w:val="0"/>
      <w:marTop w:val="0"/>
      <w:marBottom w:val="0"/>
      <w:divBdr>
        <w:top w:val="none" w:sz="0" w:space="0" w:color="auto"/>
        <w:left w:val="none" w:sz="0" w:space="0" w:color="auto"/>
        <w:bottom w:val="none" w:sz="0" w:space="0" w:color="auto"/>
        <w:right w:val="none" w:sz="0" w:space="0" w:color="auto"/>
      </w:divBdr>
    </w:div>
    <w:div w:id="1575047886">
      <w:bodyDiv w:val="1"/>
      <w:marLeft w:val="0"/>
      <w:marRight w:val="0"/>
      <w:marTop w:val="0"/>
      <w:marBottom w:val="0"/>
      <w:divBdr>
        <w:top w:val="none" w:sz="0" w:space="0" w:color="auto"/>
        <w:left w:val="none" w:sz="0" w:space="0" w:color="auto"/>
        <w:bottom w:val="none" w:sz="0" w:space="0" w:color="auto"/>
        <w:right w:val="none" w:sz="0" w:space="0" w:color="auto"/>
      </w:divBdr>
    </w:div>
    <w:div w:id="1578974695">
      <w:bodyDiv w:val="1"/>
      <w:marLeft w:val="0"/>
      <w:marRight w:val="0"/>
      <w:marTop w:val="0"/>
      <w:marBottom w:val="0"/>
      <w:divBdr>
        <w:top w:val="none" w:sz="0" w:space="0" w:color="auto"/>
        <w:left w:val="none" w:sz="0" w:space="0" w:color="auto"/>
        <w:bottom w:val="none" w:sz="0" w:space="0" w:color="auto"/>
        <w:right w:val="none" w:sz="0" w:space="0" w:color="auto"/>
      </w:divBdr>
    </w:div>
    <w:div w:id="1585803113">
      <w:bodyDiv w:val="1"/>
      <w:marLeft w:val="0"/>
      <w:marRight w:val="0"/>
      <w:marTop w:val="0"/>
      <w:marBottom w:val="0"/>
      <w:divBdr>
        <w:top w:val="none" w:sz="0" w:space="0" w:color="auto"/>
        <w:left w:val="none" w:sz="0" w:space="0" w:color="auto"/>
        <w:bottom w:val="none" w:sz="0" w:space="0" w:color="auto"/>
        <w:right w:val="none" w:sz="0" w:space="0" w:color="auto"/>
      </w:divBdr>
    </w:div>
    <w:div w:id="1586454908">
      <w:bodyDiv w:val="1"/>
      <w:marLeft w:val="0"/>
      <w:marRight w:val="0"/>
      <w:marTop w:val="0"/>
      <w:marBottom w:val="0"/>
      <w:divBdr>
        <w:top w:val="none" w:sz="0" w:space="0" w:color="auto"/>
        <w:left w:val="none" w:sz="0" w:space="0" w:color="auto"/>
        <w:bottom w:val="none" w:sz="0" w:space="0" w:color="auto"/>
        <w:right w:val="none" w:sz="0" w:space="0" w:color="auto"/>
      </w:divBdr>
    </w:div>
    <w:div w:id="1587301512">
      <w:bodyDiv w:val="1"/>
      <w:marLeft w:val="0"/>
      <w:marRight w:val="0"/>
      <w:marTop w:val="0"/>
      <w:marBottom w:val="0"/>
      <w:divBdr>
        <w:top w:val="none" w:sz="0" w:space="0" w:color="auto"/>
        <w:left w:val="none" w:sz="0" w:space="0" w:color="auto"/>
        <w:bottom w:val="none" w:sz="0" w:space="0" w:color="auto"/>
        <w:right w:val="none" w:sz="0" w:space="0" w:color="auto"/>
      </w:divBdr>
    </w:div>
    <w:div w:id="1594391428">
      <w:bodyDiv w:val="1"/>
      <w:marLeft w:val="0"/>
      <w:marRight w:val="0"/>
      <w:marTop w:val="0"/>
      <w:marBottom w:val="0"/>
      <w:divBdr>
        <w:top w:val="none" w:sz="0" w:space="0" w:color="auto"/>
        <w:left w:val="none" w:sz="0" w:space="0" w:color="auto"/>
        <w:bottom w:val="none" w:sz="0" w:space="0" w:color="auto"/>
        <w:right w:val="none" w:sz="0" w:space="0" w:color="auto"/>
      </w:divBdr>
    </w:div>
    <w:div w:id="1622540496">
      <w:bodyDiv w:val="1"/>
      <w:marLeft w:val="0"/>
      <w:marRight w:val="0"/>
      <w:marTop w:val="0"/>
      <w:marBottom w:val="0"/>
      <w:divBdr>
        <w:top w:val="none" w:sz="0" w:space="0" w:color="auto"/>
        <w:left w:val="none" w:sz="0" w:space="0" w:color="auto"/>
        <w:bottom w:val="none" w:sz="0" w:space="0" w:color="auto"/>
        <w:right w:val="none" w:sz="0" w:space="0" w:color="auto"/>
      </w:divBdr>
    </w:div>
    <w:div w:id="1624266045">
      <w:bodyDiv w:val="1"/>
      <w:marLeft w:val="0"/>
      <w:marRight w:val="0"/>
      <w:marTop w:val="0"/>
      <w:marBottom w:val="0"/>
      <w:divBdr>
        <w:top w:val="none" w:sz="0" w:space="0" w:color="auto"/>
        <w:left w:val="none" w:sz="0" w:space="0" w:color="auto"/>
        <w:bottom w:val="none" w:sz="0" w:space="0" w:color="auto"/>
        <w:right w:val="none" w:sz="0" w:space="0" w:color="auto"/>
      </w:divBdr>
    </w:div>
    <w:div w:id="1638490409">
      <w:bodyDiv w:val="1"/>
      <w:marLeft w:val="0"/>
      <w:marRight w:val="0"/>
      <w:marTop w:val="0"/>
      <w:marBottom w:val="0"/>
      <w:divBdr>
        <w:top w:val="none" w:sz="0" w:space="0" w:color="auto"/>
        <w:left w:val="none" w:sz="0" w:space="0" w:color="auto"/>
        <w:bottom w:val="none" w:sz="0" w:space="0" w:color="auto"/>
        <w:right w:val="none" w:sz="0" w:space="0" w:color="auto"/>
      </w:divBdr>
    </w:div>
    <w:div w:id="1638873635">
      <w:bodyDiv w:val="1"/>
      <w:marLeft w:val="0"/>
      <w:marRight w:val="0"/>
      <w:marTop w:val="0"/>
      <w:marBottom w:val="0"/>
      <w:divBdr>
        <w:top w:val="none" w:sz="0" w:space="0" w:color="auto"/>
        <w:left w:val="none" w:sz="0" w:space="0" w:color="auto"/>
        <w:bottom w:val="none" w:sz="0" w:space="0" w:color="auto"/>
        <w:right w:val="none" w:sz="0" w:space="0" w:color="auto"/>
      </w:divBdr>
    </w:div>
    <w:div w:id="1643999204">
      <w:bodyDiv w:val="1"/>
      <w:marLeft w:val="0"/>
      <w:marRight w:val="0"/>
      <w:marTop w:val="0"/>
      <w:marBottom w:val="0"/>
      <w:divBdr>
        <w:top w:val="none" w:sz="0" w:space="0" w:color="auto"/>
        <w:left w:val="none" w:sz="0" w:space="0" w:color="auto"/>
        <w:bottom w:val="none" w:sz="0" w:space="0" w:color="auto"/>
        <w:right w:val="none" w:sz="0" w:space="0" w:color="auto"/>
      </w:divBdr>
    </w:div>
    <w:div w:id="1645308197">
      <w:bodyDiv w:val="1"/>
      <w:marLeft w:val="0"/>
      <w:marRight w:val="0"/>
      <w:marTop w:val="0"/>
      <w:marBottom w:val="0"/>
      <w:divBdr>
        <w:top w:val="none" w:sz="0" w:space="0" w:color="auto"/>
        <w:left w:val="none" w:sz="0" w:space="0" w:color="auto"/>
        <w:bottom w:val="none" w:sz="0" w:space="0" w:color="auto"/>
        <w:right w:val="none" w:sz="0" w:space="0" w:color="auto"/>
      </w:divBdr>
    </w:div>
    <w:div w:id="1646933806">
      <w:bodyDiv w:val="1"/>
      <w:marLeft w:val="0"/>
      <w:marRight w:val="0"/>
      <w:marTop w:val="0"/>
      <w:marBottom w:val="0"/>
      <w:divBdr>
        <w:top w:val="none" w:sz="0" w:space="0" w:color="auto"/>
        <w:left w:val="none" w:sz="0" w:space="0" w:color="auto"/>
        <w:bottom w:val="none" w:sz="0" w:space="0" w:color="auto"/>
        <w:right w:val="none" w:sz="0" w:space="0" w:color="auto"/>
      </w:divBdr>
    </w:div>
    <w:div w:id="1649168958">
      <w:bodyDiv w:val="1"/>
      <w:marLeft w:val="0"/>
      <w:marRight w:val="0"/>
      <w:marTop w:val="0"/>
      <w:marBottom w:val="0"/>
      <w:divBdr>
        <w:top w:val="none" w:sz="0" w:space="0" w:color="auto"/>
        <w:left w:val="none" w:sz="0" w:space="0" w:color="auto"/>
        <w:bottom w:val="none" w:sz="0" w:space="0" w:color="auto"/>
        <w:right w:val="none" w:sz="0" w:space="0" w:color="auto"/>
      </w:divBdr>
    </w:div>
    <w:div w:id="1653367801">
      <w:bodyDiv w:val="1"/>
      <w:marLeft w:val="0"/>
      <w:marRight w:val="0"/>
      <w:marTop w:val="0"/>
      <w:marBottom w:val="0"/>
      <w:divBdr>
        <w:top w:val="none" w:sz="0" w:space="0" w:color="auto"/>
        <w:left w:val="none" w:sz="0" w:space="0" w:color="auto"/>
        <w:bottom w:val="none" w:sz="0" w:space="0" w:color="auto"/>
        <w:right w:val="none" w:sz="0" w:space="0" w:color="auto"/>
      </w:divBdr>
    </w:div>
    <w:div w:id="1655600699">
      <w:bodyDiv w:val="1"/>
      <w:marLeft w:val="0"/>
      <w:marRight w:val="0"/>
      <w:marTop w:val="0"/>
      <w:marBottom w:val="0"/>
      <w:divBdr>
        <w:top w:val="none" w:sz="0" w:space="0" w:color="auto"/>
        <w:left w:val="none" w:sz="0" w:space="0" w:color="auto"/>
        <w:bottom w:val="none" w:sz="0" w:space="0" w:color="auto"/>
        <w:right w:val="none" w:sz="0" w:space="0" w:color="auto"/>
      </w:divBdr>
    </w:div>
    <w:div w:id="1671565071">
      <w:bodyDiv w:val="1"/>
      <w:marLeft w:val="0"/>
      <w:marRight w:val="0"/>
      <w:marTop w:val="0"/>
      <w:marBottom w:val="0"/>
      <w:divBdr>
        <w:top w:val="none" w:sz="0" w:space="0" w:color="auto"/>
        <w:left w:val="none" w:sz="0" w:space="0" w:color="auto"/>
        <w:bottom w:val="none" w:sz="0" w:space="0" w:color="auto"/>
        <w:right w:val="none" w:sz="0" w:space="0" w:color="auto"/>
      </w:divBdr>
    </w:div>
    <w:div w:id="1683891704">
      <w:bodyDiv w:val="1"/>
      <w:marLeft w:val="0"/>
      <w:marRight w:val="0"/>
      <w:marTop w:val="0"/>
      <w:marBottom w:val="0"/>
      <w:divBdr>
        <w:top w:val="none" w:sz="0" w:space="0" w:color="auto"/>
        <w:left w:val="none" w:sz="0" w:space="0" w:color="auto"/>
        <w:bottom w:val="none" w:sz="0" w:space="0" w:color="auto"/>
        <w:right w:val="none" w:sz="0" w:space="0" w:color="auto"/>
      </w:divBdr>
    </w:div>
    <w:div w:id="1690794422">
      <w:bodyDiv w:val="1"/>
      <w:marLeft w:val="0"/>
      <w:marRight w:val="0"/>
      <w:marTop w:val="0"/>
      <w:marBottom w:val="0"/>
      <w:divBdr>
        <w:top w:val="none" w:sz="0" w:space="0" w:color="auto"/>
        <w:left w:val="none" w:sz="0" w:space="0" w:color="auto"/>
        <w:bottom w:val="none" w:sz="0" w:space="0" w:color="auto"/>
        <w:right w:val="none" w:sz="0" w:space="0" w:color="auto"/>
      </w:divBdr>
    </w:div>
    <w:div w:id="1697735774">
      <w:bodyDiv w:val="1"/>
      <w:marLeft w:val="0"/>
      <w:marRight w:val="0"/>
      <w:marTop w:val="0"/>
      <w:marBottom w:val="0"/>
      <w:divBdr>
        <w:top w:val="none" w:sz="0" w:space="0" w:color="auto"/>
        <w:left w:val="none" w:sz="0" w:space="0" w:color="auto"/>
        <w:bottom w:val="none" w:sz="0" w:space="0" w:color="auto"/>
        <w:right w:val="none" w:sz="0" w:space="0" w:color="auto"/>
      </w:divBdr>
    </w:div>
    <w:div w:id="1701083008">
      <w:bodyDiv w:val="1"/>
      <w:marLeft w:val="0"/>
      <w:marRight w:val="0"/>
      <w:marTop w:val="0"/>
      <w:marBottom w:val="0"/>
      <w:divBdr>
        <w:top w:val="none" w:sz="0" w:space="0" w:color="auto"/>
        <w:left w:val="none" w:sz="0" w:space="0" w:color="auto"/>
        <w:bottom w:val="none" w:sz="0" w:space="0" w:color="auto"/>
        <w:right w:val="none" w:sz="0" w:space="0" w:color="auto"/>
      </w:divBdr>
    </w:div>
    <w:div w:id="1703289928">
      <w:bodyDiv w:val="1"/>
      <w:marLeft w:val="0"/>
      <w:marRight w:val="0"/>
      <w:marTop w:val="0"/>
      <w:marBottom w:val="0"/>
      <w:divBdr>
        <w:top w:val="none" w:sz="0" w:space="0" w:color="auto"/>
        <w:left w:val="none" w:sz="0" w:space="0" w:color="auto"/>
        <w:bottom w:val="none" w:sz="0" w:space="0" w:color="auto"/>
        <w:right w:val="none" w:sz="0" w:space="0" w:color="auto"/>
      </w:divBdr>
    </w:div>
    <w:div w:id="1728139652">
      <w:bodyDiv w:val="1"/>
      <w:marLeft w:val="0"/>
      <w:marRight w:val="0"/>
      <w:marTop w:val="0"/>
      <w:marBottom w:val="0"/>
      <w:divBdr>
        <w:top w:val="none" w:sz="0" w:space="0" w:color="auto"/>
        <w:left w:val="none" w:sz="0" w:space="0" w:color="auto"/>
        <w:bottom w:val="none" w:sz="0" w:space="0" w:color="auto"/>
        <w:right w:val="none" w:sz="0" w:space="0" w:color="auto"/>
      </w:divBdr>
    </w:div>
    <w:div w:id="1731885426">
      <w:bodyDiv w:val="1"/>
      <w:marLeft w:val="0"/>
      <w:marRight w:val="0"/>
      <w:marTop w:val="0"/>
      <w:marBottom w:val="0"/>
      <w:divBdr>
        <w:top w:val="none" w:sz="0" w:space="0" w:color="auto"/>
        <w:left w:val="none" w:sz="0" w:space="0" w:color="auto"/>
        <w:bottom w:val="none" w:sz="0" w:space="0" w:color="auto"/>
        <w:right w:val="none" w:sz="0" w:space="0" w:color="auto"/>
      </w:divBdr>
    </w:div>
    <w:div w:id="1732996347">
      <w:bodyDiv w:val="1"/>
      <w:marLeft w:val="0"/>
      <w:marRight w:val="0"/>
      <w:marTop w:val="0"/>
      <w:marBottom w:val="0"/>
      <w:divBdr>
        <w:top w:val="none" w:sz="0" w:space="0" w:color="auto"/>
        <w:left w:val="none" w:sz="0" w:space="0" w:color="auto"/>
        <w:bottom w:val="none" w:sz="0" w:space="0" w:color="auto"/>
        <w:right w:val="none" w:sz="0" w:space="0" w:color="auto"/>
      </w:divBdr>
    </w:div>
    <w:div w:id="1734768786">
      <w:bodyDiv w:val="1"/>
      <w:marLeft w:val="0"/>
      <w:marRight w:val="0"/>
      <w:marTop w:val="0"/>
      <w:marBottom w:val="0"/>
      <w:divBdr>
        <w:top w:val="none" w:sz="0" w:space="0" w:color="auto"/>
        <w:left w:val="none" w:sz="0" w:space="0" w:color="auto"/>
        <w:bottom w:val="none" w:sz="0" w:space="0" w:color="auto"/>
        <w:right w:val="none" w:sz="0" w:space="0" w:color="auto"/>
      </w:divBdr>
    </w:div>
    <w:div w:id="1739478195">
      <w:bodyDiv w:val="1"/>
      <w:marLeft w:val="0"/>
      <w:marRight w:val="0"/>
      <w:marTop w:val="0"/>
      <w:marBottom w:val="0"/>
      <w:divBdr>
        <w:top w:val="none" w:sz="0" w:space="0" w:color="auto"/>
        <w:left w:val="none" w:sz="0" w:space="0" w:color="auto"/>
        <w:bottom w:val="none" w:sz="0" w:space="0" w:color="auto"/>
        <w:right w:val="none" w:sz="0" w:space="0" w:color="auto"/>
      </w:divBdr>
    </w:div>
    <w:div w:id="1742361507">
      <w:bodyDiv w:val="1"/>
      <w:marLeft w:val="0"/>
      <w:marRight w:val="0"/>
      <w:marTop w:val="0"/>
      <w:marBottom w:val="0"/>
      <w:divBdr>
        <w:top w:val="none" w:sz="0" w:space="0" w:color="auto"/>
        <w:left w:val="none" w:sz="0" w:space="0" w:color="auto"/>
        <w:bottom w:val="none" w:sz="0" w:space="0" w:color="auto"/>
        <w:right w:val="none" w:sz="0" w:space="0" w:color="auto"/>
      </w:divBdr>
    </w:div>
    <w:div w:id="1748334742">
      <w:bodyDiv w:val="1"/>
      <w:marLeft w:val="0"/>
      <w:marRight w:val="0"/>
      <w:marTop w:val="0"/>
      <w:marBottom w:val="0"/>
      <w:divBdr>
        <w:top w:val="none" w:sz="0" w:space="0" w:color="auto"/>
        <w:left w:val="none" w:sz="0" w:space="0" w:color="auto"/>
        <w:bottom w:val="none" w:sz="0" w:space="0" w:color="auto"/>
        <w:right w:val="none" w:sz="0" w:space="0" w:color="auto"/>
      </w:divBdr>
    </w:div>
    <w:div w:id="1750497390">
      <w:bodyDiv w:val="1"/>
      <w:marLeft w:val="0"/>
      <w:marRight w:val="0"/>
      <w:marTop w:val="0"/>
      <w:marBottom w:val="0"/>
      <w:divBdr>
        <w:top w:val="none" w:sz="0" w:space="0" w:color="auto"/>
        <w:left w:val="none" w:sz="0" w:space="0" w:color="auto"/>
        <w:bottom w:val="none" w:sz="0" w:space="0" w:color="auto"/>
        <w:right w:val="none" w:sz="0" w:space="0" w:color="auto"/>
      </w:divBdr>
    </w:div>
    <w:div w:id="1751581457">
      <w:bodyDiv w:val="1"/>
      <w:marLeft w:val="0"/>
      <w:marRight w:val="0"/>
      <w:marTop w:val="0"/>
      <w:marBottom w:val="0"/>
      <w:divBdr>
        <w:top w:val="none" w:sz="0" w:space="0" w:color="auto"/>
        <w:left w:val="none" w:sz="0" w:space="0" w:color="auto"/>
        <w:bottom w:val="none" w:sz="0" w:space="0" w:color="auto"/>
        <w:right w:val="none" w:sz="0" w:space="0" w:color="auto"/>
      </w:divBdr>
    </w:div>
    <w:div w:id="1755974742">
      <w:bodyDiv w:val="1"/>
      <w:marLeft w:val="0"/>
      <w:marRight w:val="0"/>
      <w:marTop w:val="0"/>
      <w:marBottom w:val="0"/>
      <w:divBdr>
        <w:top w:val="none" w:sz="0" w:space="0" w:color="auto"/>
        <w:left w:val="none" w:sz="0" w:space="0" w:color="auto"/>
        <w:bottom w:val="none" w:sz="0" w:space="0" w:color="auto"/>
        <w:right w:val="none" w:sz="0" w:space="0" w:color="auto"/>
      </w:divBdr>
    </w:div>
    <w:div w:id="1757481176">
      <w:bodyDiv w:val="1"/>
      <w:marLeft w:val="0"/>
      <w:marRight w:val="0"/>
      <w:marTop w:val="0"/>
      <w:marBottom w:val="0"/>
      <w:divBdr>
        <w:top w:val="none" w:sz="0" w:space="0" w:color="auto"/>
        <w:left w:val="none" w:sz="0" w:space="0" w:color="auto"/>
        <w:bottom w:val="none" w:sz="0" w:space="0" w:color="auto"/>
        <w:right w:val="none" w:sz="0" w:space="0" w:color="auto"/>
      </w:divBdr>
    </w:div>
    <w:div w:id="1763331579">
      <w:bodyDiv w:val="1"/>
      <w:marLeft w:val="0"/>
      <w:marRight w:val="0"/>
      <w:marTop w:val="0"/>
      <w:marBottom w:val="0"/>
      <w:divBdr>
        <w:top w:val="none" w:sz="0" w:space="0" w:color="auto"/>
        <w:left w:val="none" w:sz="0" w:space="0" w:color="auto"/>
        <w:bottom w:val="none" w:sz="0" w:space="0" w:color="auto"/>
        <w:right w:val="none" w:sz="0" w:space="0" w:color="auto"/>
      </w:divBdr>
    </w:div>
    <w:div w:id="1789665439">
      <w:bodyDiv w:val="1"/>
      <w:marLeft w:val="0"/>
      <w:marRight w:val="0"/>
      <w:marTop w:val="0"/>
      <w:marBottom w:val="0"/>
      <w:divBdr>
        <w:top w:val="none" w:sz="0" w:space="0" w:color="auto"/>
        <w:left w:val="none" w:sz="0" w:space="0" w:color="auto"/>
        <w:bottom w:val="none" w:sz="0" w:space="0" w:color="auto"/>
        <w:right w:val="none" w:sz="0" w:space="0" w:color="auto"/>
      </w:divBdr>
    </w:div>
    <w:div w:id="1801223014">
      <w:bodyDiv w:val="1"/>
      <w:marLeft w:val="0"/>
      <w:marRight w:val="0"/>
      <w:marTop w:val="0"/>
      <w:marBottom w:val="0"/>
      <w:divBdr>
        <w:top w:val="none" w:sz="0" w:space="0" w:color="auto"/>
        <w:left w:val="none" w:sz="0" w:space="0" w:color="auto"/>
        <w:bottom w:val="none" w:sz="0" w:space="0" w:color="auto"/>
        <w:right w:val="none" w:sz="0" w:space="0" w:color="auto"/>
      </w:divBdr>
    </w:div>
    <w:div w:id="1809515928">
      <w:bodyDiv w:val="1"/>
      <w:marLeft w:val="0"/>
      <w:marRight w:val="0"/>
      <w:marTop w:val="0"/>
      <w:marBottom w:val="0"/>
      <w:divBdr>
        <w:top w:val="none" w:sz="0" w:space="0" w:color="auto"/>
        <w:left w:val="none" w:sz="0" w:space="0" w:color="auto"/>
        <w:bottom w:val="none" w:sz="0" w:space="0" w:color="auto"/>
        <w:right w:val="none" w:sz="0" w:space="0" w:color="auto"/>
      </w:divBdr>
    </w:div>
    <w:div w:id="1811512005">
      <w:bodyDiv w:val="1"/>
      <w:marLeft w:val="0"/>
      <w:marRight w:val="0"/>
      <w:marTop w:val="0"/>
      <w:marBottom w:val="0"/>
      <w:divBdr>
        <w:top w:val="none" w:sz="0" w:space="0" w:color="auto"/>
        <w:left w:val="none" w:sz="0" w:space="0" w:color="auto"/>
        <w:bottom w:val="none" w:sz="0" w:space="0" w:color="auto"/>
        <w:right w:val="none" w:sz="0" w:space="0" w:color="auto"/>
      </w:divBdr>
    </w:div>
    <w:div w:id="1812599369">
      <w:bodyDiv w:val="1"/>
      <w:marLeft w:val="0"/>
      <w:marRight w:val="0"/>
      <w:marTop w:val="0"/>
      <w:marBottom w:val="0"/>
      <w:divBdr>
        <w:top w:val="none" w:sz="0" w:space="0" w:color="auto"/>
        <w:left w:val="none" w:sz="0" w:space="0" w:color="auto"/>
        <w:bottom w:val="none" w:sz="0" w:space="0" w:color="auto"/>
        <w:right w:val="none" w:sz="0" w:space="0" w:color="auto"/>
      </w:divBdr>
    </w:div>
    <w:div w:id="1817531802">
      <w:bodyDiv w:val="1"/>
      <w:marLeft w:val="0"/>
      <w:marRight w:val="0"/>
      <w:marTop w:val="0"/>
      <w:marBottom w:val="0"/>
      <w:divBdr>
        <w:top w:val="none" w:sz="0" w:space="0" w:color="auto"/>
        <w:left w:val="none" w:sz="0" w:space="0" w:color="auto"/>
        <w:bottom w:val="none" w:sz="0" w:space="0" w:color="auto"/>
        <w:right w:val="none" w:sz="0" w:space="0" w:color="auto"/>
      </w:divBdr>
    </w:div>
    <w:div w:id="1823546966">
      <w:bodyDiv w:val="1"/>
      <w:marLeft w:val="0"/>
      <w:marRight w:val="0"/>
      <w:marTop w:val="0"/>
      <w:marBottom w:val="0"/>
      <w:divBdr>
        <w:top w:val="none" w:sz="0" w:space="0" w:color="auto"/>
        <w:left w:val="none" w:sz="0" w:space="0" w:color="auto"/>
        <w:bottom w:val="none" w:sz="0" w:space="0" w:color="auto"/>
        <w:right w:val="none" w:sz="0" w:space="0" w:color="auto"/>
      </w:divBdr>
    </w:div>
    <w:div w:id="1828934241">
      <w:bodyDiv w:val="1"/>
      <w:marLeft w:val="0"/>
      <w:marRight w:val="0"/>
      <w:marTop w:val="0"/>
      <w:marBottom w:val="0"/>
      <w:divBdr>
        <w:top w:val="none" w:sz="0" w:space="0" w:color="auto"/>
        <w:left w:val="none" w:sz="0" w:space="0" w:color="auto"/>
        <w:bottom w:val="none" w:sz="0" w:space="0" w:color="auto"/>
        <w:right w:val="none" w:sz="0" w:space="0" w:color="auto"/>
      </w:divBdr>
    </w:div>
    <w:div w:id="1831674069">
      <w:bodyDiv w:val="1"/>
      <w:marLeft w:val="0"/>
      <w:marRight w:val="0"/>
      <w:marTop w:val="0"/>
      <w:marBottom w:val="0"/>
      <w:divBdr>
        <w:top w:val="none" w:sz="0" w:space="0" w:color="auto"/>
        <w:left w:val="none" w:sz="0" w:space="0" w:color="auto"/>
        <w:bottom w:val="none" w:sz="0" w:space="0" w:color="auto"/>
        <w:right w:val="none" w:sz="0" w:space="0" w:color="auto"/>
      </w:divBdr>
    </w:div>
    <w:div w:id="1833981753">
      <w:bodyDiv w:val="1"/>
      <w:marLeft w:val="0"/>
      <w:marRight w:val="0"/>
      <w:marTop w:val="0"/>
      <w:marBottom w:val="0"/>
      <w:divBdr>
        <w:top w:val="none" w:sz="0" w:space="0" w:color="auto"/>
        <w:left w:val="none" w:sz="0" w:space="0" w:color="auto"/>
        <w:bottom w:val="none" w:sz="0" w:space="0" w:color="auto"/>
        <w:right w:val="none" w:sz="0" w:space="0" w:color="auto"/>
      </w:divBdr>
    </w:div>
    <w:div w:id="1842427813">
      <w:bodyDiv w:val="1"/>
      <w:marLeft w:val="0"/>
      <w:marRight w:val="0"/>
      <w:marTop w:val="0"/>
      <w:marBottom w:val="0"/>
      <w:divBdr>
        <w:top w:val="none" w:sz="0" w:space="0" w:color="auto"/>
        <w:left w:val="none" w:sz="0" w:space="0" w:color="auto"/>
        <w:bottom w:val="none" w:sz="0" w:space="0" w:color="auto"/>
        <w:right w:val="none" w:sz="0" w:space="0" w:color="auto"/>
      </w:divBdr>
    </w:div>
    <w:div w:id="1859923201">
      <w:bodyDiv w:val="1"/>
      <w:marLeft w:val="0"/>
      <w:marRight w:val="0"/>
      <w:marTop w:val="0"/>
      <w:marBottom w:val="0"/>
      <w:divBdr>
        <w:top w:val="none" w:sz="0" w:space="0" w:color="auto"/>
        <w:left w:val="none" w:sz="0" w:space="0" w:color="auto"/>
        <w:bottom w:val="none" w:sz="0" w:space="0" w:color="auto"/>
        <w:right w:val="none" w:sz="0" w:space="0" w:color="auto"/>
      </w:divBdr>
    </w:div>
    <w:div w:id="1865753220">
      <w:bodyDiv w:val="1"/>
      <w:marLeft w:val="0"/>
      <w:marRight w:val="0"/>
      <w:marTop w:val="0"/>
      <w:marBottom w:val="0"/>
      <w:divBdr>
        <w:top w:val="none" w:sz="0" w:space="0" w:color="auto"/>
        <w:left w:val="none" w:sz="0" w:space="0" w:color="auto"/>
        <w:bottom w:val="none" w:sz="0" w:space="0" w:color="auto"/>
        <w:right w:val="none" w:sz="0" w:space="0" w:color="auto"/>
      </w:divBdr>
      <w:divsChild>
        <w:div w:id="1313868280">
          <w:marLeft w:val="0"/>
          <w:marRight w:val="0"/>
          <w:marTop w:val="0"/>
          <w:marBottom w:val="0"/>
          <w:divBdr>
            <w:top w:val="none" w:sz="0" w:space="0" w:color="auto"/>
            <w:left w:val="none" w:sz="0" w:space="0" w:color="auto"/>
            <w:bottom w:val="none" w:sz="0" w:space="0" w:color="auto"/>
            <w:right w:val="none" w:sz="0" w:space="0" w:color="auto"/>
          </w:divBdr>
        </w:div>
      </w:divsChild>
    </w:div>
    <w:div w:id="1866752865">
      <w:bodyDiv w:val="1"/>
      <w:marLeft w:val="0"/>
      <w:marRight w:val="0"/>
      <w:marTop w:val="0"/>
      <w:marBottom w:val="0"/>
      <w:divBdr>
        <w:top w:val="none" w:sz="0" w:space="0" w:color="auto"/>
        <w:left w:val="none" w:sz="0" w:space="0" w:color="auto"/>
        <w:bottom w:val="none" w:sz="0" w:space="0" w:color="auto"/>
        <w:right w:val="none" w:sz="0" w:space="0" w:color="auto"/>
      </w:divBdr>
    </w:div>
    <w:div w:id="1869441395">
      <w:bodyDiv w:val="1"/>
      <w:marLeft w:val="0"/>
      <w:marRight w:val="0"/>
      <w:marTop w:val="0"/>
      <w:marBottom w:val="0"/>
      <w:divBdr>
        <w:top w:val="none" w:sz="0" w:space="0" w:color="auto"/>
        <w:left w:val="none" w:sz="0" w:space="0" w:color="auto"/>
        <w:bottom w:val="none" w:sz="0" w:space="0" w:color="auto"/>
        <w:right w:val="none" w:sz="0" w:space="0" w:color="auto"/>
      </w:divBdr>
    </w:div>
    <w:div w:id="1871528049">
      <w:bodyDiv w:val="1"/>
      <w:marLeft w:val="0"/>
      <w:marRight w:val="0"/>
      <w:marTop w:val="0"/>
      <w:marBottom w:val="0"/>
      <w:divBdr>
        <w:top w:val="none" w:sz="0" w:space="0" w:color="auto"/>
        <w:left w:val="none" w:sz="0" w:space="0" w:color="auto"/>
        <w:bottom w:val="none" w:sz="0" w:space="0" w:color="auto"/>
        <w:right w:val="none" w:sz="0" w:space="0" w:color="auto"/>
      </w:divBdr>
    </w:div>
    <w:div w:id="1873958216">
      <w:bodyDiv w:val="1"/>
      <w:marLeft w:val="0"/>
      <w:marRight w:val="0"/>
      <w:marTop w:val="0"/>
      <w:marBottom w:val="0"/>
      <w:divBdr>
        <w:top w:val="none" w:sz="0" w:space="0" w:color="auto"/>
        <w:left w:val="none" w:sz="0" w:space="0" w:color="auto"/>
        <w:bottom w:val="none" w:sz="0" w:space="0" w:color="auto"/>
        <w:right w:val="none" w:sz="0" w:space="0" w:color="auto"/>
      </w:divBdr>
    </w:div>
    <w:div w:id="1887257353">
      <w:bodyDiv w:val="1"/>
      <w:marLeft w:val="0"/>
      <w:marRight w:val="0"/>
      <w:marTop w:val="0"/>
      <w:marBottom w:val="0"/>
      <w:divBdr>
        <w:top w:val="none" w:sz="0" w:space="0" w:color="auto"/>
        <w:left w:val="none" w:sz="0" w:space="0" w:color="auto"/>
        <w:bottom w:val="none" w:sz="0" w:space="0" w:color="auto"/>
        <w:right w:val="none" w:sz="0" w:space="0" w:color="auto"/>
      </w:divBdr>
    </w:div>
    <w:div w:id="1888446637">
      <w:bodyDiv w:val="1"/>
      <w:marLeft w:val="0"/>
      <w:marRight w:val="0"/>
      <w:marTop w:val="0"/>
      <w:marBottom w:val="0"/>
      <w:divBdr>
        <w:top w:val="none" w:sz="0" w:space="0" w:color="auto"/>
        <w:left w:val="none" w:sz="0" w:space="0" w:color="auto"/>
        <w:bottom w:val="none" w:sz="0" w:space="0" w:color="auto"/>
        <w:right w:val="none" w:sz="0" w:space="0" w:color="auto"/>
      </w:divBdr>
    </w:div>
    <w:div w:id="1889494637">
      <w:bodyDiv w:val="1"/>
      <w:marLeft w:val="0"/>
      <w:marRight w:val="0"/>
      <w:marTop w:val="0"/>
      <w:marBottom w:val="0"/>
      <w:divBdr>
        <w:top w:val="none" w:sz="0" w:space="0" w:color="auto"/>
        <w:left w:val="none" w:sz="0" w:space="0" w:color="auto"/>
        <w:bottom w:val="none" w:sz="0" w:space="0" w:color="auto"/>
        <w:right w:val="none" w:sz="0" w:space="0" w:color="auto"/>
      </w:divBdr>
    </w:div>
    <w:div w:id="1900046353">
      <w:bodyDiv w:val="1"/>
      <w:marLeft w:val="0"/>
      <w:marRight w:val="0"/>
      <w:marTop w:val="0"/>
      <w:marBottom w:val="0"/>
      <w:divBdr>
        <w:top w:val="none" w:sz="0" w:space="0" w:color="auto"/>
        <w:left w:val="none" w:sz="0" w:space="0" w:color="auto"/>
        <w:bottom w:val="none" w:sz="0" w:space="0" w:color="auto"/>
        <w:right w:val="none" w:sz="0" w:space="0" w:color="auto"/>
      </w:divBdr>
    </w:div>
    <w:div w:id="1907641178">
      <w:bodyDiv w:val="1"/>
      <w:marLeft w:val="0"/>
      <w:marRight w:val="0"/>
      <w:marTop w:val="0"/>
      <w:marBottom w:val="0"/>
      <w:divBdr>
        <w:top w:val="none" w:sz="0" w:space="0" w:color="auto"/>
        <w:left w:val="none" w:sz="0" w:space="0" w:color="auto"/>
        <w:bottom w:val="none" w:sz="0" w:space="0" w:color="auto"/>
        <w:right w:val="none" w:sz="0" w:space="0" w:color="auto"/>
      </w:divBdr>
    </w:div>
    <w:div w:id="1916552960">
      <w:bodyDiv w:val="1"/>
      <w:marLeft w:val="0"/>
      <w:marRight w:val="0"/>
      <w:marTop w:val="0"/>
      <w:marBottom w:val="0"/>
      <w:divBdr>
        <w:top w:val="none" w:sz="0" w:space="0" w:color="auto"/>
        <w:left w:val="none" w:sz="0" w:space="0" w:color="auto"/>
        <w:bottom w:val="none" w:sz="0" w:space="0" w:color="auto"/>
        <w:right w:val="none" w:sz="0" w:space="0" w:color="auto"/>
      </w:divBdr>
    </w:div>
    <w:div w:id="1934046527">
      <w:bodyDiv w:val="1"/>
      <w:marLeft w:val="0"/>
      <w:marRight w:val="0"/>
      <w:marTop w:val="0"/>
      <w:marBottom w:val="0"/>
      <w:divBdr>
        <w:top w:val="none" w:sz="0" w:space="0" w:color="auto"/>
        <w:left w:val="none" w:sz="0" w:space="0" w:color="auto"/>
        <w:bottom w:val="none" w:sz="0" w:space="0" w:color="auto"/>
        <w:right w:val="none" w:sz="0" w:space="0" w:color="auto"/>
      </w:divBdr>
    </w:div>
    <w:div w:id="1935745514">
      <w:bodyDiv w:val="1"/>
      <w:marLeft w:val="0"/>
      <w:marRight w:val="0"/>
      <w:marTop w:val="0"/>
      <w:marBottom w:val="0"/>
      <w:divBdr>
        <w:top w:val="none" w:sz="0" w:space="0" w:color="auto"/>
        <w:left w:val="none" w:sz="0" w:space="0" w:color="auto"/>
        <w:bottom w:val="none" w:sz="0" w:space="0" w:color="auto"/>
        <w:right w:val="none" w:sz="0" w:space="0" w:color="auto"/>
      </w:divBdr>
    </w:div>
    <w:div w:id="1940873838">
      <w:bodyDiv w:val="1"/>
      <w:marLeft w:val="0"/>
      <w:marRight w:val="0"/>
      <w:marTop w:val="0"/>
      <w:marBottom w:val="0"/>
      <w:divBdr>
        <w:top w:val="none" w:sz="0" w:space="0" w:color="auto"/>
        <w:left w:val="none" w:sz="0" w:space="0" w:color="auto"/>
        <w:bottom w:val="none" w:sz="0" w:space="0" w:color="auto"/>
        <w:right w:val="none" w:sz="0" w:space="0" w:color="auto"/>
      </w:divBdr>
    </w:div>
    <w:div w:id="1959799277">
      <w:bodyDiv w:val="1"/>
      <w:marLeft w:val="0"/>
      <w:marRight w:val="0"/>
      <w:marTop w:val="0"/>
      <w:marBottom w:val="0"/>
      <w:divBdr>
        <w:top w:val="none" w:sz="0" w:space="0" w:color="auto"/>
        <w:left w:val="none" w:sz="0" w:space="0" w:color="auto"/>
        <w:bottom w:val="none" w:sz="0" w:space="0" w:color="auto"/>
        <w:right w:val="none" w:sz="0" w:space="0" w:color="auto"/>
      </w:divBdr>
    </w:div>
    <w:div w:id="1969896377">
      <w:bodyDiv w:val="1"/>
      <w:marLeft w:val="0"/>
      <w:marRight w:val="0"/>
      <w:marTop w:val="0"/>
      <w:marBottom w:val="0"/>
      <w:divBdr>
        <w:top w:val="none" w:sz="0" w:space="0" w:color="auto"/>
        <w:left w:val="none" w:sz="0" w:space="0" w:color="auto"/>
        <w:bottom w:val="none" w:sz="0" w:space="0" w:color="auto"/>
        <w:right w:val="none" w:sz="0" w:space="0" w:color="auto"/>
      </w:divBdr>
    </w:div>
    <w:div w:id="1971587952">
      <w:bodyDiv w:val="1"/>
      <w:marLeft w:val="0"/>
      <w:marRight w:val="0"/>
      <w:marTop w:val="0"/>
      <w:marBottom w:val="0"/>
      <w:divBdr>
        <w:top w:val="none" w:sz="0" w:space="0" w:color="auto"/>
        <w:left w:val="none" w:sz="0" w:space="0" w:color="auto"/>
        <w:bottom w:val="none" w:sz="0" w:space="0" w:color="auto"/>
        <w:right w:val="none" w:sz="0" w:space="0" w:color="auto"/>
      </w:divBdr>
    </w:div>
    <w:div w:id="1975139513">
      <w:bodyDiv w:val="1"/>
      <w:marLeft w:val="0"/>
      <w:marRight w:val="0"/>
      <w:marTop w:val="0"/>
      <w:marBottom w:val="0"/>
      <w:divBdr>
        <w:top w:val="none" w:sz="0" w:space="0" w:color="auto"/>
        <w:left w:val="none" w:sz="0" w:space="0" w:color="auto"/>
        <w:bottom w:val="none" w:sz="0" w:space="0" w:color="auto"/>
        <w:right w:val="none" w:sz="0" w:space="0" w:color="auto"/>
      </w:divBdr>
    </w:div>
    <w:div w:id="1977947180">
      <w:bodyDiv w:val="1"/>
      <w:marLeft w:val="0"/>
      <w:marRight w:val="0"/>
      <w:marTop w:val="0"/>
      <w:marBottom w:val="0"/>
      <w:divBdr>
        <w:top w:val="none" w:sz="0" w:space="0" w:color="auto"/>
        <w:left w:val="none" w:sz="0" w:space="0" w:color="auto"/>
        <w:bottom w:val="none" w:sz="0" w:space="0" w:color="auto"/>
        <w:right w:val="none" w:sz="0" w:space="0" w:color="auto"/>
      </w:divBdr>
    </w:div>
    <w:div w:id="1981884888">
      <w:bodyDiv w:val="1"/>
      <w:marLeft w:val="0"/>
      <w:marRight w:val="0"/>
      <w:marTop w:val="0"/>
      <w:marBottom w:val="0"/>
      <w:divBdr>
        <w:top w:val="none" w:sz="0" w:space="0" w:color="auto"/>
        <w:left w:val="none" w:sz="0" w:space="0" w:color="auto"/>
        <w:bottom w:val="none" w:sz="0" w:space="0" w:color="auto"/>
        <w:right w:val="none" w:sz="0" w:space="0" w:color="auto"/>
      </w:divBdr>
    </w:div>
    <w:div w:id="1981958487">
      <w:bodyDiv w:val="1"/>
      <w:marLeft w:val="0"/>
      <w:marRight w:val="0"/>
      <w:marTop w:val="0"/>
      <w:marBottom w:val="0"/>
      <w:divBdr>
        <w:top w:val="none" w:sz="0" w:space="0" w:color="auto"/>
        <w:left w:val="none" w:sz="0" w:space="0" w:color="auto"/>
        <w:bottom w:val="none" w:sz="0" w:space="0" w:color="auto"/>
        <w:right w:val="none" w:sz="0" w:space="0" w:color="auto"/>
      </w:divBdr>
    </w:div>
    <w:div w:id="1982689126">
      <w:bodyDiv w:val="1"/>
      <w:marLeft w:val="0"/>
      <w:marRight w:val="0"/>
      <w:marTop w:val="0"/>
      <w:marBottom w:val="0"/>
      <w:divBdr>
        <w:top w:val="none" w:sz="0" w:space="0" w:color="auto"/>
        <w:left w:val="none" w:sz="0" w:space="0" w:color="auto"/>
        <w:bottom w:val="none" w:sz="0" w:space="0" w:color="auto"/>
        <w:right w:val="none" w:sz="0" w:space="0" w:color="auto"/>
      </w:divBdr>
    </w:div>
    <w:div w:id="1987706976">
      <w:bodyDiv w:val="1"/>
      <w:marLeft w:val="0"/>
      <w:marRight w:val="0"/>
      <w:marTop w:val="0"/>
      <w:marBottom w:val="0"/>
      <w:divBdr>
        <w:top w:val="none" w:sz="0" w:space="0" w:color="auto"/>
        <w:left w:val="none" w:sz="0" w:space="0" w:color="auto"/>
        <w:bottom w:val="none" w:sz="0" w:space="0" w:color="auto"/>
        <w:right w:val="none" w:sz="0" w:space="0" w:color="auto"/>
      </w:divBdr>
    </w:div>
    <w:div w:id="1989623817">
      <w:bodyDiv w:val="1"/>
      <w:marLeft w:val="0"/>
      <w:marRight w:val="0"/>
      <w:marTop w:val="0"/>
      <w:marBottom w:val="0"/>
      <w:divBdr>
        <w:top w:val="none" w:sz="0" w:space="0" w:color="auto"/>
        <w:left w:val="none" w:sz="0" w:space="0" w:color="auto"/>
        <w:bottom w:val="none" w:sz="0" w:space="0" w:color="auto"/>
        <w:right w:val="none" w:sz="0" w:space="0" w:color="auto"/>
      </w:divBdr>
    </w:div>
    <w:div w:id="2002848835">
      <w:bodyDiv w:val="1"/>
      <w:marLeft w:val="0"/>
      <w:marRight w:val="0"/>
      <w:marTop w:val="0"/>
      <w:marBottom w:val="0"/>
      <w:divBdr>
        <w:top w:val="none" w:sz="0" w:space="0" w:color="auto"/>
        <w:left w:val="none" w:sz="0" w:space="0" w:color="auto"/>
        <w:bottom w:val="none" w:sz="0" w:space="0" w:color="auto"/>
        <w:right w:val="none" w:sz="0" w:space="0" w:color="auto"/>
      </w:divBdr>
    </w:div>
    <w:div w:id="2005160304">
      <w:bodyDiv w:val="1"/>
      <w:marLeft w:val="0"/>
      <w:marRight w:val="0"/>
      <w:marTop w:val="0"/>
      <w:marBottom w:val="0"/>
      <w:divBdr>
        <w:top w:val="none" w:sz="0" w:space="0" w:color="auto"/>
        <w:left w:val="none" w:sz="0" w:space="0" w:color="auto"/>
        <w:bottom w:val="none" w:sz="0" w:space="0" w:color="auto"/>
        <w:right w:val="none" w:sz="0" w:space="0" w:color="auto"/>
      </w:divBdr>
      <w:divsChild>
        <w:div w:id="429279160">
          <w:marLeft w:val="0"/>
          <w:marRight w:val="0"/>
          <w:marTop w:val="0"/>
          <w:marBottom w:val="0"/>
          <w:divBdr>
            <w:top w:val="none" w:sz="0" w:space="0" w:color="auto"/>
            <w:left w:val="none" w:sz="0" w:space="0" w:color="auto"/>
            <w:bottom w:val="none" w:sz="0" w:space="0" w:color="auto"/>
            <w:right w:val="none" w:sz="0" w:space="0" w:color="auto"/>
          </w:divBdr>
        </w:div>
      </w:divsChild>
    </w:div>
    <w:div w:id="2006666587">
      <w:bodyDiv w:val="1"/>
      <w:marLeft w:val="0"/>
      <w:marRight w:val="0"/>
      <w:marTop w:val="0"/>
      <w:marBottom w:val="0"/>
      <w:divBdr>
        <w:top w:val="none" w:sz="0" w:space="0" w:color="auto"/>
        <w:left w:val="none" w:sz="0" w:space="0" w:color="auto"/>
        <w:bottom w:val="none" w:sz="0" w:space="0" w:color="auto"/>
        <w:right w:val="none" w:sz="0" w:space="0" w:color="auto"/>
      </w:divBdr>
    </w:div>
    <w:div w:id="2008627340">
      <w:bodyDiv w:val="1"/>
      <w:marLeft w:val="0"/>
      <w:marRight w:val="0"/>
      <w:marTop w:val="0"/>
      <w:marBottom w:val="0"/>
      <w:divBdr>
        <w:top w:val="none" w:sz="0" w:space="0" w:color="auto"/>
        <w:left w:val="none" w:sz="0" w:space="0" w:color="auto"/>
        <w:bottom w:val="none" w:sz="0" w:space="0" w:color="auto"/>
        <w:right w:val="none" w:sz="0" w:space="0" w:color="auto"/>
      </w:divBdr>
    </w:div>
    <w:div w:id="2011329974">
      <w:bodyDiv w:val="1"/>
      <w:marLeft w:val="0"/>
      <w:marRight w:val="0"/>
      <w:marTop w:val="0"/>
      <w:marBottom w:val="0"/>
      <w:divBdr>
        <w:top w:val="none" w:sz="0" w:space="0" w:color="auto"/>
        <w:left w:val="none" w:sz="0" w:space="0" w:color="auto"/>
        <w:bottom w:val="none" w:sz="0" w:space="0" w:color="auto"/>
        <w:right w:val="none" w:sz="0" w:space="0" w:color="auto"/>
      </w:divBdr>
    </w:div>
    <w:div w:id="2030791232">
      <w:bodyDiv w:val="1"/>
      <w:marLeft w:val="0"/>
      <w:marRight w:val="0"/>
      <w:marTop w:val="0"/>
      <w:marBottom w:val="0"/>
      <w:divBdr>
        <w:top w:val="none" w:sz="0" w:space="0" w:color="auto"/>
        <w:left w:val="none" w:sz="0" w:space="0" w:color="auto"/>
        <w:bottom w:val="none" w:sz="0" w:space="0" w:color="auto"/>
        <w:right w:val="none" w:sz="0" w:space="0" w:color="auto"/>
      </w:divBdr>
    </w:div>
    <w:div w:id="2038119045">
      <w:bodyDiv w:val="1"/>
      <w:marLeft w:val="0"/>
      <w:marRight w:val="0"/>
      <w:marTop w:val="0"/>
      <w:marBottom w:val="0"/>
      <w:divBdr>
        <w:top w:val="none" w:sz="0" w:space="0" w:color="auto"/>
        <w:left w:val="none" w:sz="0" w:space="0" w:color="auto"/>
        <w:bottom w:val="none" w:sz="0" w:space="0" w:color="auto"/>
        <w:right w:val="none" w:sz="0" w:space="0" w:color="auto"/>
      </w:divBdr>
    </w:div>
    <w:div w:id="2073843565">
      <w:bodyDiv w:val="1"/>
      <w:marLeft w:val="0"/>
      <w:marRight w:val="0"/>
      <w:marTop w:val="0"/>
      <w:marBottom w:val="0"/>
      <w:divBdr>
        <w:top w:val="none" w:sz="0" w:space="0" w:color="auto"/>
        <w:left w:val="none" w:sz="0" w:space="0" w:color="auto"/>
        <w:bottom w:val="none" w:sz="0" w:space="0" w:color="auto"/>
        <w:right w:val="none" w:sz="0" w:space="0" w:color="auto"/>
      </w:divBdr>
    </w:div>
    <w:div w:id="2080713268">
      <w:bodyDiv w:val="1"/>
      <w:marLeft w:val="0"/>
      <w:marRight w:val="0"/>
      <w:marTop w:val="0"/>
      <w:marBottom w:val="0"/>
      <w:divBdr>
        <w:top w:val="none" w:sz="0" w:space="0" w:color="auto"/>
        <w:left w:val="none" w:sz="0" w:space="0" w:color="auto"/>
        <w:bottom w:val="none" w:sz="0" w:space="0" w:color="auto"/>
        <w:right w:val="none" w:sz="0" w:space="0" w:color="auto"/>
      </w:divBdr>
    </w:div>
    <w:div w:id="2089620093">
      <w:bodyDiv w:val="1"/>
      <w:marLeft w:val="0"/>
      <w:marRight w:val="0"/>
      <w:marTop w:val="0"/>
      <w:marBottom w:val="0"/>
      <w:divBdr>
        <w:top w:val="none" w:sz="0" w:space="0" w:color="auto"/>
        <w:left w:val="none" w:sz="0" w:space="0" w:color="auto"/>
        <w:bottom w:val="none" w:sz="0" w:space="0" w:color="auto"/>
        <w:right w:val="none" w:sz="0" w:space="0" w:color="auto"/>
      </w:divBdr>
    </w:div>
    <w:div w:id="2089620322">
      <w:bodyDiv w:val="1"/>
      <w:marLeft w:val="0"/>
      <w:marRight w:val="0"/>
      <w:marTop w:val="0"/>
      <w:marBottom w:val="0"/>
      <w:divBdr>
        <w:top w:val="none" w:sz="0" w:space="0" w:color="auto"/>
        <w:left w:val="none" w:sz="0" w:space="0" w:color="auto"/>
        <w:bottom w:val="none" w:sz="0" w:space="0" w:color="auto"/>
        <w:right w:val="none" w:sz="0" w:space="0" w:color="auto"/>
      </w:divBdr>
    </w:div>
    <w:div w:id="2090998650">
      <w:bodyDiv w:val="1"/>
      <w:marLeft w:val="0"/>
      <w:marRight w:val="0"/>
      <w:marTop w:val="0"/>
      <w:marBottom w:val="0"/>
      <w:divBdr>
        <w:top w:val="none" w:sz="0" w:space="0" w:color="auto"/>
        <w:left w:val="none" w:sz="0" w:space="0" w:color="auto"/>
        <w:bottom w:val="none" w:sz="0" w:space="0" w:color="auto"/>
        <w:right w:val="none" w:sz="0" w:space="0" w:color="auto"/>
      </w:divBdr>
    </w:div>
    <w:div w:id="2092040612">
      <w:bodyDiv w:val="1"/>
      <w:marLeft w:val="0"/>
      <w:marRight w:val="0"/>
      <w:marTop w:val="0"/>
      <w:marBottom w:val="0"/>
      <w:divBdr>
        <w:top w:val="none" w:sz="0" w:space="0" w:color="auto"/>
        <w:left w:val="none" w:sz="0" w:space="0" w:color="auto"/>
        <w:bottom w:val="none" w:sz="0" w:space="0" w:color="auto"/>
        <w:right w:val="none" w:sz="0" w:space="0" w:color="auto"/>
      </w:divBdr>
    </w:div>
    <w:div w:id="2097554881">
      <w:bodyDiv w:val="1"/>
      <w:marLeft w:val="0"/>
      <w:marRight w:val="0"/>
      <w:marTop w:val="0"/>
      <w:marBottom w:val="0"/>
      <w:divBdr>
        <w:top w:val="none" w:sz="0" w:space="0" w:color="auto"/>
        <w:left w:val="none" w:sz="0" w:space="0" w:color="auto"/>
        <w:bottom w:val="none" w:sz="0" w:space="0" w:color="auto"/>
        <w:right w:val="none" w:sz="0" w:space="0" w:color="auto"/>
      </w:divBdr>
    </w:div>
    <w:div w:id="2098673930">
      <w:bodyDiv w:val="1"/>
      <w:marLeft w:val="0"/>
      <w:marRight w:val="0"/>
      <w:marTop w:val="0"/>
      <w:marBottom w:val="0"/>
      <w:divBdr>
        <w:top w:val="none" w:sz="0" w:space="0" w:color="auto"/>
        <w:left w:val="none" w:sz="0" w:space="0" w:color="auto"/>
        <w:bottom w:val="none" w:sz="0" w:space="0" w:color="auto"/>
        <w:right w:val="none" w:sz="0" w:space="0" w:color="auto"/>
      </w:divBdr>
    </w:div>
    <w:div w:id="2110157945">
      <w:bodyDiv w:val="1"/>
      <w:marLeft w:val="0"/>
      <w:marRight w:val="0"/>
      <w:marTop w:val="0"/>
      <w:marBottom w:val="0"/>
      <w:divBdr>
        <w:top w:val="none" w:sz="0" w:space="0" w:color="auto"/>
        <w:left w:val="none" w:sz="0" w:space="0" w:color="auto"/>
        <w:bottom w:val="none" w:sz="0" w:space="0" w:color="auto"/>
        <w:right w:val="none" w:sz="0" w:space="0" w:color="auto"/>
      </w:divBdr>
    </w:div>
    <w:div w:id="21351300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footer" Target="footer4.xml"/><Relationship Id="rId42" Type="http://schemas.openxmlformats.org/officeDocument/2006/relationships/image" Target="media/image24.png"/><Relationship Id="rId47" Type="http://schemas.openxmlformats.org/officeDocument/2006/relationships/image" Target="media/image29.png"/><Relationship Id="rId63" Type="http://schemas.openxmlformats.org/officeDocument/2006/relationships/image" Target="media/image45.png"/><Relationship Id="rId68" Type="http://schemas.openxmlformats.org/officeDocument/2006/relationships/image" Target="media/image50.png"/><Relationship Id="rId84" Type="http://schemas.openxmlformats.org/officeDocument/2006/relationships/image" Target="media/image58.png"/><Relationship Id="rId89" Type="http://schemas.openxmlformats.org/officeDocument/2006/relationships/hyperlink" Target="https://focoenobra.com/blog/fases-gestion-proyectos-construccion/" TargetMode="External"/><Relationship Id="rId16" Type="http://schemas.openxmlformats.org/officeDocument/2006/relationships/image" Target="media/image4.png"/><Relationship Id="rId11" Type="http://schemas.openxmlformats.org/officeDocument/2006/relationships/footer" Target="footer2.xml"/><Relationship Id="rId32" Type="http://schemas.openxmlformats.org/officeDocument/2006/relationships/image" Target="media/image14.png"/><Relationship Id="rId37" Type="http://schemas.openxmlformats.org/officeDocument/2006/relationships/image" Target="media/image19.png"/><Relationship Id="rId53" Type="http://schemas.openxmlformats.org/officeDocument/2006/relationships/image" Target="media/image35.png"/><Relationship Id="rId58" Type="http://schemas.openxmlformats.org/officeDocument/2006/relationships/image" Target="media/image40.png"/><Relationship Id="rId74" Type="http://schemas.openxmlformats.org/officeDocument/2006/relationships/image" Target="media/image56.png"/><Relationship Id="rId79" Type="http://schemas.openxmlformats.org/officeDocument/2006/relationships/diagramData" Target="diagrams/data1.xml"/><Relationship Id="rId5" Type="http://schemas.openxmlformats.org/officeDocument/2006/relationships/settings" Target="settings.xml"/><Relationship Id="rId90" Type="http://schemas.openxmlformats.org/officeDocument/2006/relationships/hyperlink" Target="https://leanconstruction.org/resources/lean-construction-journal/lcj-back-issues/2011-issue/" TargetMode="External"/><Relationship Id="rId22" Type="http://schemas.openxmlformats.org/officeDocument/2006/relationships/header" Target="header4.xml"/><Relationship Id="rId27" Type="http://schemas.openxmlformats.org/officeDocument/2006/relationships/image" Target="media/image9.png"/><Relationship Id="rId43" Type="http://schemas.openxmlformats.org/officeDocument/2006/relationships/image" Target="media/image25.png"/><Relationship Id="rId48" Type="http://schemas.openxmlformats.org/officeDocument/2006/relationships/image" Target="media/image30.png"/><Relationship Id="rId64" Type="http://schemas.openxmlformats.org/officeDocument/2006/relationships/image" Target="media/image46.png"/><Relationship Id="rId69" Type="http://schemas.openxmlformats.org/officeDocument/2006/relationships/image" Target="media/image51.png"/><Relationship Id="rId8" Type="http://schemas.openxmlformats.org/officeDocument/2006/relationships/endnotes" Target="endnotes.xml"/><Relationship Id="rId51" Type="http://schemas.openxmlformats.org/officeDocument/2006/relationships/image" Target="media/image33.png"/><Relationship Id="rId72" Type="http://schemas.openxmlformats.org/officeDocument/2006/relationships/image" Target="media/image54.png"/><Relationship Id="rId80" Type="http://schemas.openxmlformats.org/officeDocument/2006/relationships/diagramLayout" Target="diagrams/layout1.xml"/><Relationship Id="rId85" Type="http://schemas.openxmlformats.org/officeDocument/2006/relationships/hyperlink" Target="https://doi.org/10.1016/j.autcon.2010.09.019" TargetMode="External"/><Relationship Id="rId93"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image" Target="media/image41.png"/><Relationship Id="rId67" Type="http://schemas.openxmlformats.org/officeDocument/2006/relationships/image" Target="media/image49.png"/><Relationship Id="rId20" Type="http://schemas.openxmlformats.org/officeDocument/2006/relationships/footer" Target="footer3.xml"/><Relationship Id="rId41" Type="http://schemas.openxmlformats.org/officeDocument/2006/relationships/image" Target="media/image23.png"/><Relationship Id="rId54" Type="http://schemas.openxmlformats.org/officeDocument/2006/relationships/image" Target="media/image36.png"/><Relationship Id="rId62" Type="http://schemas.openxmlformats.org/officeDocument/2006/relationships/image" Target="media/image44.png"/><Relationship Id="rId70" Type="http://schemas.openxmlformats.org/officeDocument/2006/relationships/image" Target="media/image52.png"/><Relationship Id="rId75" Type="http://schemas.openxmlformats.org/officeDocument/2006/relationships/image" Target="media/image57.png"/><Relationship Id="rId83" Type="http://schemas.microsoft.com/office/2007/relationships/diagramDrawing" Target="diagrams/drawing1.xml"/><Relationship Id="rId88" Type="http://schemas.openxmlformats.org/officeDocument/2006/relationships/hyperlink" Target="https://leanconstruction.org/wp-content/uploads/2022/08/LCJ_10_023.pdf" TargetMode="External"/><Relationship Id="rId91" Type="http://schemas.openxmlformats.org/officeDocument/2006/relationships/hyperlink" Target="https://woodea.es/design-and-build/"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5.xml"/><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image" Target="media/image31.png"/><Relationship Id="rId57" Type="http://schemas.openxmlformats.org/officeDocument/2006/relationships/image" Target="media/image39.png"/><Relationship Id="rId10" Type="http://schemas.openxmlformats.org/officeDocument/2006/relationships/footer" Target="footer1.xml"/><Relationship Id="rId31" Type="http://schemas.openxmlformats.org/officeDocument/2006/relationships/image" Target="media/image13.png"/><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media/image42.png"/><Relationship Id="rId65" Type="http://schemas.openxmlformats.org/officeDocument/2006/relationships/image" Target="media/image47.png"/><Relationship Id="rId73" Type="http://schemas.openxmlformats.org/officeDocument/2006/relationships/image" Target="media/image55.png"/><Relationship Id="rId78" Type="http://schemas.openxmlformats.org/officeDocument/2006/relationships/footer" Target="footer8.xml"/><Relationship Id="rId81" Type="http://schemas.openxmlformats.org/officeDocument/2006/relationships/diagramQuickStyle" Target="diagrams/quickStyle1.xml"/><Relationship Id="rId86" Type="http://schemas.openxmlformats.org/officeDocument/2006/relationships/hyperlink" Target="https://doi.org/10.60164/o99f9ppz9" TargetMode="External"/><Relationship Id="rId94"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image" Target="media/image21.png"/><Relationship Id="rId34" Type="http://schemas.openxmlformats.org/officeDocument/2006/relationships/image" Target="media/image16.png"/><Relationship Id="rId50" Type="http://schemas.openxmlformats.org/officeDocument/2006/relationships/image" Target="media/image32.png"/><Relationship Id="rId55" Type="http://schemas.openxmlformats.org/officeDocument/2006/relationships/image" Target="media/image37.png"/><Relationship Id="rId76" Type="http://schemas.openxmlformats.org/officeDocument/2006/relationships/header" Target="header5.xml"/><Relationship Id="rId7" Type="http://schemas.openxmlformats.org/officeDocument/2006/relationships/footnotes" Target="footnotes.xml"/><Relationship Id="rId71" Type="http://schemas.openxmlformats.org/officeDocument/2006/relationships/image" Target="media/image53.png"/><Relationship Id="rId92" Type="http://schemas.openxmlformats.org/officeDocument/2006/relationships/hyperlink" Target="https://doi.org/10.1016/j.autcon.2012.05.006" TargetMode="External"/><Relationship Id="rId2" Type="http://schemas.openxmlformats.org/officeDocument/2006/relationships/customXml" Target="../customXml/item2.xml"/><Relationship Id="rId29" Type="http://schemas.openxmlformats.org/officeDocument/2006/relationships/image" Target="media/image11.png"/><Relationship Id="rId24" Type="http://schemas.openxmlformats.org/officeDocument/2006/relationships/footer" Target="footer6.xml"/><Relationship Id="rId40" Type="http://schemas.openxmlformats.org/officeDocument/2006/relationships/image" Target="media/image22.png"/><Relationship Id="rId45" Type="http://schemas.openxmlformats.org/officeDocument/2006/relationships/image" Target="media/image27.png"/><Relationship Id="rId66" Type="http://schemas.openxmlformats.org/officeDocument/2006/relationships/image" Target="media/image48.png"/><Relationship Id="rId87" Type="http://schemas.openxmlformats.org/officeDocument/2006/relationships/hyperlink" Target="https://www.fhwa.dot.gov/reports/designbuild/designbuild.pdf" TargetMode="External"/><Relationship Id="rId61" Type="http://schemas.openxmlformats.org/officeDocument/2006/relationships/image" Target="media/image43.png"/><Relationship Id="rId82" Type="http://schemas.openxmlformats.org/officeDocument/2006/relationships/diagramColors" Target="diagrams/colors1.xml"/><Relationship Id="rId19" Type="http://schemas.openxmlformats.org/officeDocument/2006/relationships/header" Target="header3.xml"/><Relationship Id="rId14" Type="http://schemas.openxmlformats.org/officeDocument/2006/relationships/image" Target="media/image2.png"/><Relationship Id="rId30" Type="http://schemas.openxmlformats.org/officeDocument/2006/relationships/image" Target="media/image12.png"/><Relationship Id="rId35" Type="http://schemas.openxmlformats.org/officeDocument/2006/relationships/image" Target="media/image17.png"/><Relationship Id="rId56" Type="http://schemas.openxmlformats.org/officeDocument/2006/relationships/image" Target="media/image38.png"/><Relationship Id="rId77" Type="http://schemas.openxmlformats.org/officeDocument/2006/relationships/footer" Target="footer7.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8BFFD7F-E1D2-468E-99E7-BC03B36E9AF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s-CR"/>
        </a:p>
      </dgm:t>
    </dgm:pt>
    <dgm:pt modelId="{975458C8-D635-4638-BE39-5E447668D22D}">
      <dgm:prSet phldrT="[Texto]" custT="1"/>
      <dgm:spPr/>
      <dgm:t>
        <a:bodyPr/>
        <a:lstStyle/>
        <a:p>
          <a:pPr algn="ctr"/>
          <a:r>
            <a:rPr lang="es-CR" sz="900">
              <a:latin typeface="Arial" panose="020B0604020202020204" pitchFamily="34" charset="0"/>
              <a:cs typeface="Arial" panose="020B0604020202020204" pitchFamily="34" charset="0"/>
            </a:rPr>
            <a:t>1. </a:t>
          </a:r>
          <a:r>
            <a:rPr lang="en-US" sz="900">
              <a:latin typeface="Arial" panose="020B0604020202020204" pitchFamily="34" charset="0"/>
              <a:cs typeface="Arial" panose="020B0604020202020204" pitchFamily="34" charset="0"/>
            </a:rPr>
            <a:t>PFG</a:t>
          </a:r>
          <a:endParaRPr lang="es-CR" sz="900">
            <a:latin typeface="Arial" panose="020B0604020202020204" pitchFamily="34" charset="0"/>
            <a:cs typeface="Arial" panose="020B0604020202020204" pitchFamily="34" charset="0"/>
          </a:endParaRPr>
        </a:p>
      </dgm:t>
    </dgm:pt>
    <dgm:pt modelId="{E6C3345C-E91E-4420-8D31-67A809129746}" type="parTrans" cxnId="{E7E2923E-B038-4DF1-A5A5-899C1864EFF7}">
      <dgm:prSet/>
      <dgm:spPr/>
      <dgm:t>
        <a:bodyPr/>
        <a:lstStyle/>
        <a:p>
          <a:pPr algn="ctr"/>
          <a:endParaRPr lang="es-CR" sz="900">
            <a:latin typeface="Arial" panose="020B0604020202020204" pitchFamily="34" charset="0"/>
            <a:cs typeface="Arial" panose="020B0604020202020204" pitchFamily="34" charset="0"/>
          </a:endParaRPr>
        </a:p>
      </dgm:t>
    </dgm:pt>
    <dgm:pt modelId="{E542E38E-8E7A-4D99-9678-1268F41AB09A}" type="sibTrans" cxnId="{E7E2923E-B038-4DF1-A5A5-899C1864EFF7}">
      <dgm:prSet/>
      <dgm:spPr/>
      <dgm:t>
        <a:bodyPr/>
        <a:lstStyle/>
        <a:p>
          <a:pPr algn="ctr"/>
          <a:endParaRPr lang="es-CR" sz="900">
            <a:latin typeface="Arial" panose="020B0604020202020204" pitchFamily="34" charset="0"/>
            <a:cs typeface="Arial" panose="020B0604020202020204" pitchFamily="34" charset="0"/>
          </a:endParaRPr>
        </a:p>
      </dgm:t>
    </dgm:pt>
    <dgm:pt modelId="{A48BD8C1-399C-4313-AA5D-4CD1DD77A30D}">
      <dgm:prSet phldrT="[Texto]" custT="1"/>
      <dgm:spPr/>
      <dgm:t>
        <a:bodyPr/>
        <a:lstStyle/>
        <a:p>
          <a:pPr algn="ctr"/>
          <a:r>
            <a:rPr lang="es-CR" sz="900">
              <a:latin typeface="Arial" panose="020B0604020202020204" pitchFamily="34" charset="0"/>
              <a:cs typeface="Arial" panose="020B0604020202020204" pitchFamily="34" charset="0"/>
            </a:rPr>
            <a:t>1.2 </a:t>
          </a:r>
          <a:r>
            <a:rPr lang="en-US" sz="900">
              <a:latin typeface="Arial" panose="020B0604020202020204" pitchFamily="34" charset="0"/>
              <a:cs typeface="Arial" panose="020B0604020202020204" pitchFamily="34" charset="0"/>
            </a:rPr>
            <a:t>Desarrollo del PFG</a:t>
          </a:r>
          <a:endParaRPr lang="es-CR" sz="900">
            <a:latin typeface="Arial" panose="020B0604020202020204" pitchFamily="34" charset="0"/>
            <a:cs typeface="Arial" panose="020B0604020202020204" pitchFamily="34" charset="0"/>
          </a:endParaRPr>
        </a:p>
      </dgm:t>
    </dgm:pt>
    <dgm:pt modelId="{51E8828E-A9BE-4B89-8204-15B3ACE96249}" type="parTrans" cxnId="{203859BE-D10E-4C24-AF4C-1175DF13CA24}">
      <dgm:prSet/>
      <dgm:spPr/>
      <dgm:t>
        <a:bodyPr/>
        <a:lstStyle/>
        <a:p>
          <a:pPr algn="ctr"/>
          <a:endParaRPr lang="es-CR" sz="900">
            <a:latin typeface="Arial" panose="020B0604020202020204" pitchFamily="34" charset="0"/>
            <a:cs typeface="Arial" panose="020B0604020202020204" pitchFamily="34" charset="0"/>
          </a:endParaRPr>
        </a:p>
      </dgm:t>
    </dgm:pt>
    <dgm:pt modelId="{E78D9091-6A0D-4455-9FD8-4E9E48B8E310}" type="sibTrans" cxnId="{203859BE-D10E-4C24-AF4C-1175DF13CA24}">
      <dgm:prSet/>
      <dgm:spPr/>
      <dgm:t>
        <a:bodyPr/>
        <a:lstStyle/>
        <a:p>
          <a:pPr algn="ctr"/>
          <a:endParaRPr lang="es-CR" sz="900">
            <a:latin typeface="Arial" panose="020B0604020202020204" pitchFamily="34" charset="0"/>
            <a:cs typeface="Arial" panose="020B0604020202020204" pitchFamily="34" charset="0"/>
          </a:endParaRPr>
        </a:p>
      </dgm:t>
    </dgm:pt>
    <dgm:pt modelId="{46EEA757-EE25-4F71-9434-0829C93B8116}">
      <dgm:prSet phldrT="[Texto]" custT="1"/>
      <dgm:spPr/>
      <dgm:t>
        <a:bodyPr/>
        <a:lstStyle/>
        <a:p>
          <a:pPr algn="ctr"/>
          <a:r>
            <a:rPr lang="es-CR" sz="900">
              <a:latin typeface="Arial" panose="020B0604020202020204" pitchFamily="34" charset="0"/>
              <a:cs typeface="Arial" panose="020B0604020202020204" pitchFamily="34" charset="0"/>
            </a:rPr>
            <a:t>1.3 Revisión de Lectores</a:t>
          </a:r>
        </a:p>
      </dgm:t>
    </dgm:pt>
    <dgm:pt modelId="{E6120CBA-3FC2-4589-8F3A-284DFBC07748}" type="parTrans" cxnId="{DE4015DC-2BFD-44B1-ABF5-0863919321CB}">
      <dgm:prSet/>
      <dgm:spPr/>
      <dgm:t>
        <a:bodyPr/>
        <a:lstStyle/>
        <a:p>
          <a:pPr algn="ctr"/>
          <a:endParaRPr lang="es-CR" sz="900">
            <a:latin typeface="Arial" panose="020B0604020202020204" pitchFamily="34" charset="0"/>
            <a:cs typeface="Arial" panose="020B0604020202020204" pitchFamily="34" charset="0"/>
          </a:endParaRPr>
        </a:p>
      </dgm:t>
    </dgm:pt>
    <dgm:pt modelId="{12C180F3-1069-4EAF-8005-DA9432197B18}" type="sibTrans" cxnId="{DE4015DC-2BFD-44B1-ABF5-0863919321CB}">
      <dgm:prSet/>
      <dgm:spPr/>
      <dgm:t>
        <a:bodyPr/>
        <a:lstStyle/>
        <a:p>
          <a:pPr algn="ctr"/>
          <a:endParaRPr lang="es-CR" sz="900">
            <a:latin typeface="Arial" panose="020B0604020202020204" pitchFamily="34" charset="0"/>
            <a:cs typeface="Arial" panose="020B0604020202020204" pitchFamily="34" charset="0"/>
          </a:endParaRPr>
        </a:p>
      </dgm:t>
    </dgm:pt>
    <dgm:pt modelId="{28493E4B-781F-47FE-8DF0-08D8B8D52F8C}">
      <dgm:prSet phldrT="[Texto]" custT="1"/>
      <dgm:spPr/>
      <dgm:t>
        <a:bodyPr/>
        <a:lstStyle/>
        <a:p>
          <a:pPr algn="ctr"/>
          <a:r>
            <a:rPr lang="es-CR" sz="900">
              <a:latin typeface="Arial" panose="020B0604020202020204" pitchFamily="34" charset="0"/>
              <a:cs typeface="Arial" panose="020B0604020202020204" pitchFamily="34" charset="0"/>
            </a:rPr>
            <a:t>1.4 Evaluación Final</a:t>
          </a:r>
        </a:p>
      </dgm:t>
    </dgm:pt>
    <dgm:pt modelId="{295BACFD-9D62-4414-8AA6-DB212CEC9A13}" type="parTrans" cxnId="{E36B3C64-414F-45A4-920D-47A8376EDA23}">
      <dgm:prSet/>
      <dgm:spPr/>
      <dgm:t>
        <a:bodyPr/>
        <a:lstStyle/>
        <a:p>
          <a:pPr algn="ctr"/>
          <a:endParaRPr lang="es-CR" sz="900">
            <a:latin typeface="Arial" panose="020B0604020202020204" pitchFamily="34" charset="0"/>
            <a:cs typeface="Arial" panose="020B0604020202020204" pitchFamily="34" charset="0"/>
          </a:endParaRPr>
        </a:p>
      </dgm:t>
    </dgm:pt>
    <dgm:pt modelId="{F062F7C4-B08E-4F46-B02E-9D303A8A9ECD}" type="sibTrans" cxnId="{E36B3C64-414F-45A4-920D-47A8376EDA23}">
      <dgm:prSet/>
      <dgm:spPr/>
      <dgm:t>
        <a:bodyPr/>
        <a:lstStyle/>
        <a:p>
          <a:pPr algn="ctr"/>
          <a:endParaRPr lang="es-CR" sz="900">
            <a:latin typeface="Arial" panose="020B0604020202020204" pitchFamily="34" charset="0"/>
            <a:cs typeface="Arial" panose="020B0604020202020204" pitchFamily="34" charset="0"/>
          </a:endParaRPr>
        </a:p>
      </dgm:t>
    </dgm:pt>
    <dgm:pt modelId="{E3704E9A-0E53-4145-BC73-7030D72573C5}">
      <dgm:prSet phldrT="[Texto]" custT="1"/>
      <dgm:spPr/>
      <dgm:t>
        <a:bodyPr/>
        <a:lstStyle/>
        <a:p>
          <a:pPr algn="ctr"/>
          <a:r>
            <a:rPr lang="es-CR" sz="900">
              <a:latin typeface="Arial" panose="020B0604020202020204" pitchFamily="34" charset="0"/>
              <a:cs typeface="Arial" panose="020B0604020202020204" pitchFamily="34" charset="0"/>
            </a:rPr>
            <a:t>1.1 </a:t>
          </a:r>
          <a:r>
            <a:rPr lang="en-US" sz="900">
              <a:latin typeface="Arial" panose="020B0604020202020204" pitchFamily="34" charset="0"/>
              <a:cs typeface="Arial" panose="020B0604020202020204" pitchFamily="34" charset="0"/>
            </a:rPr>
            <a:t>Perfil del PFG</a:t>
          </a:r>
          <a:endParaRPr lang="es-CR" sz="900">
            <a:latin typeface="Arial" panose="020B0604020202020204" pitchFamily="34" charset="0"/>
            <a:cs typeface="Arial" panose="020B0604020202020204" pitchFamily="34" charset="0"/>
          </a:endParaRPr>
        </a:p>
      </dgm:t>
    </dgm:pt>
    <dgm:pt modelId="{075CE3F9-CA80-44A5-AA0A-D3E7FC077782}" type="parTrans" cxnId="{05274ED7-ED75-4ABA-9DCE-4E405CC397DA}">
      <dgm:prSet/>
      <dgm:spPr/>
      <dgm:t>
        <a:bodyPr/>
        <a:lstStyle/>
        <a:p>
          <a:pPr algn="ctr"/>
          <a:endParaRPr lang="es-CR" sz="900">
            <a:latin typeface="Arial" panose="020B0604020202020204" pitchFamily="34" charset="0"/>
            <a:cs typeface="Arial" panose="020B0604020202020204" pitchFamily="34" charset="0"/>
          </a:endParaRPr>
        </a:p>
      </dgm:t>
    </dgm:pt>
    <dgm:pt modelId="{685301E9-6C00-4DC8-B08B-62A032A81C78}" type="sibTrans" cxnId="{05274ED7-ED75-4ABA-9DCE-4E405CC397DA}">
      <dgm:prSet/>
      <dgm:spPr/>
      <dgm:t>
        <a:bodyPr/>
        <a:lstStyle/>
        <a:p>
          <a:pPr algn="ctr"/>
          <a:endParaRPr lang="es-CR" sz="900">
            <a:latin typeface="Arial" panose="020B0604020202020204" pitchFamily="34" charset="0"/>
            <a:cs typeface="Arial" panose="020B0604020202020204" pitchFamily="34" charset="0"/>
          </a:endParaRPr>
        </a:p>
      </dgm:t>
    </dgm:pt>
    <dgm:pt modelId="{FA122D1D-385A-4FB4-8A77-5BEDF6F84503}">
      <dgm:prSet phldrT="[Texto]" custT="1"/>
      <dgm:spPr/>
      <dgm:t>
        <a:bodyPr/>
        <a:lstStyle/>
        <a:p>
          <a:pPr algn="ctr">
            <a:buNone/>
          </a:pPr>
          <a:r>
            <a:rPr lang="en-US" sz="900">
              <a:latin typeface="Arial" panose="020B0604020202020204" pitchFamily="34" charset="0"/>
              <a:cs typeface="Arial" panose="020B0604020202020204" pitchFamily="34" charset="0"/>
            </a:rPr>
            <a:t>1.1.1 Acta de Proyecto-Investigación </a:t>
          </a:r>
          <a:r>
            <a:rPr lang="en-US" sz="800">
              <a:latin typeface="Arial" panose="020B0604020202020204" pitchFamily="34" charset="0"/>
              <a:cs typeface="Arial" panose="020B0604020202020204" pitchFamily="34" charset="0"/>
            </a:rPr>
            <a:t>bibliográfica</a:t>
          </a:r>
          <a:r>
            <a:rPr lang="en-US" sz="900">
              <a:latin typeface="Arial" panose="020B0604020202020204" pitchFamily="34" charset="0"/>
              <a:cs typeface="Arial" panose="020B0604020202020204" pitchFamily="34" charset="0"/>
            </a:rPr>
            <a:t> preliminar</a:t>
          </a:r>
          <a:endParaRPr lang="es-CR" sz="900">
            <a:latin typeface="Arial" panose="020B0604020202020204" pitchFamily="34" charset="0"/>
            <a:cs typeface="Arial" panose="020B0604020202020204" pitchFamily="34" charset="0"/>
          </a:endParaRPr>
        </a:p>
      </dgm:t>
    </dgm:pt>
    <dgm:pt modelId="{A94AB389-39D2-4267-A98E-779E54D44A93}" type="parTrans" cxnId="{B40577E9-E6A9-4D79-94CD-1554C704A2CE}">
      <dgm:prSet/>
      <dgm:spPr/>
      <dgm:t>
        <a:bodyPr/>
        <a:lstStyle/>
        <a:p>
          <a:pPr algn="ctr"/>
          <a:endParaRPr lang="es-CR" sz="900">
            <a:latin typeface="Arial" panose="020B0604020202020204" pitchFamily="34" charset="0"/>
            <a:cs typeface="Arial" panose="020B0604020202020204" pitchFamily="34" charset="0"/>
          </a:endParaRPr>
        </a:p>
      </dgm:t>
    </dgm:pt>
    <dgm:pt modelId="{911014E4-C749-4A5A-BBFC-BB07B45501F4}" type="sibTrans" cxnId="{B40577E9-E6A9-4D79-94CD-1554C704A2CE}">
      <dgm:prSet/>
      <dgm:spPr/>
      <dgm:t>
        <a:bodyPr/>
        <a:lstStyle/>
        <a:p>
          <a:pPr algn="ctr"/>
          <a:endParaRPr lang="es-CR" sz="900">
            <a:latin typeface="Arial" panose="020B0604020202020204" pitchFamily="34" charset="0"/>
            <a:cs typeface="Arial" panose="020B0604020202020204" pitchFamily="34" charset="0"/>
          </a:endParaRPr>
        </a:p>
      </dgm:t>
    </dgm:pt>
    <dgm:pt modelId="{C37D100F-0580-410D-82CF-5F820F2E26B9}">
      <dgm:prSet phldrT="[Texto]" custT="1"/>
      <dgm:spPr/>
      <dgm:t>
        <a:bodyPr/>
        <a:lstStyle/>
        <a:p>
          <a:pPr algn="ctr">
            <a:buNone/>
          </a:pPr>
          <a:r>
            <a:rPr lang="en-US" sz="900">
              <a:latin typeface="Arial" panose="020B0604020202020204" pitchFamily="34" charset="0"/>
              <a:cs typeface="Arial" panose="020B0604020202020204" pitchFamily="34" charset="0"/>
            </a:rPr>
            <a:t>1.1.2 Acta de Proyecto-EDT-Cronograma</a:t>
          </a:r>
          <a:endParaRPr lang="es-CR" sz="900">
            <a:latin typeface="Arial" panose="020B0604020202020204" pitchFamily="34" charset="0"/>
            <a:cs typeface="Arial" panose="020B0604020202020204" pitchFamily="34" charset="0"/>
          </a:endParaRPr>
        </a:p>
      </dgm:t>
    </dgm:pt>
    <dgm:pt modelId="{7FDB2D46-B252-4B8D-AEE2-9BA0B67C44AD}" type="parTrans" cxnId="{DF98275E-685E-4748-AAF8-1CC5C3BEE174}">
      <dgm:prSet/>
      <dgm:spPr/>
      <dgm:t>
        <a:bodyPr/>
        <a:lstStyle/>
        <a:p>
          <a:pPr algn="ctr"/>
          <a:endParaRPr lang="es-CR" sz="900">
            <a:latin typeface="Arial" panose="020B0604020202020204" pitchFamily="34" charset="0"/>
            <a:cs typeface="Arial" panose="020B0604020202020204" pitchFamily="34" charset="0"/>
          </a:endParaRPr>
        </a:p>
      </dgm:t>
    </dgm:pt>
    <dgm:pt modelId="{1D23E2D4-8FF3-4B2A-9073-08D485F6FF25}" type="sibTrans" cxnId="{DF98275E-685E-4748-AAF8-1CC5C3BEE174}">
      <dgm:prSet/>
      <dgm:spPr/>
      <dgm:t>
        <a:bodyPr/>
        <a:lstStyle/>
        <a:p>
          <a:pPr algn="ctr"/>
          <a:endParaRPr lang="es-CR" sz="900">
            <a:latin typeface="Arial" panose="020B0604020202020204" pitchFamily="34" charset="0"/>
            <a:cs typeface="Arial" panose="020B0604020202020204" pitchFamily="34" charset="0"/>
          </a:endParaRPr>
        </a:p>
      </dgm:t>
    </dgm:pt>
    <dgm:pt modelId="{279F251E-2935-47CB-A336-1E75FA9D5EC4}">
      <dgm:prSet phldrT="[Texto]" custT="1"/>
      <dgm:spPr/>
      <dgm:t>
        <a:bodyPr/>
        <a:lstStyle/>
        <a:p>
          <a:pPr algn="ctr">
            <a:buNone/>
          </a:pPr>
          <a:r>
            <a:rPr lang="en-US" sz="900">
              <a:latin typeface="Arial" panose="020B0604020202020204" pitchFamily="34" charset="0"/>
              <a:cs typeface="Arial" panose="020B0604020202020204" pitchFamily="34" charset="0"/>
            </a:rPr>
            <a:t>1.1.3 Marco Teórico I Parte</a:t>
          </a:r>
          <a:endParaRPr lang="es-CR" sz="900">
            <a:latin typeface="Arial" panose="020B0604020202020204" pitchFamily="34" charset="0"/>
            <a:cs typeface="Arial" panose="020B0604020202020204" pitchFamily="34" charset="0"/>
          </a:endParaRPr>
        </a:p>
      </dgm:t>
    </dgm:pt>
    <dgm:pt modelId="{F04E1CC1-A24A-4703-A6DD-ED854880BEB3}" type="parTrans" cxnId="{E8D229F8-A451-4C42-BD88-5DADA5086A09}">
      <dgm:prSet/>
      <dgm:spPr/>
      <dgm:t>
        <a:bodyPr/>
        <a:lstStyle/>
        <a:p>
          <a:pPr algn="ctr"/>
          <a:endParaRPr lang="es-CR" sz="900">
            <a:latin typeface="Arial" panose="020B0604020202020204" pitchFamily="34" charset="0"/>
            <a:cs typeface="Arial" panose="020B0604020202020204" pitchFamily="34" charset="0"/>
          </a:endParaRPr>
        </a:p>
      </dgm:t>
    </dgm:pt>
    <dgm:pt modelId="{826CE590-176E-472A-8137-4AB2A181367A}" type="sibTrans" cxnId="{E8D229F8-A451-4C42-BD88-5DADA5086A09}">
      <dgm:prSet/>
      <dgm:spPr/>
      <dgm:t>
        <a:bodyPr/>
        <a:lstStyle/>
        <a:p>
          <a:pPr algn="ctr"/>
          <a:endParaRPr lang="es-CR" sz="900">
            <a:latin typeface="Arial" panose="020B0604020202020204" pitchFamily="34" charset="0"/>
            <a:cs typeface="Arial" panose="020B0604020202020204" pitchFamily="34" charset="0"/>
          </a:endParaRPr>
        </a:p>
      </dgm:t>
    </dgm:pt>
    <dgm:pt modelId="{67710BEE-6738-4054-A0B8-80A4D9BD67BE}">
      <dgm:prSet phldrT="[Texto]" custT="1"/>
      <dgm:spPr/>
      <dgm:t>
        <a:bodyPr/>
        <a:lstStyle/>
        <a:p>
          <a:pPr algn="ctr">
            <a:buNone/>
          </a:pPr>
          <a:r>
            <a:rPr lang="en-US" sz="900">
              <a:latin typeface="Arial" panose="020B0604020202020204" pitchFamily="34" charset="0"/>
              <a:cs typeface="Arial" panose="020B0604020202020204" pitchFamily="34" charset="0"/>
            </a:rPr>
            <a:t>1.1.4 Marco Teórico II Parte</a:t>
          </a:r>
          <a:endParaRPr lang="es-CR" sz="900">
            <a:latin typeface="Arial" panose="020B0604020202020204" pitchFamily="34" charset="0"/>
            <a:cs typeface="Arial" panose="020B0604020202020204" pitchFamily="34" charset="0"/>
          </a:endParaRPr>
        </a:p>
      </dgm:t>
    </dgm:pt>
    <dgm:pt modelId="{73A3FF76-9136-4677-91B4-7A1EED06BF29}" type="parTrans" cxnId="{C6BE838E-C3F6-4528-9C9D-C0B0060F5D04}">
      <dgm:prSet/>
      <dgm:spPr/>
      <dgm:t>
        <a:bodyPr/>
        <a:lstStyle/>
        <a:p>
          <a:pPr algn="ctr"/>
          <a:endParaRPr lang="es-CR" sz="900">
            <a:latin typeface="Arial" panose="020B0604020202020204" pitchFamily="34" charset="0"/>
            <a:cs typeface="Arial" panose="020B0604020202020204" pitchFamily="34" charset="0"/>
          </a:endParaRPr>
        </a:p>
      </dgm:t>
    </dgm:pt>
    <dgm:pt modelId="{83F59561-AAC2-4A72-BFC7-C7E2EEC6A785}" type="sibTrans" cxnId="{C6BE838E-C3F6-4528-9C9D-C0B0060F5D04}">
      <dgm:prSet/>
      <dgm:spPr/>
      <dgm:t>
        <a:bodyPr/>
        <a:lstStyle/>
        <a:p>
          <a:pPr algn="ctr"/>
          <a:endParaRPr lang="es-CR" sz="900">
            <a:latin typeface="Arial" panose="020B0604020202020204" pitchFamily="34" charset="0"/>
            <a:cs typeface="Arial" panose="020B0604020202020204" pitchFamily="34" charset="0"/>
          </a:endParaRPr>
        </a:p>
      </dgm:t>
    </dgm:pt>
    <dgm:pt modelId="{1A840015-B867-45E3-ABFF-331A97938DE9}">
      <dgm:prSet phldrT="[Texto]" custT="1"/>
      <dgm:spPr/>
      <dgm:t>
        <a:bodyPr/>
        <a:lstStyle/>
        <a:p>
          <a:pPr algn="ctr"/>
          <a:r>
            <a:rPr lang="en-US" sz="900">
              <a:latin typeface="Arial" panose="020B0604020202020204" pitchFamily="34" charset="0"/>
              <a:cs typeface="Arial" panose="020B0604020202020204" pitchFamily="34" charset="0"/>
            </a:rPr>
            <a:t>1.1.5 Marco Metodológico</a:t>
          </a:r>
          <a:endParaRPr lang="es-CR" sz="900">
            <a:latin typeface="Arial" panose="020B0604020202020204" pitchFamily="34" charset="0"/>
            <a:cs typeface="Arial" panose="020B0604020202020204" pitchFamily="34" charset="0"/>
          </a:endParaRPr>
        </a:p>
      </dgm:t>
    </dgm:pt>
    <dgm:pt modelId="{801982A0-0974-4CCC-B676-EE6BA33DD222}" type="parTrans" cxnId="{C7C66E76-DA7A-41B7-99E1-7D2FCC70896F}">
      <dgm:prSet/>
      <dgm:spPr/>
      <dgm:t>
        <a:bodyPr/>
        <a:lstStyle/>
        <a:p>
          <a:pPr algn="ctr"/>
          <a:endParaRPr lang="es-CR" sz="900">
            <a:latin typeface="Arial" panose="020B0604020202020204" pitchFamily="34" charset="0"/>
            <a:cs typeface="Arial" panose="020B0604020202020204" pitchFamily="34" charset="0"/>
          </a:endParaRPr>
        </a:p>
      </dgm:t>
    </dgm:pt>
    <dgm:pt modelId="{9D907D83-3D5C-47CD-B43E-ABA7B8B4A6C5}" type="sibTrans" cxnId="{C7C66E76-DA7A-41B7-99E1-7D2FCC70896F}">
      <dgm:prSet/>
      <dgm:spPr/>
      <dgm:t>
        <a:bodyPr/>
        <a:lstStyle/>
        <a:p>
          <a:pPr algn="ctr"/>
          <a:endParaRPr lang="es-CR" sz="900">
            <a:latin typeface="Arial" panose="020B0604020202020204" pitchFamily="34" charset="0"/>
            <a:cs typeface="Arial" panose="020B0604020202020204" pitchFamily="34" charset="0"/>
          </a:endParaRPr>
        </a:p>
      </dgm:t>
    </dgm:pt>
    <dgm:pt modelId="{380799DD-75DA-46F7-AEEA-0E316C6E257F}">
      <dgm:prSet phldrT="[Texto]" custT="1"/>
      <dgm:spPr/>
      <dgm:t>
        <a:bodyPr/>
        <a:lstStyle/>
        <a:p>
          <a:pPr algn="ctr"/>
          <a:r>
            <a:rPr lang="en-US" sz="900">
              <a:latin typeface="Arial" panose="020B0604020202020204" pitchFamily="34" charset="0"/>
              <a:cs typeface="Arial" panose="020B0604020202020204" pitchFamily="34" charset="0"/>
            </a:rPr>
            <a:t>1.1.6 Introducción</a:t>
          </a:r>
          <a:endParaRPr lang="es-CR" sz="900">
            <a:latin typeface="Arial" panose="020B0604020202020204" pitchFamily="34" charset="0"/>
            <a:cs typeface="Arial" panose="020B0604020202020204" pitchFamily="34" charset="0"/>
          </a:endParaRPr>
        </a:p>
      </dgm:t>
    </dgm:pt>
    <dgm:pt modelId="{EFFD92FB-B03A-4602-A2E8-609C20140FE1}" type="parTrans" cxnId="{B01DA847-FE37-47E8-95E5-F43092F0173D}">
      <dgm:prSet/>
      <dgm:spPr/>
      <dgm:t>
        <a:bodyPr/>
        <a:lstStyle/>
        <a:p>
          <a:pPr algn="ctr"/>
          <a:endParaRPr lang="es-CR" sz="900">
            <a:latin typeface="Arial" panose="020B0604020202020204" pitchFamily="34" charset="0"/>
            <a:cs typeface="Arial" panose="020B0604020202020204" pitchFamily="34" charset="0"/>
          </a:endParaRPr>
        </a:p>
      </dgm:t>
    </dgm:pt>
    <dgm:pt modelId="{E87DDE57-5DA5-47A3-AE47-126A2D9DAEEA}" type="sibTrans" cxnId="{B01DA847-FE37-47E8-95E5-F43092F0173D}">
      <dgm:prSet/>
      <dgm:spPr/>
      <dgm:t>
        <a:bodyPr/>
        <a:lstStyle/>
        <a:p>
          <a:pPr algn="ctr"/>
          <a:endParaRPr lang="es-CR" sz="900">
            <a:latin typeface="Arial" panose="020B0604020202020204" pitchFamily="34" charset="0"/>
            <a:cs typeface="Arial" panose="020B0604020202020204" pitchFamily="34" charset="0"/>
          </a:endParaRPr>
        </a:p>
      </dgm:t>
    </dgm:pt>
    <dgm:pt modelId="{54071397-FAC3-47D4-9D8C-F95A2366DB98}">
      <dgm:prSet phldrT="[Texto]" custT="1"/>
      <dgm:spPr/>
      <dgm:t>
        <a:bodyPr/>
        <a:lstStyle/>
        <a:p>
          <a:pPr algn="ctr"/>
          <a:r>
            <a:rPr lang="en-US" sz="900">
              <a:latin typeface="Arial" panose="020B0604020202020204" pitchFamily="34" charset="0"/>
              <a:cs typeface="Arial" panose="020B0604020202020204" pitchFamily="34" charset="0"/>
            </a:rPr>
            <a:t>1.1.7 Documento integrado</a:t>
          </a:r>
          <a:endParaRPr lang="es-CR" sz="900">
            <a:latin typeface="Arial" panose="020B0604020202020204" pitchFamily="34" charset="0"/>
            <a:cs typeface="Arial" panose="020B0604020202020204" pitchFamily="34" charset="0"/>
          </a:endParaRPr>
        </a:p>
      </dgm:t>
    </dgm:pt>
    <dgm:pt modelId="{3C8C7172-E32D-401B-AAB4-13874244CA6C}" type="parTrans" cxnId="{C41228A6-295D-47B8-8619-51EAF7697BAC}">
      <dgm:prSet/>
      <dgm:spPr/>
      <dgm:t>
        <a:bodyPr/>
        <a:lstStyle/>
        <a:p>
          <a:pPr algn="ctr"/>
          <a:endParaRPr lang="es-CR" sz="900">
            <a:latin typeface="Arial" panose="020B0604020202020204" pitchFamily="34" charset="0"/>
            <a:cs typeface="Arial" panose="020B0604020202020204" pitchFamily="34" charset="0"/>
          </a:endParaRPr>
        </a:p>
      </dgm:t>
    </dgm:pt>
    <dgm:pt modelId="{831EB16C-EEB4-4C4D-B9FE-1A69D3969786}" type="sibTrans" cxnId="{C41228A6-295D-47B8-8619-51EAF7697BAC}">
      <dgm:prSet/>
      <dgm:spPr/>
      <dgm:t>
        <a:bodyPr/>
        <a:lstStyle/>
        <a:p>
          <a:pPr algn="ctr"/>
          <a:endParaRPr lang="es-CR" sz="900">
            <a:latin typeface="Arial" panose="020B0604020202020204" pitchFamily="34" charset="0"/>
            <a:cs typeface="Arial" panose="020B0604020202020204" pitchFamily="34" charset="0"/>
          </a:endParaRPr>
        </a:p>
      </dgm:t>
    </dgm:pt>
    <dgm:pt modelId="{EBC69E2E-1A72-458B-AC72-864D30D06CEC}">
      <dgm:prSet phldrT="[Texto]" custT="1"/>
      <dgm:spPr/>
      <dgm:t>
        <a:bodyPr/>
        <a:lstStyle/>
        <a:p>
          <a:pPr algn="ctr">
            <a:buNone/>
          </a:pPr>
          <a:r>
            <a:rPr lang="en-US" sz="900">
              <a:latin typeface="Arial" panose="020B0604020202020204" pitchFamily="34" charset="0"/>
              <a:cs typeface="Arial" panose="020B0604020202020204" pitchFamily="34" charset="0"/>
            </a:rPr>
            <a:t>1.1.8 Revisión Documento integrado</a:t>
          </a:r>
          <a:endParaRPr lang="es-CR" sz="900">
            <a:latin typeface="Arial" panose="020B0604020202020204" pitchFamily="34" charset="0"/>
            <a:cs typeface="Arial" panose="020B0604020202020204" pitchFamily="34" charset="0"/>
          </a:endParaRPr>
        </a:p>
      </dgm:t>
    </dgm:pt>
    <dgm:pt modelId="{729AE946-47D9-403A-9492-20F6AFB9E04C}" type="parTrans" cxnId="{3D51D94C-C9EC-41A5-B530-AC0A2D5851BC}">
      <dgm:prSet/>
      <dgm:spPr/>
      <dgm:t>
        <a:bodyPr/>
        <a:lstStyle/>
        <a:p>
          <a:pPr algn="ctr"/>
          <a:endParaRPr lang="es-CR" sz="900">
            <a:latin typeface="Arial" panose="020B0604020202020204" pitchFamily="34" charset="0"/>
            <a:cs typeface="Arial" panose="020B0604020202020204" pitchFamily="34" charset="0"/>
          </a:endParaRPr>
        </a:p>
      </dgm:t>
    </dgm:pt>
    <dgm:pt modelId="{7066E02F-3DB5-476F-ADF0-4E54763F9438}" type="sibTrans" cxnId="{3D51D94C-C9EC-41A5-B530-AC0A2D5851BC}">
      <dgm:prSet/>
      <dgm:spPr/>
      <dgm:t>
        <a:bodyPr/>
        <a:lstStyle/>
        <a:p>
          <a:pPr algn="ctr"/>
          <a:endParaRPr lang="es-CR" sz="900">
            <a:latin typeface="Arial" panose="020B0604020202020204" pitchFamily="34" charset="0"/>
            <a:cs typeface="Arial" panose="020B0604020202020204" pitchFamily="34" charset="0"/>
          </a:endParaRPr>
        </a:p>
      </dgm:t>
    </dgm:pt>
    <dgm:pt modelId="{F62A43A5-1035-4AC9-AB4E-47ED9130D2B7}">
      <dgm:prSet phldrT="[Texto]" custT="1"/>
      <dgm:spPr/>
      <dgm:t>
        <a:bodyPr/>
        <a:lstStyle/>
        <a:p>
          <a:pPr algn="ctr">
            <a:buNone/>
          </a:pPr>
          <a:r>
            <a:rPr lang="en-US" sz="900">
              <a:latin typeface="Arial" panose="020B0604020202020204" pitchFamily="34" charset="0"/>
              <a:cs typeface="Arial" panose="020B0604020202020204" pitchFamily="34" charset="0"/>
            </a:rPr>
            <a:t>1.1.9 Seminario de Graduación aprobado</a:t>
          </a:r>
          <a:endParaRPr lang="es-CR" sz="900">
            <a:latin typeface="Arial" panose="020B0604020202020204" pitchFamily="34" charset="0"/>
            <a:cs typeface="Arial" panose="020B0604020202020204" pitchFamily="34" charset="0"/>
          </a:endParaRPr>
        </a:p>
      </dgm:t>
    </dgm:pt>
    <dgm:pt modelId="{C13131D4-8E7D-44FE-B86E-04A7049828D7}" type="parTrans" cxnId="{869342CD-FEDF-4C27-B2A3-AD6C2841902B}">
      <dgm:prSet/>
      <dgm:spPr/>
      <dgm:t>
        <a:bodyPr/>
        <a:lstStyle/>
        <a:p>
          <a:pPr algn="ctr"/>
          <a:endParaRPr lang="es-CR" sz="900">
            <a:latin typeface="Arial" panose="020B0604020202020204" pitchFamily="34" charset="0"/>
            <a:cs typeface="Arial" panose="020B0604020202020204" pitchFamily="34" charset="0"/>
          </a:endParaRPr>
        </a:p>
      </dgm:t>
    </dgm:pt>
    <dgm:pt modelId="{24B24839-9CFD-46BD-BE39-A8C0F837DEBC}" type="sibTrans" cxnId="{869342CD-FEDF-4C27-B2A3-AD6C2841902B}">
      <dgm:prSet/>
      <dgm:spPr/>
      <dgm:t>
        <a:bodyPr/>
        <a:lstStyle/>
        <a:p>
          <a:pPr algn="ctr"/>
          <a:endParaRPr lang="es-CR" sz="900">
            <a:latin typeface="Arial" panose="020B0604020202020204" pitchFamily="34" charset="0"/>
            <a:cs typeface="Arial" panose="020B0604020202020204" pitchFamily="34" charset="0"/>
          </a:endParaRPr>
        </a:p>
      </dgm:t>
    </dgm:pt>
    <dgm:pt modelId="{FA6B0525-83B2-46B2-94B7-CF32CF2A680A}">
      <dgm:prSet phldrT="[Texto]" custT="1"/>
      <dgm:spPr/>
      <dgm:t>
        <a:bodyPr/>
        <a:lstStyle/>
        <a:p>
          <a:pPr algn="ctr"/>
          <a:r>
            <a:rPr lang="en-US" sz="900">
              <a:latin typeface="Arial" panose="020B0604020202020204" pitchFamily="34" charset="0"/>
              <a:cs typeface="Arial" panose="020B0604020202020204" pitchFamily="34" charset="0"/>
            </a:rPr>
            <a:t>1.2.1 Diagnóstico del proceso actual</a:t>
          </a:r>
          <a:endParaRPr lang="es-CR" sz="900">
            <a:latin typeface="Arial" panose="020B0604020202020204" pitchFamily="34" charset="0"/>
            <a:cs typeface="Arial" panose="020B0604020202020204" pitchFamily="34" charset="0"/>
          </a:endParaRPr>
        </a:p>
      </dgm:t>
    </dgm:pt>
    <dgm:pt modelId="{2C87FD14-7E9D-4B40-AB1E-EE335C430B99}" type="parTrans" cxnId="{DA92FCFC-A68C-4009-AFFE-81DF904E1CF1}">
      <dgm:prSet/>
      <dgm:spPr/>
      <dgm:t>
        <a:bodyPr/>
        <a:lstStyle/>
        <a:p>
          <a:pPr algn="ctr"/>
          <a:endParaRPr lang="es-CR" sz="900">
            <a:latin typeface="Arial" panose="020B0604020202020204" pitchFamily="34" charset="0"/>
            <a:cs typeface="Arial" panose="020B0604020202020204" pitchFamily="34" charset="0"/>
          </a:endParaRPr>
        </a:p>
      </dgm:t>
    </dgm:pt>
    <dgm:pt modelId="{26365EC6-28A4-4E60-9647-8C27FE87539A}" type="sibTrans" cxnId="{DA92FCFC-A68C-4009-AFFE-81DF904E1CF1}">
      <dgm:prSet/>
      <dgm:spPr/>
      <dgm:t>
        <a:bodyPr/>
        <a:lstStyle/>
        <a:p>
          <a:pPr algn="ctr"/>
          <a:endParaRPr lang="es-CR" sz="900">
            <a:latin typeface="Arial" panose="020B0604020202020204" pitchFamily="34" charset="0"/>
            <a:cs typeface="Arial" panose="020B0604020202020204" pitchFamily="34" charset="0"/>
          </a:endParaRPr>
        </a:p>
      </dgm:t>
    </dgm:pt>
    <dgm:pt modelId="{2DC33A98-0E7A-48BC-BC8A-1229B4513851}">
      <dgm:prSet phldrT="[Texto]" custT="1"/>
      <dgm:spPr/>
      <dgm:t>
        <a:bodyPr/>
        <a:lstStyle/>
        <a:p>
          <a:pPr algn="ctr"/>
          <a:r>
            <a:rPr lang="en-US" sz="900">
              <a:latin typeface="Arial" panose="020B0604020202020204" pitchFamily="34" charset="0"/>
              <a:cs typeface="Arial" panose="020B0604020202020204" pitchFamily="34" charset="0"/>
            </a:rPr>
            <a:t>1.2.2 Revisión de buenas prácticas</a:t>
          </a:r>
        </a:p>
      </dgm:t>
    </dgm:pt>
    <dgm:pt modelId="{A4783309-5605-40AD-AF9C-86A9B24A3867}" type="parTrans" cxnId="{B9494F80-5D2D-4146-B210-D768E44B61F2}">
      <dgm:prSet/>
      <dgm:spPr/>
      <dgm:t>
        <a:bodyPr/>
        <a:lstStyle/>
        <a:p>
          <a:pPr algn="ctr"/>
          <a:endParaRPr lang="es-CR" sz="900">
            <a:latin typeface="Arial" panose="020B0604020202020204" pitchFamily="34" charset="0"/>
            <a:cs typeface="Arial" panose="020B0604020202020204" pitchFamily="34" charset="0"/>
          </a:endParaRPr>
        </a:p>
      </dgm:t>
    </dgm:pt>
    <dgm:pt modelId="{2FA7D5BF-2EF7-4142-9C24-8A50076B6D24}" type="sibTrans" cxnId="{B9494F80-5D2D-4146-B210-D768E44B61F2}">
      <dgm:prSet/>
      <dgm:spPr/>
      <dgm:t>
        <a:bodyPr/>
        <a:lstStyle/>
        <a:p>
          <a:pPr algn="ctr"/>
          <a:endParaRPr lang="es-CR" sz="900">
            <a:latin typeface="Arial" panose="020B0604020202020204" pitchFamily="34" charset="0"/>
            <a:cs typeface="Arial" panose="020B0604020202020204" pitchFamily="34" charset="0"/>
          </a:endParaRPr>
        </a:p>
      </dgm:t>
    </dgm:pt>
    <dgm:pt modelId="{B01370D4-2853-47A4-866A-4A97016FF95D}">
      <dgm:prSet phldrT="[Texto]" custT="1"/>
      <dgm:spPr/>
      <dgm:t>
        <a:bodyPr/>
        <a:lstStyle/>
        <a:p>
          <a:pPr algn="ctr"/>
          <a:r>
            <a:rPr lang="en-US" sz="900">
              <a:latin typeface="Arial" panose="020B0604020202020204" pitchFamily="34" charset="0"/>
              <a:cs typeface="Arial" panose="020B0604020202020204" pitchFamily="34" charset="0"/>
            </a:rPr>
            <a:t>1.2.3 Propuesta de mejora</a:t>
          </a:r>
        </a:p>
      </dgm:t>
    </dgm:pt>
    <dgm:pt modelId="{280C662E-F9DE-4414-84D4-210EE096F345}" type="parTrans" cxnId="{347F291B-43FE-400E-9E0D-F23CC280E37E}">
      <dgm:prSet/>
      <dgm:spPr/>
      <dgm:t>
        <a:bodyPr/>
        <a:lstStyle/>
        <a:p>
          <a:pPr algn="ctr"/>
          <a:endParaRPr lang="es-CR" sz="900">
            <a:latin typeface="Arial" panose="020B0604020202020204" pitchFamily="34" charset="0"/>
            <a:cs typeface="Arial" panose="020B0604020202020204" pitchFamily="34" charset="0"/>
          </a:endParaRPr>
        </a:p>
      </dgm:t>
    </dgm:pt>
    <dgm:pt modelId="{D1E86621-2349-46EB-8B78-3E0687068D06}" type="sibTrans" cxnId="{347F291B-43FE-400E-9E0D-F23CC280E37E}">
      <dgm:prSet/>
      <dgm:spPr/>
      <dgm:t>
        <a:bodyPr/>
        <a:lstStyle/>
        <a:p>
          <a:pPr algn="ctr"/>
          <a:endParaRPr lang="es-CR" sz="900">
            <a:latin typeface="Arial" panose="020B0604020202020204" pitchFamily="34" charset="0"/>
            <a:cs typeface="Arial" panose="020B0604020202020204" pitchFamily="34" charset="0"/>
          </a:endParaRPr>
        </a:p>
      </dgm:t>
    </dgm:pt>
    <dgm:pt modelId="{779601E9-E0CE-4D22-A3A0-C9194C494FAE}">
      <dgm:prSet phldrT="[Texto]" custT="1"/>
      <dgm:spPr/>
      <dgm:t>
        <a:bodyPr/>
        <a:lstStyle/>
        <a:p>
          <a:pPr algn="ctr"/>
          <a:r>
            <a:rPr lang="en-US" sz="900">
              <a:latin typeface="Arial" panose="020B0604020202020204" pitchFamily="34" charset="0"/>
              <a:cs typeface="Arial" panose="020B0604020202020204" pitchFamily="34" charset="0"/>
            </a:rPr>
            <a:t>1.2.5 </a:t>
          </a:r>
          <a:r>
            <a:rPr lang="es-CR" sz="900"/>
            <a:t>Análisis comparativo de mejoras propuestas</a:t>
          </a:r>
          <a:endParaRPr lang="en-US" sz="900">
            <a:latin typeface="Arial" panose="020B0604020202020204" pitchFamily="34" charset="0"/>
            <a:cs typeface="Arial" panose="020B0604020202020204" pitchFamily="34" charset="0"/>
          </a:endParaRPr>
        </a:p>
      </dgm:t>
    </dgm:pt>
    <dgm:pt modelId="{2A80E82B-E213-496D-B6B8-ABB24EB84D9D}" type="parTrans" cxnId="{2CD00304-61F3-4B58-B32C-FF87194BA672}">
      <dgm:prSet/>
      <dgm:spPr/>
      <dgm:t>
        <a:bodyPr/>
        <a:lstStyle/>
        <a:p>
          <a:pPr algn="ctr"/>
          <a:endParaRPr lang="es-CR" sz="900">
            <a:latin typeface="Arial" panose="020B0604020202020204" pitchFamily="34" charset="0"/>
            <a:cs typeface="Arial" panose="020B0604020202020204" pitchFamily="34" charset="0"/>
          </a:endParaRPr>
        </a:p>
      </dgm:t>
    </dgm:pt>
    <dgm:pt modelId="{9D2F0FC0-EFBC-448D-9636-781228A5155E}" type="sibTrans" cxnId="{2CD00304-61F3-4B58-B32C-FF87194BA672}">
      <dgm:prSet/>
      <dgm:spPr/>
      <dgm:t>
        <a:bodyPr/>
        <a:lstStyle/>
        <a:p>
          <a:pPr algn="ctr"/>
          <a:endParaRPr lang="es-CR" sz="900">
            <a:latin typeface="Arial" panose="020B0604020202020204" pitchFamily="34" charset="0"/>
            <a:cs typeface="Arial" panose="020B0604020202020204" pitchFamily="34" charset="0"/>
          </a:endParaRPr>
        </a:p>
      </dgm:t>
    </dgm:pt>
    <dgm:pt modelId="{59AB3DD7-F6A3-4488-86AE-71BA94E45BA3}">
      <dgm:prSet phldrT="[Texto]" custT="1"/>
      <dgm:spPr/>
      <dgm:t>
        <a:bodyPr/>
        <a:lstStyle/>
        <a:p>
          <a:pPr algn="ctr"/>
          <a:r>
            <a:rPr lang="en-US" sz="900">
              <a:latin typeface="Arial" panose="020B0604020202020204" pitchFamily="34" charset="0"/>
              <a:cs typeface="Arial" panose="020B0604020202020204" pitchFamily="34" charset="0"/>
            </a:rPr>
            <a:t>1.2.5 Conclusiones</a:t>
          </a:r>
        </a:p>
      </dgm:t>
    </dgm:pt>
    <dgm:pt modelId="{56CCDB45-ED03-4BCE-9E63-6E25DA37D7FA}" type="parTrans" cxnId="{753047AA-01E2-4798-8EF5-614725B1A592}">
      <dgm:prSet/>
      <dgm:spPr/>
      <dgm:t>
        <a:bodyPr/>
        <a:lstStyle/>
        <a:p>
          <a:pPr algn="ctr"/>
          <a:endParaRPr lang="es-CR" sz="900">
            <a:latin typeface="Arial" panose="020B0604020202020204" pitchFamily="34" charset="0"/>
            <a:cs typeface="Arial" panose="020B0604020202020204" pitchFamily="34" charset="0"/>
          </a:endParaRPr>
        </a:p>
      </dgm:t>
    </dgm:pt>
    <dgm:pt modelId="{F4FEE8CD-42EF-4B71-9C1E-3E34D6BAFDFA}" type="sibTrans" cxnId="{753047AA-01E2-4798-8EF5-614725B1A592}">
      <dgm:prSet/>
      <dgm:spPr/>
      <dgm:t>
        <a:bodyPr/>
        <a:lstStyle/>
        <a:p>
          <a:pPr algn="ctr"/>
          <a:endParaRPr lang="es-CR" sz="900">
            <a:latin typeface="Arial" panose="020B0604020202020204" pitchFamily="34" charset="0"/>
            <a:cs typeface="Arial" panose="020B0604020202020204" pitchFamily="34" charset="0"/>
          </a:endParaRPr>
        </a:p>
      </dgm:t>
    </dgm:pt>
    <dgm:pt modelId="{ACD10DD6-52F0-4828-9CBA-DFE8BD520B79}">
      <dgm:prSet phldrT="[Texto]" custT="1"/>
      <dgm:spPr/>
      <dgm:t>
        <a:bodyPr/>
        <a:lstStyle/>
        <a:p>
          <a:pPr algn="ctr"/>
          <a:r>
            <a:rPr lang="en-US" sz="900">
              <a:latin typeface="Arial" panose="020B0604020202020204" pitchFamily="34" charset="0"/>
              <a:cs typeface="Arial" panose="020B0604020202020204" pitchFamily="34" charset="0"/>
            </a:rPr>
            <a:t>1.2.6 Recomendaciones</a:t>
          </a:r>
        </a:p>
      </dgm:t>
    </dgm:pt>
    <dgm:pt modelId="{6CB6FDD2-5F7B-4EAA-84F3-9AE65DDC7EE7}" type="parTrans" cxnId="{C98F0A86-68C0-44CE-B3F9-521DB5A2DBCE}">
      <dgm:prSet/>
      <dgm:spPr/>
      <dgm:t>
        <a:bodyPr/>
        <a:lstStyle/>
        <a:p>
          <a:pPr algn="ctr"/>
          <a:endParaRPr lang="es-CR" sz="900">
            <a:latin typeface="Arial" panose="020B0604020202020204" pitchFamily="34" charset="0"/>
            <a:cs typeface="Arial" panose="020B0604020202020204" pitchFamily="34" charset="0"/>
          </a:endParaRPr>
        </a:p>
      </dgm:t>
    </dgm:pt>
    <dgm:pt modelId="{D12CC233-A2C5-4BF9-A26F-7615EC23A256}" type="sibTrans" cxnId="{C98F0A86-68C0-44CE-B3F9-521DB5A2DBCE}">
      <dgm:prSet/>
      <dgm:spPr/>
      <dgm:t>
        <a:bodyPr/>
        <a:lstStyle/>
        <a:p>
          <a:pPr algn="ctr"/>
          <a:endParaRPr lang="es-CR" sz="900">
            <a:latin typeface="Arial" panose="020B0604020202020204" pitchFamily="34" charset="0"/>
            <a:cs typeface="Arial" panose="020B0604020202020204" pitchFamily="34" charset="0"/>
          </a:endParaRPr>
        </a:p>
      </dgm:t>
    </dgm:pt>
    <dgm:pt modelId="{BCB7052D-73C1-41DE-9CB2-80E38DF350A2}">
      <dgm:prSet phldrT="[Texto]" custT="1"/>
      <dgm:spPr/>
      <dgm:t>
        <a:bodyPr/>
        <a:lstStyle/>
        <a:p>
          <a:pPr algn="ctr"/>
          <a:r>
            <a:rPr lang="en-US" sz="900">
              <a:latin typeface="Arial" panose="020B0604020202020204" pitchFamily="34" charset="0"/>
              <a:cs typeface="Arial" panose="020B0604020202020204" pitchFamily="34" charset="0"/>
            </a:rPr>
            <a:t>1.2.7 Listas de referencias</a:t>
          </a:r>
        </a:p>
      </dgm:t>
    </dgm:pt>
    <dgm:pt modelId="{727C45E2-EEBD-425E-B47F-8439866E70A9}" type="parTrans" cxnId="{638F33F5-724D-40BD-8A13-A41BD801AAE6}">
      <dgm:prSet/>
      <dgm:spPr/>
      <dgm:t>
        <a:bodyPr/>
        <a:lstStyle/>
        <a:p>
          <a:pPr algn="ctr"/>
          <a:endParaRPr lang="es-CR" sz="900">
            <a:latin typeface="Arial" panose="020B0604020202020204" pitchFamily="34" charset="0"/>
            <a:cs typeface="Arial" panose="020B0604020202020204" pitchFamily="34" charset="0"/>
          </a:endParaRPr>
        </a:p>
      </dgm:t>
    </dgm:pt>
    <dgm:pt modelId="{1596252D-4BA6-4E55-92F6-ECBA30C4C123}" type="sibTrans" cxnId="{638F33F5-724D-40BD-8A13-A41BD801AAE6}">
      <dgm:prSet/>
      <dgm:spPr/>
      <dgm:t>
        <a:bodyPr/>
        <a:lstStyle/>
        <a:p>
          <a:pPr algn="ctr"/>
          <a:endParaRPr lang="es-CR" sz="900">
            <a:latin typeface="Arial" panose="020B0604020202020204" pitchFamily="34" charset="0"/>
            <a:cs typeface="Arial" panose="020B0604020202020204" pitchFamily="34" charset="0"/>
          </a:endParaRPr>
        </a:p>
      </dgm:t>
    </dgm:pt>
    <dgm:pt modelId="{12E231EC-F530-4D1F-91E6-4802502B9A35}">
      <dgm:prSet phldrT="[Texto]" custT="1"/>
      <dgm:spPr/>
      <dgm:t>
        <a:bodyPr/>
        <a:lstStyle/>
        <a:p>
          <a:pPr algn="ctr"/>
          <a:r>
            <a:rPr lang="en-US" sz="900">
              <a:latin typeface="Arial" panose="020B0604020202020204" pitchFamily="34" charset="0"/>
              <a:cs typeface="Arial" panose="020B0604020202020204" pitchFamily="34" charset="0"/>
            </a:rPr>
            <a:t>1.2.8 Anexos</a:t>
          </a:r>
        </a:p>
      </dgm:t>
    </dgm:pt>
    <dgm:pt modelId="{7ECFB21E-8572-44F6-8A05-9462C1200729}" type="parTrans" cxnId="{E7CE2AF1-7B30-41DE-95CF-3C1E9FFC3E2B}">
      <dgm:prSet/>
      <dgm:spPr/>
      <dgm:t>
        <a:bodyPr/>
        <a:lstStyle/>
        <a:p>
          <a:pPr algn="ctr"/>
          <a:endParaRPr lang="es-CR" sz="900">
            <a:latin typeface="Arial" panose="020B0604020202020204" pitchFamily="34" charset="0"/>
            <a:cs typeface="Arial" panose="020B0604020202020204" pitchFamily="34" charset="0"/>
          </a:endParaRPr>
        </a:p>
      </dgm:t>
    </dgm:pt>
    <dgm:pt modelId="{0029A551-3A07-4206-960D-31721B3F3628}" type="sibTrans" cxnId="{E7CE2AF1-7B30-41DE-95CF-3C1E9FFC3E2B}">
      <dgm:prSet/>
      <dgm:spPr/>
      <dgm:t>
        <a:bodyPr/>
        <a:lstStyle/>
        <a:p>
          <a:pPr algn="ctr"/>
          <a:endParaRPr lang="es-CR" sz="900">
            <a:latin typeface="Arial" panose="020B0604020202020204" pitchFamily="34" charset="0"/>
            <a:cs typeface="Arial" panose="020B0604020202020204" pitchFamily="34" charset="0"/>
          </a:endParaRPr>
        </a:p>
      </dgm:t>
    </dgm:pt>
    <dgm:pt modelId="{F0870D6F-027F-41A8-AC5A-EF0E8A7D34F5}">
      <dgm:prSet phldrT="[Texto]" custT="1"/>
      <dgm:spPr/>
      <dgm:t>
        <a:bodyPr/>
        <a:lstStyle/>
        <a:p>
          <a:pPr algn="ctr">
            <a:buNone/>
          </a:pPr>
          <a:r>
            <a:rPr lang="en-US" sz="900">
              <a:latin typeface="Arial" panose="020B0604020202020204" pitchFamily="34" charset="0"/>
              <a:cs typeface="Arial" panose="020B0604020202020204" pitchFamily="34" charset="0"/>
            </a:rPr>
            <a:t>1.2.9 Aprobación del tutor para lectura</a:t>
          </a:r>
        </a:p>
      </dgm:t>
    </dgm:pt>
    <dgm:pt modelId="{F1D9FE59-DEF3-4C56-B290-707922BA87AF}" type="parTrans" cxnId="{1CBBBE3C-7EFE-4095-9425-1BA0F038ED8D}">
      <dgm:prSet/>
      <dgm:spPr/>
      <dgm:t>
        <a:bodyPr/>
        <a:lstStyle/>
        <a:p>
          <a:pPr algn="ctr"/>
          <a:endParaRPr lang="es-CR" sz="900">
            <a:latin typeface="Arial" panose="020B0604020202020204" pitchFamily="34" charset="0"/>
            <a:cs typeface="Arial" panose="020B0604020202020204" pitchFamily="34" charset="0"/>
          </a:endParaRPr>
        </a:p>
      </dgm:t>
    </dgm:pt>
    <dgm:pt modelId="{7FBF73A2-0073-4108-945C-9B86061311D1}" type="sibTrans" cxnId="{1CBBBE3C-7EFE-4095-9425-1BA0F038ED8D}">
      <dgm:prSet/>
      <dgm:spPr/>
      <dgm:t>
        <a:bodyPr/>
        <a:lstStyle/>
        <a:p>
          <a:pPr algn="ctr"/>
          <a:endParaRPr lang="es-CR" sz="900">
            <a:latin typeface="Arial" panose="020B0604020202020204" pitchFamily="34" charset="0"/>
            <a:cs typeface="Arial" panose="020B0604020202020204" pitchFamily="34" charset="0"/>
          </a:endParaRPr>
        </a:p>
      </dgm:t>
    </dgm:pt>
    <dgm:pt modelId="{B238C85A-273E-47D9-94D0-6FF1D3DF40DF}">
      <dgm:prSet phldrT="[Texto]" custT="1"/>
      <dgm:spPr/>
      <dgm:t>
        <a:bodyPr/>
        <a:lstStyle/>
        <a:p>
          <a:pPr algn="ctr">
            <a:buNone/>
          </a:pPr>
          <a:r>
            <a:rPr lang="en-US" sz="900">
              <a:latin typeface="Arial" panose="020B0604020202020204" pitchFamily="34" charset="0"/>
              <a:cs typeface="Arial" panose="020B0604020202020204" pitchFamily="34" charset="0"/>
            </a:rPr>
            <a:t>1.2.1.1 Informe del proceso actual en proyectos Design &amp; Build en CWP</a:t>
          </a:r>
          <a:endParaRPr lang="es-CR" sz="900">
            <a:latin typeface="Arial" panose="020B0604020202020204" pitchFamily="34" charset="0"/>
            <a:cs typeface="Arial" panose="020B0604020202020204" pitchFamily="34" charset="0"/>
          </a:endParaRPr>
        </a:p>
      </dgm:t>
    </dgm:pt>
    <dgm:pt modelId="{C60B21A3-B93F-4B01-A55E-23AAEEA0A06A}" type="parTrans" cxnId="{1798E8CB-B0A4-42E6-9D33-24B7650D81A5}">
      <dgm:prSet/>
      <dgm:spPr/>
      <dgm:t>
        <a:bodyPr/>
        <a:lstStyle/>
        <a:p>
          <a:pPr algn="ctr"/>
          <a:endParaRPr lang="es-CR" sz="900">
            <a:latin typeface="Arial" panose="020B0604020202020204" pitchFamily="34" charset="0"/>
            <a:cs typeface="Arial" panose="020B0604020202020204" pitchFamily="34" charset="0"/>
          </a:endParaRPr>
        </a:p>
      </dgm:t>
    </dgm:pt>
    <dgm:pt modelId="{5D186FEA-D2F2-4372-BFA8-1BA840599095}" type="sibTrans" cxnId="{1798E8CB-B0A4-42E6-9D33-24B7650D81A5}">
      <dgm:prSet/>
      <dgm:spPr/>
      <dgm:t>
        <a:bodyPr/>
        <a:lstStyle/>
        <a:p>
          <a:pPr algn="ctr"/>
          <a:endParaRPr lang="es-CR" sz="900">
            <a:latin typeface="Arial" panose="020B0604020202020204" pitchFamily="34" charset="0"/>
            <a:cs typeface="Arial" panose="020B0604020202020204" pitchFamily="34" charset="0"/>
          </a:endParaRPr>
        </a:p>
      </dgm:t>
    </dgm:pt>
    <dgm:pt modelId="{D5C8494E-EE10-430B-9492-DA15304FF700}">
      <dgm:prSet phldrT="[Texto]" custT="1"/>
      <dgm:spPr/>
      <dgm:t>
        <a:bodyPr/>
        <a:lstStyle/>
        <a:p>
          <a:pPr algn="ctr"/>
          <a:r>
            <a:rPr lang="en-US" sz="900">
              <a:latin typeface="Arial" panose="020B0604020202020204" pitchFamily="34" charset="0"/>
              <a:cs typeface="Arial" panose="020B0604020202020204" pitchFamily="34" charset="0"/>
            </a:rPr>
            <a:t>1.2.1.2 Mapa de flujo actual de planificación, diseño y ejecución</a:t>
          </a:r>
          <a:endParaRPr lang="es-CR" sz="900">
            <a:latin typeface="Arial" panose="020B0604020202020204" pitchFamily="34" charset="0"/>
            <a:cs typeface="Arial" panose="020B0604020202020204" pitchFamily="34" charset="0"/>
          </a:endParaRPr>
        </a:p>
      </dgm:t>
    </dgm:pt>
    <dgm:pt modelId="{29BD162D-EB42-4C99-B297-94E09B6608E0}" type="parTrans" cxnId="{30CBF4F5-37E7-4A3C-A935-7EDA4977187D}">
      <dgm:prSet/>
      <dgm:spPr/>
      <dgm:t>
        <a:bodyPr/>
        <a:lstStyle/>
        <a:p>
          <a:pPr algn="ctr"/>
          <a:endParaRPr lang="es-CR" sz="900">
            <a:latin typeface="Arial" panose="020B0604020202020204" pitchFamily="34" charset="0"/>
            <a:cs typeface="Arial" panose="020B0604020202020204" pitchFamily="34" charset="0"/>
          </a:endParaRPr>
        </a:p>
      </dgm:t>
    </dgm:pt>
    <dgm:pt modelId="{405AE2B9-3031-4636-BA1C-9C62FE717A5B}" type="sibTrans" cxnId="{30CBF4F5-37E7-4A3C-A935-7EDA4977187D}">
      <dgm:prSet/>
      <dgm:spPr/>
      <dgm:t>
        <a:bodyPr/>
        <a:lstStyle/>
        <a:p>
          <a:pPr algn="ctr"/>
          <a:endParaRPr lang="es-CR" sz="900">
            <a:latin typeface="Arial" panose="020B0604020202020204" pitchFamily="34" charset="0"/>
            <a:cs typeface="Arial" panose="020B0604020202020204" pitchFamily="34" charset="0"/>
          </a:endParaRPr>
        </a:p>
      </dgm:t>
    </dgm:pt>
    <dgm:pt modelId="{5A624D01-99F5-4033-9835-E555364A3980}">
      <dgm:prSet phldrT="[Texto]" custT="1"/>
      <dgm:spPr/>
      <dgm:t>
        <a:bodyPr/>
        <a:lstStyle/>
        <a:p>
          <a:pPr algn="ctr">
            <a:buNone/>
          </a:pPr>
          <a:r>
            <a:rPr lang="en-US" sz="900">
              <a:latin typeface="Arial" panose="020B0604020202020204" pitchFamily="34" charset="0"/>
              <a:cs typeface="Arial" panose="020B0604020202020204" pitchFamily="34" charset="0"/>
            </a:rPr>
            <a:t>1.2.1.3 Identificación de debilidades o fallas de integración</a:t>
          </a:r>
          <a:endParaRPr lang="es-CR" sz="900">
            <a:latin typeface="Arial" panose="020B0604020202020204" pitchFamily="34" charset="0"/>
            <a:cs typeface="Arial" panose="020B0604020202020204" pitchFamily="34" charset="0"/>
          </a:endParaRPr>
        </a:p>
      </dgm:t>
    </dgm:pt>
    <dgm:pt modelId="{804662F9-4408-4BA0-A0DC-5678D41C3311}" type="parTrans" cxnId="{90CB1F6C-8792-4AC8-B514-FB756615CA02}">
      <dgm:prSet/>
      <dgm:spPr/>
      <dgm:t>
        <a:bodyPr/>
        <a:lstStyle/>
        <a:p>
          <a:pPr algn="ctr"/>
          <a:endParaRPr lang="es-CR" sz="900">
            <a:latin typeface="Arial" panose="020B0604020202020204" pitchFamily="34" charset="0"/>
            <a:cs typeface="Arial" panose="020B0604020202020204" pitchFamily="34" charset="0"/>
          </a:endParaRPr>
        </a:p>
      </dgm:t>
    </dgm:pt>
    <dgm:pt modelId="{4B45B626-2A22-4326-9F11-0941765EED25}" type="sibTrans" cxnId="{90CB1F6C-8792-4AC8-B514-FB756615CA02}">
      <dgm:prSet/>
      <dgm:spPr/>
      <dgm:t>
        <a:bodyPr/>
        <a:lstStyle/>
        <a:p>
          <a:pPr algn="ctr"/>
          <a:endParaRPr lang="es-CR" sz="900">
            <a:latin typeface="Arial" panose="020B0604020202020204" pitchFamily="34" charset="0"/>
            <a:cs typeface="Arial" panose="020B0604020202020204" pitchFamily="34" charset="0"/>
          </a:endParaRPr>
        </a:p>
      </dgm:t>
    </dgm:pt>
    <dgm:pt modelId="{96097FBF-076C-467B-A630-82F89328F6B8}">
      <dgm:prSet phldrT="[Texto]" custT="1"/>
      <dgm:spPr/>
      <dgm:t>
        <a:bodyPr/>
        <a:lstStyle/>
        <a:p>
          <a:pPr algn="ctr">
            <a:buNone/>
          </a:pPr>
          <a:r>
            <a:rPr lang="en-US" sz="900">
              <a:latin typeface="Arial" panose="020B0604020202020204" pitchFamily="34" charset="0"/>
              <a:cs typeface="Arial" panose="020B0604020202020204" pitchFamily="34" charset="0"/>
            </a:rPr>
            <a:t>1.2.2.1 Análisis de metodologías de gestión de proyectos (PMI, Lean)</a:t>
          </a:r>
        </a:p>
      </dgm:t>
    </dgm:pt>
    <dgm:pt modelId="{2F12880C-FF2D-4929-AECD-C62628C1F365}" type="parTrans" cxnId="{B6D8BC11-E203-4B85-9EA0-CE5C9C541299}">
      <dgm:prSet/>
      <dgm:spPr/>
      <dgm:t>
        <a:bodyPr/>
        <a:lstStyle/>
        <a:p>
          <a:pPr algn="ctr"/>
          <a:endParaRPr lang="es-CR" sz="900">
            <a:latin typeface="Arial" panose="020B0604020202020204" pitchFamily="34" charset="0"/>
            <a:cs typeface="Arial" panose="020B0604020202020204" pitchFamily="34" charset="0"/>
          </a:endParaRPr>
        </a:p>
      </dgm:t>
    </dgm:pt>
    <dgm:pt modelId="{77AB2528-34B0-4067-8183-639D1BC27DD4}" type="sibTrans" cxnId="{B6D8BC11-E203-4B85-9EA0-CE5C9C541299}">
      <dgm:prSet/>
      <dgm:spPr/>
      <dgm:t>
        <a:bodyPr/>
        <a:lstStyle/>
        <a:p>
          <a:pPr algn="ctr"/>
          <a:endParaRPr lang="es-CR" sz="900">
            <a:latin typeface="Arial" panose="020B0604020202020204" pitchFamily="34" charset="0"/>
            <a:cs typeface="Arial" panose="020B0604020202020204" pitchFamily="34" charset="0"/>
          </a:endParaRPr>
        </a:p>
      </dgm:t>
    </dgm:pt>
    <dgm:pt modelId="{890DAD5A-84DD-46B1-B318-313CB4F54182}">
      <dgm:prSet phldrT="[Texto]" custT="1"/>
      <dgm:spPr/>
      <dgm:t>
        <a:bodyPr/>
        <a:lstStyle/>
        <a:p>
          <a:pPr algn="ctr">
            <a:buNone/>
          </a:pPr>
          <a:r>
            <a:rPr lang="en-US" sz="900">
              <a:latin typeface="Arial" panose="020B0604020202020204" pitchFamily="34" charset="0"/>
              <a:cs typeface="Arial" panose="020B0604020202020204" pitchFamily="34" charset="0"/>
            </a:rPr>
            <a:t>1.2.2.2 Cuadro comparativo de herramientas y enfoques</a:t>
          </a:r>
        </a:p>
      </dgm:t>
    </dgm:pt>
    <dgm:pt modelId="{71F4579C-2386-4DF1-BFF7-6B3E74C18EDC}" type="parTrans" cxnId="{8F218418-9958-473E-BACB-ECB5C13614EE}">
      <dgm:prSet/>
      <dgm:spPr/>
      <dgm:t>
        <a:bodyPr/>
        <a:lstStyle/>
        <a:p>
          <a:pPr algn="ctr"/>
          <a:endParaRPr lang="es-CR" sz="900">
            <a:latin typeface="Arial" panose="020B0604020202020204" pitchFamily="34" charset="0"/>
            <a:cs typeface="Arial" panose="020B0604020202020204" pitchFamily="34" charset="0"/>
          </a:endParaRPr>
        </a:p>
      </dgm:t>
    </dgm:pt>
    <dgm:pt modelId="{1FE24890-10C3-4B04-97E2-ECE79C66BA47}" type="sibTrans" cxnId="{8F218418-9958-473E-BACB-ECB5C13614EE}">
      <dgm:prSet/>
      <dgm:spPr/>
      <dgm:t>
        <a:bodyPr/>
        <a:lstStyle/>
        <a:p>
          <a:pPr algn="ctr"/>
          <a:endParaRPr lang="es-CR" sz="900">
            <a:latin typeface="Arial" panose="020B0604020202020204" pitchFamily="34" charset="0"/>
            <a:cs typeface="Arial" panose="020B0604020202020204" pitchFamily="34" charset="0"/>
          </a:endParaRPr>
        </a:p>
      </dgm:t>
    </dgm:pt>
    <dgm:pt modelId="{11B55C26-EE1C-4CFA-828E-7C4BB1A2AA3E}">
      <dgm:prSet phldrT="[Texto]" custT="1"/>
      <dgm:spPr/>
      <dgm:t>
        <a:bodyPr/>
        <a:lstStyle/>
        <a:p>
          <a:pPr algn="ctr">
            <a:buNone/>
          </a:pPr>
          <a:r>
            <a:rPr lang="en-US" sz="900">
              <a:latin typeface="Arial" panose="020B0604020202020204" pitchFamily="34" charset="0"/>
              <a:cs typeface="Arial" panose="020B0604020202020204" pitchFamily="34" charset="0"/>
            </a:rPr>
            <a:t>1.2.2.3 Casos similares en diseño y construcción de oficinas</a:t>
          </a:r>
        </a:p>
      </dgm:t>
    </dgm:pt>
    <dgm:pt modelId="{8D71E8CC-5985-4CB4-A26D-09A047445EA8}" type="parTrans" cxnId="{757D40C7-36CC-4E89-BC0B-B4EF561A861F}">
      <dgm:prSet/>
      <dgm:spPr/>
      <dgm:t>
        <a:bodyPr/>
        <a:lstStyle/>
        <a:p>
          <a:pPr algn="ctr"/>
          <a:endParaRPr lang="es-CR" sz="900">
            <a:latin typeface="Arial" panose="020B0604020202020204" pitchFamily="34" charset="0"/>
            <a:cs typeface="Arial" panose="020B0604020202020204" pitchFamily="34" charset="0"/>
          </a:endParaRPr>
        </a:p>
      </dgm:t>
    </dgm:pt>
    <dgm:pt modelId="{2C93D317-4860-4266-A11D-E5738CD15983}" type="sibTrans" cxnId="{757D40C7-36CC-4E89-BC0B-B4EF561A861F}">
      <dgm:prSet/>
      <dgm:spPr/>
      <dgm:t>
        <a:bodyPr/>
        <a:lstStyle/>
        <a:p>
          <a:pPr algn="ctr"/>
          <a:endParaRPr lang="es-CR" sz="900">
            <a:latin typeface="Arial" panose="020B0604020202020204" pitchFamily="34" charset="0"/>
            <a:cs typeface="Arial" panose="020B0604020202020204" pitchFamily="34" charset="0"/>
          </a:endParaRPr>
        </a:p>
      </dgm:t>
    </dgm:pt>
    <dgm:pt modelId="{AFA4D985-EB68-4640-81E8-0436428BBC70}">
      <dgm:prSet phldrT="[Texto]" custT="1"/>
      <dgm:spPr/>
      <dgm:t>
        <a:bodyPr/>
        <a:lstStyle/>
        <a:p>
          <a:pPr algn="ctr"/>
          <a:r>
            <a:rPr lang="en-US" sz="900">
              <a:latin typeface="Arial" panose="020B0604020202020204" pitchFamily="34" charset="0"/>
              <a:cs typeface="Arial" panose="020B0604020202020204" pitchFamily="34" charset="0"/>
            </a:rPr>
            <a:t>1.2.3.1 Nuevo flujo de trabajo propuesto</a:t>
          </a:r>
        </a:p>
      </dgm:t>
    </dgm:pt>
    <dgm:pt modelId="{034290B6-A3AA-4D06-942B-B6CCBEB12D7C}" type="parTrans" cxnId="{5B41A242-26F6-4F54-A0DA-E2B2DDFFC915}">
      <dgm:prSet/>
      <dgm:spPr/>
      <dgm:t>
        <a:bodyPr/>
        <a:lstStyle/>
        <a:p>
          <a:pPr algn="ctr"/>
          <a:endParaRPr lang="es-CR" sz="900">
            <a:latin typeface="Arial" panose="020B0604020202020204" pitchFamily="34" charset="0"/>
            <a:cs typeface="Arial" panose="020B0604020202020204" pitchFamily="34" charset="0"/>
          </a:endParaRPr>
        </a:p>
      </dgm:t>
    </dgm:pt>
    <dgm:pt modelId="{753C7FE3-4AAB-4702-86FA-876D7B128864}" type="sibTrans" cxnId="{5B41A242-26F6-4F54-A0DA-E2B2DDFFC915}">
      <dgm:prSet/>
      <dgm:spPr/>
      <dgm:t>
        <a:bodyPr/>
        <a:lstStyle/>
        <a:p>
          <a:pPr algn="ctr"/>
          <a:endParaRPr lang="es-CR" sz="900">
            <a:latin typeface="Arial" panose="020B0604020202020204" pitchFamily="34" charset="0"/>
            <a:cs typeface="Arial" panose="020B0604020202020204" pitchFamily="34" charset="0"/>
          </a:endParaRPr>
        </a:p>
      </dgm:t>
    </dgm:pt>
    <dgm:pt modelId="{9BB1A269-C4A0-4ADE-878F-CED08C0AC334}">
      <dgm:prSet phldrT="[Texto]" custT="1"/>
      <dgm:spPr/>
      <dgm:t>
        <a:bodyPr/>
        <a:lstStyle/>
        <a:p>
          <a:pPr algn="ctr"/>
          <a:r>
            <a:rPr lang="en-US" sz="900">
              <a:latin typeface="Arial" panose="020B0604020202020204" pitchFamily="34" charset="0"/>
              <a:cs typeface="Arial" panose="020B0604020202020204" pitchFamily="34" charset="0"/>
            </a:rPr>
            <a:t>1.2.3.2 Herramientas sugeridas para planificación y control</a:t>
          </a:r>
        </a:p>
      </dgm:t>
    </dgm:pt>
    <dgm:pt modelId="{DA1B7734-88CD-4265-A6B5-356289D2FC4C}" type="parTrans" cxnId="{75D2B539-8D48-4CF4-8701-82605A36C83B}">
      <dgm:prSet/>
      <dgm:spPr/>
      <dgm:t>
        <a:bodyPr/>
        <a:lstStyle/>
        <a:p>
          <a:pPr algn="ctr"/>
          <a:endParaRPr lang="es-CR" sz="900">
            <a:latin typeface="Arial" panose="020B0604020202020204" pitchFamily="34" charset="0"/>
            <a:cs typeface="Arial" panose="020B0604020202020204" pitchFamily="34" charset="0"/>
          </a:endParaRPr>
        </a:p>
      </dgm:t>
    </dgm:pt>
    <dgm:pt modelId="{7D450E0C-C27A-4819-879D-F9A3863D6D52}" type="sibTrans" cxnId="{75D2B539-8D48-4CF4-8701-82605A36C83B}">
      <dgm:prSet/>
      <dgm:spPr/>
      <dgm:t>
        <a:bodyPr/>
        <a:lstStyle/>
        <a:p>
          <a:pPr algn="ctr"/>
          <a:endParaRPr lang="es-CR" sz="900">
            <a:latin typeface="Arial" panose="020B0604020202020204" pitchFamily="34" charset="0"/>
            <a:cs typeface="Arial" panose="020B0604020202020204" pitchFamily="34" charset="0"/>
          </a:endParaRPr>
        </a:p>
      </dgm:t>
    </dgm:pt>
    <dgm:pt modelId="{DBFB8FC5-158A-4E40-945E-57A814B06818}">
      <dgm:prSet phldrT="[Texto]" custT="1"/>
      <dgm:spPr/>
      <dgm:t>
        <a:bodyPr/>
        <a:lstStyle/>
        <a:p>
          <a:pPr algn="ctr"/>
          <a:r>
            <a:rPr lang="en-US" sz="900">
              <a:latin typeface="Arial" panose="020B0604020202020204" pitchFamily="34" charset="0"/>
              <a:cs typeface="Arial" panose="020B0604020202020204" pitchFamily="34" charset="0"/>
            </a:rPr>
            <a:t>1.2.3.3 Recomendaciones organizacionales y de roles</a:t>
          </a:r>
        </a:p>
      </dgm:t>
    </dgm:pt>
    <dgm:pt modelId="{37C21DA8-2534-4A8E-916B-6B5C521DDB0F}" type="parTrans" cxnId="{92C3985C-C8B1-46B5-8965-06D061E3E027}">
      <dgm:prSet/>
      <dgm:spPr/>
      <dgm:t>
        <a:bodyPr/>
        <a:lstStyle/>
        <a:p>
          <a:pPr algn="ctr"/>
          <a:endParaRPr lang="es-CR" sz="900">
            <a:latin typeface="Arial" panose="020B0604020202020204" pitchFamily="34" charset="0"/>
            <a:cs typeface="Arial" panose="020B0604020202020204" pitchFamily="34" charset="0"/>
          </a:endParaRPr>
        </a:p>
      </dgm:t>
    </dgm:pt>
    <dgm:pt modelId="{2B666A27-9D23-447C-BB5B-7F7DDB852E83}" type="sibTrans" cxnId="{92C3985C-C8B1-46B5-8965-06D061E3E027}">
      <dgm:prSet/>
      <dgm:spPr/>
      <dgm:t>
        <a:bodyPr/>
        <a:lstStyle/>
        <a:p>
          <a:pPr algn="ctr"/>
          <a:endParaRPr lang="es-CR" sz="900">
            <a:latin typeface="Arial" panose="020B0604020202020204" pitchFamily="34" charset="0"/>
            <a:cs typeface="Arial" panose="020B0604020202020204" pitchFamily="34" charset="0"/>
          </a:endParaRPr>
        </a:p>
      </dgm:t>
    </dgm:pt>
    <dgm:pt modelId="{4C7FBFA3-8DEC-4AF6-884D-AF9E6717B011}">
      <dgm:prSet phldrT="[Texto]" custT="1"/>
      <dgm:spPr/>
      <dgm:t>
        <a:bodyPr/>
        <a:lstStyle/>
        <a:p>
          <a:pPr algn="ctr">
            <a:buNone/>
          </a:pPr>
          <a:r>
            <a:rPr lang="en-US" sz="900">
              <a:latin typeface="Arial" panose="020B0604020202020204" pitchFamily="34" charset="0"/>
              <a:cs typeface="Arial" panose="020B0604020202020204" pitchFamily="34" charset="0"/>
            </a:rPr>
            <a:t>1.2.4.1 </a:t>
          </a:r>
          <a:r>
            <a:rPr lang="es-CR" sz="900"/>
            <a:t>Comparación entre el proceso actual y el proceso propuesto</a:t>
          </a:r>
          <a:endParaRPr lang="en-US" sz="900">
            <a:latin typeface="Arial" panose="020B0604020202020204" pitchFamily="34" charset="0"/>
            <a:cs typeface="Arial" panose="020B0604020202020204" pitchFamily="34" charset="0"/>
          </a:endParaRPr>
        </a:p>
      </dgm:t>
    </dgm:pt>
    <dgm:pt modelId="{225EF0AE-B0E6-4B44-BDE4-CC4122F3FF11}" type="parTrans" cxnId="{F242931F-7DC2-41E2-830A-AB88A881D326}">
      <dgm:prSet/>
      <dgm:spPr/>
      <dgm:t>
        <a:bodyPr/>
        <a:lstStyle/>
        <a:p>
          <a:pPr algn="ctr"/>
          <a:endParaRPr lang="es-CR" sz="900">
            <a:latin typeface="Arial" panose="020B0604020202020204" pitchFamily="34" charset="0"/>
            <a:cs typeface="Arial" panose="020B0604020202020204" pitchFamily="34" charset="0"/>
          </a:endParaRPr>
        </a:p>
      </dgm:t>
    </dgm:pt>
    <dgm:pt modelId="{75E3A81D-9657-460E-8A94-2331B05D859E}" type="sibTrans" cxnId="{F242931F-7DC2-41E2-830A-AB88A881D326}">
      <dgm:prSet/>
      <dgm:spPr/>
      <dgm:t>
        <a:bodyPr/>
        <a:lstStyle/>
        <a:p>
          <a:pPr algn="ctr"/>
          <a:endParaRPr lang="es-CR" sz="900">
            <a:latin typeface="Arial" panose="020B0604020202020204" pitchFamily="34" charset="0"/>
            <a:cs typeface="Arial" panose="020B0604020202020204" pitchFamily="34" charset="0"/>
          </a:endParaRPr>
        </a:p>
      </dgm:t>
    </dgm:pt>
    <dgm:pt modelId="{26DC3FAB-0CB5-4A22-943F-F0362D9BA68C}">
      <dgm:prSet phldrT="[Texto]" custT="1"/>
      <dgm:spPr/>
      <dgm:t>
        <a:bodyPr/>
        <a:lstStyle/>
        <a:p>
          <a:pPr algn="ctr">
            <a:buNone/>
          </a:pPr>
          <a:r>
            <a:rPr lang="en-US" sz="900">
              <a:latin typeface="Arial" panose="020B0604020202020204" pitchFamily="34" charset="0"/>
              <a:cs typeface="Arial" panose="020B0604020202020204" pitchFamily="34" charset="0"/>
            </a:rPr>
            <a:t>1.2.4.2 </a:t>
          </a:r>
          <a:r>
            <a:rPr lang="es-CR" sz="900"/>
            <a:t>Identificación de diferencias clave en planificación, control e integración</a:t>
          </a:r>
          <a:endParaRPr lang="en-US" sz="900">
            <a:latin typeface="Arial" panose="020B0604020202020204" pitchFamily="34" charset="0"/>
            <a:cs typeface="Arial" panose="020B0604020202020204" pitchFamily="34" charset="0"/>
          </a:endParaRPr>
        </a:p>
      </dgm:t>
    </dgm:pt>
    <dgm:pt modelId="{9705E00F-A711-40BD-9B95-4F10876FC125}" type="parTrans" cxnId="{6B8AA225-1FF4-4517-B65D-F4318CACE437}">
      <dgm:prSet/>
      <dgm:spPr/>
      <dgm:t>
        <a:bodyPr/>
        <a:lstStyle/>
        <a:p>
          <a:pPr algn="ctr"/>
          <a:endParaRPr lang="es-CR" sz="900">
            <a:latin typeface="Arial" panose="020B0604020202020204" pitchFamily="34" charset="0"/>
            <a:cs typeface="Arial" panose="020B0604020202020204" pitchFamily="34" charset="0"/>
          </a:endParaRPr>
        </a:p>
      </dgm:t>
    </dgm:pt>
    <dgm:pt modelId="{25FD4BD8-9AEF-479C-A022-497CD0448C95}" type="sibTrans" cxnId="{6B8AA225-1FF4-4517-B65D-F4318CACE437}">
      <dgm:prSet/>
      <dgm:spPr/>
      <dgm:t>
        <a:bodyPr/>
        <a:lstStyle/>
        <a:p>
          <a:pPr algn="ctr"/>
          <a:endParaRPr lang="es-CR" sz="900">
            <a:latin typeface="Arial" panose="020B0604020202020204" pitchFamily="34" charset="0"/>
            <a:cs typeface="Arial" panose="020B0604020202020204" pitchFamily="34" charset="0"/>
          </a:endParaRPr>
        </a:p>
      </dgm:t>
    </dgm:pt>
    <dgm:pt modelId="{B9498B0E-039F-4C28-9B14-125D7F74195C}">
      <dgm:prSet phldrT="[Texto]" custT="1"/>
      <dgm:spPr/>
      <dgm:t>
        <a:bodyPr/>
        <a:lstStyle/>
        <a:p>
          <a:pPr algn="ctr"/>
          <a:r>
            <a:rPr lang="es-CR" sz="900"/>
            <a:t>1.2.4.3 Análisis de beneficios potenciales en tiempo, costo y calidad</a:t>
          </a:r>
          <a:endParaRPr lang="en-US" sz="900">
            <a:latin typeface="Arial" panose="020B0604020202020204" pitchFamily="34" charset="0"/>
            <a:cs typeface="Arial" panose="020B0604020202020204" pitchFamily="34" charset="0"/>
          </a:endParaRPr>
        </a:p>
      </dgm:t>
    </dgm:pt>
    <dgm:pt modelId="{CA6A4869-7886-4C21-A367-E90492D09A0D}" type="parTrans" cxnId="{88D67C42-4C78-431E-8A3C-F662786B29FC}">
      <dgm:prSet/>
      <dgm:spPr/>
      <dgm:t>
        <a:bodyPr/>
        <a:lstStyle/>
        <a:p>
          <a:endParaRPr lang="es-CR"/>
        </a:p>
      </dgm:t>
    </dgm:pt>
    <dgm:pt modelId="{61561C98-B14C-49A6-A7C0-40E4673F3F1A}" type="sibTrans" cxnId="{88D67C42-4C78-431E-8A3C-F662786B29FC}">
      <dgm:prSet/>
      <dgm:spPr/>
      <dgm:t>
        <a:bodyPr/>
        <a:lstStyle/>
        <a:p>
          <a:endParaRPr lang="es-CR"/>
        </a:p>
      </dgm:t>
    </dgm:pt>
    <dgm:pt modelId="{8DD9E066-0ECB-4617-8A0D-095B1AC3482A}">
      <dgm:prSet custT="1"/>
      <dgm:spPr/>
      <dgm:t>
        <a:bodyPr/>
        <a:lstStyle/>
        <a:p>
          <a:r>
            <a:rPr lang="es-CR" sz="800">
              <a:latin typeface="Arial" panose="020B0604020202020204" pitchFamily="34" charset="0"/>
              <a:cs typeface="Arial" panose="020B0604020202020204" pitchFamily="34" charset="0"/>
            </a:rPr>
            <a:t>1.2.4 Plan de implementación de mejoras</a:t>
          </a:r>
        </a:p>
      </dgm:t>
    </dgm:pt>
    <dgm:pt modelId="{69CF657A-EF02-4376-A196-140E489547E1}" type="parTrans" cxnId="{25E9B4FD-3BDF-4B56-A549-E7ECF844DAAB}">
      <dgm:prSet/>
      <dgm:spPr/>
      <dgm:t>
        <a:bodyPr/>
        <a:lstStyle/>
        <a:p>
          <a:endParaRPr lang="es-CR"/>
        </a:p>
      </dgm:t>
    </dgm:pt>
    <dgm:pt modelId="{909CA33A-997C-439F-9744-A32C05335017}" type="sibTrans" cxnId="{25E9B4FD-3BDF-4B56-A549-E7ECF844DAAB}">
      <dgm:prSet/>
      <dgm:spPr/>
      <dgm:t>
        <a:bodyPr/>
        <a:lstStyle/>
        <a:p>
          <a:endParaRPr lang="es-CR"/>
        </a:p>
      </dgm:t>
    </dgm:pt>
    <dgm:pt modelId="{99FA963A-A7A6-4E91-A4A0-A668DC9B42B6}">
      <dgm:prSet custT="1"/>
      <dgm:spPr/>
      <dgm:t>
        <a:bodyPr/>
        <a:lstStyle/>
        <a:p>
          <a:r>
            <a:rPr lang="es-CR" sz="800">
              <a:latin typeface="Arial" panose="020B0604020202020204" pitchFamily="34" charset="0"/>
              <a:cs typeface="Arial" panose="020B0604020202020204" pitchFamily="34" charset="0"/>
            </a:rPr>
            <a:t>1.2.4.1 Objetivo y alcance del plan </a:t>
          </a:r>
        </a:p>
      </dgm:t>
    </dgm:pt>
    <dgm:pt modelId="{C7517365-7932-4259-8601-4CB4FB13EED1}" type="parTrans" cxnId="{5DA74BE9-50F0-4E89-BD67-8D7AC9197C04}">
      <dgm:prSet/>
      <dgm:spPr/>
      <dgm:t>
        <a:bodyPr/>
        <a:lstStyle/>
        <a:p>
          <a:endParaRPr lang="es-CR"/>
        </a:p>
      </dgm:t>
    </dgm:pt>
    <dgm:pt modelId="{2E12D5A4-80FD-4143-8518-E5FF7D13B3DC}" type="sibTrans" cxnId="{5DA74BE9-50F0-4E89-BD67-8D7AC9197C04}">
      <dgm:prSet/>
      <dgm:spPr/>
      <dgm:t>
        <a:bodyPr/>
        <a:lstStyle/>
        <a:p>
          <a:endParaRPr lang="es-CR"/>
        </a:p>
      </dgm:t>
    </dgm:pt>
    <dgm:pt modelId="{D969DAFB-24E4-41B5-8647-4329B1131ED7}">
      <dgm:prSet custT="1"/>
      <dgm:spPr/>
      <dgm:t>
        <a:bodyPr/>
        <a:lstStyle/>
        <a:p>
          <a:r>
            <a:rPr lang="es-CR" sz="800">
              <a:latin typeface="Arial" panose="020B0604020202020204" pitchFamily="34" charset="0"/>
              <a:cs typeface="Arial" panose="020B0604020202020204" pitchFamily="34" charset="0"/>
            </a:rPr>
            <a:t>1.2.4.2 Estrategia por acciones, roles y herramientas colaborativas</a:t>
          </a:r>
        </a:p>
      </dgm:t>
    </dgm:pt>
    <dgm:pt modelId="{AD8C3554-BD01-42E6-B5AE-D28856418354}" type="parTrans" cxnId="{B91D6408-5DEF-4598-8AB0-333193E63D6B}">
      <dgm:prSet/>
      <dgm:spPr/>
      <dgm:t>
        <a:bodyPr/>
        <a:lstStyle/>
        <a:p>
          <a:endParaRPr lang="es-CR"/>
        </a:p>
      </dgm:t>
    </dgm:pt>
    <dgm:pt modelId="{B17DD8D8-79B3-4BEC-B09F-02EE6071A133}" type="sibTrans" cxnId="{B91D6408-5DEF-4598-8AB0-333193E63D6B}">
      <dgm:prSet/>
      <dgm:spPr/>
      <dgm:t>
        <a:bodyPr/>
        <a:lstStyle/>
        <a:p>
          <a:endParaRPr lang="es-CR"/>
        </a:p>
      </dgm:t>
    </dgm:pt>
    <dgm:pt modelId="{BD1CF57D-1F7B-4699-9DB5-AEF9238DCEAB}">
      <dgm:prSet custT="1"/>
      <dgm:spPr/>
      <dgm:t>
        <a:bodyPr/>
        <a:lstStyle/>
        <a:p>
          <a:r>
            <a:rPr lang="es-CR" sz="800">
              <a:latin typeface="Arial" panose="020B0604020202020204" pitchFamily="34" charset="0"/>
              <a:cs typeface="Arial" panose="020B0604020202020204" pitchFamily="34" charset="0"/>
            </a:rPr>
            <a:t>1.2.4.3 Fases de ejecucción e indicadores</a:t>
          </a:r>
        </a:p>
      </dgm:t>
    </dgm:pt>
    <dgm:pt modelId="{09F4C3E2-D8A7-44FF-8544-EAFAE23F8BD2}" type="parTrans" cxnId="{C5A290E7-C58E-4A12-82A2-5DFF4D326A31}">
      <dgm:prSet/>
      <dgm:spPr/>
      <dgm:t>
        <a:bodyPr/>
        <a:lstStyle/>
        <a:p>
          <a:endParaRPr lang="es-CR"/>
        </a:p>
      </dgm:t>
    </dgm:pt>
    <dgm:pt modelId="{28E7B937-0A8A-4625-A98E-1FA18F237921}" type="sibTrans" cxnId="{C5A290E7-C58E-4A12-82A2-5DFF4D326A31}">
      <dgm:prSet/>
      <dgm:spPr/>
      <dgm:t>
        <a:bodyPr/>
        <a:lstStyle/>
        <a:p>
          <a:endParaRPr lang="es-CR"/>
        </a:p>
      </dgm:t>
    </dgm:pt>
    <dgm:pt modelId="{74453721-0F72-406E-93FF-EFA1B8D81A7E}" type="pres">
      <dgm:prSet presAssocID="{D8BFFD7F-E1D2-468E-99E7-BC03B36E9AF2}" presName="hierChild1" presStyleCnt="0">
        <dgm:presLayoutVars>
          <dgm:orgChart val="1"/>
          <dgm:chPref val="1"/>
          <dgm:dir/>
          <dgm:animOne val="branch"/>
          <dgm:animLvl val="lvl"/>
          <dgm:resizeHandles/>
        </dgm:presLayoutVars>
      </dgm:prSet>
      <dgm:spPr/>
    </dgm:pt>
    <dgm:pt modelId="{1EF2B58D-57DE-415E-AA6E-AE8DA84BFC03}" type="pres">
      <dgm:prSet presAssocID="{975458C8-D635-4638-BE39-5E447668D22D}" presName="hierRoot1" presStyleCnt="0">
        <dgm:presLayoutVars>
          <dgm:hierBranch val="init"/>
        </dgm:presLayoutVars>
      </dgm:prSet>
      <dgm:spPr/>
    </dgm:pt>
    <dgm:pt modelId="{8E7A8940-0155-4FF0-9EBA-6D2D07C7074C}" type="pres">
      <dgm:prSet presAssocID="{975458C8-D635-4638-BE39-5E447668D22D}" presName="rootComposite1" presStyleCnt="0"/>
      <dgm:spPr/>
    </dgm:pt>
    <dgm:pt modelId="{461EB231-08C3-4436-87CC-C1C1E7006277}" type="pres">
      <dgm:prSet presAssocID="{975458C8-D635-4638-BE39-5E447668D22D}" presName="rootText1" presStyleLbl="node0" presStyleIdx="0" presStyleCnt="1">
        <dgm:presLayoutVars>
          <dgm:chPref val="3"/>
        </dgm:presLayoutVars>
      </dgm:prSet>
      <dgm:spPr/>
    </dgm:pt>
    <dgm:pt modelId="{6BF9CCF5-BB88-4387-8524-5CFBA9CAF4E2}" type="pres">
      <dgm:prSet presAssocID="{975458C8-D635-4638-BE39-5E447668D22D}" presName="rootConnector1" presStyleLbl="node1" presStyleIdx="0" presStyleCnt="0"/>
      <dgm:spPr/>
    </dgm:pt>
    <dgm:pt modelId="{FC1C7F29-50C7-4918-AEE9-A502D9F7A4BB}" type="pres">
      <dgm:prSet presAssocID="{975458C8-D635-4638-BE39-5E447668D22D}" presName="hierChild2" presStyleCnt="0"/>
      <dgm:spPr/>
    </dgm:pt>
    <dgm:pt modelId="{547BED52-3347-48E4-BCA1-443091CE2DCE}" type="pres">
      <dgm:prSet presAssocID="{075CE3F9-CA80-44A5-AA0A-D3E7FC077782}" presName="Name37" presStyleLbl="parChTrans1D2" presStyleIdx="0" presStyleCnt="4"/>
      <dgm:spPr/>
    </dgm:pt>
    <dgm:pt modelId="{1FB61BD2-FED0-4F0A-B3BE-FEEF1ED050DA}" type="pres">
      <dgm:prSet presAssocID="{E3704E9A-0E53-4145-BC73-7030D72573C5}" presName="hierRoot2" presStyleCnt="0">
        <dgm:presLayoutVars>
          <dgm:hierBranch val="init"/>
        </dgm:presLayoutVars>
      </dgm:prSet>
      <dgm:spPr/>
    </dgm:pt>
    <dgm:pt modelId="{85C59D25-37EE-4650-9F09-A0951E1A76F9}" type="pres">
      <dgm:prSet presAssocID="{E3704E9A-0E53-4145-BC73-7030D72573C5}" presName="rootComposite" presStyleCnt="0"/>
      <dgm:spPr/>
    </dgm:pt>
    <dgm:pt modelId="{02E074D0-4A6D-476A-B380-C8313AA66B11}" type="pres">
      <dgm:prSet presAssocID="{E3704E9A-0E53-4145-BC73-7030D72573C5}" presName="rootText" presStyleLbl="node2" presStyleIdx="0" presStyleCnt="4">
        <dgm:presLayoutVars>
          <dgm:chPref val="3"/>
        </dgm:presLayoutVars>
      </dgm:prSet>
      <dgm:spPr/>
    </dgm:pt>
    <dgm:pt modelId="{BD42B711-00B4-455C-B408-7B774E033724}" type="pres">
      <dgm:prSet presAssocID="{E3704E9A-0E53-4145-BC73-7030D72573C5}" presName="rootConnector" presStyleLbl="node2" presStyleIdx="0" presStyleCnt="4"/>
      <dgm:spPr/>
    </dgm:pt>
    <dgm:pt modelId="{4466AA76-4C20-4C82-8AF1-B2E61AF3DB89}" type="pres">
      <dgm:prSet presAssocID="{E3704E9A-0E53-4145-BC73-7030D72573C5}" presName="hierChild4" presStyleCnt="0"/>
      <dgm:spPr/>
    </dgm:pt>
    <dgm:pt modelId="{B7A61CDB-DD19-43D7-A779-C769E67F727D}" type="pres">
      <dgm:prSet presAssocID="{A94AB389-39D2-4267-A98E-779E54D44A93}" presName="Name37" presStyleLbl="parChTrans1D3" presStyleIdx="0" presStyleCnt="19"/>
      <dgm:spPr/>
    </dgm:pt>
    <dgm:pt modelId="{1BFCFF19-0EC2-4DB7-9F69-EDC24A7B2517}" type="pres">
      <dgm:prSet presAssocID="{FA122D1D-385A-4FB4-8A77-5BEDF6F84503}" presName="hierRoot2" presStyleCnt="0">
        <dgm:presLayoutVars>
          <dgm:hierBranch val="init"/>
        </dgm:presLayoutVars>
      </dgm:prSet>
      <dgm:spPr/>
    </dgm:pt>
    <dgm:pt modelId="{58EFB109-735C-4162-A1D4-102925DC3385}" type="pres">
      <dgm:prSet presAssocID="{FA122D1D-385A-4FB4-8A77-5BEDF6F84503}" presName="rootComposite" presStyleCnt="0"/>
      <dgm:spPr/>
    </dgm:pt>
    <dgm:pt modelId="{53CD6ABA-0725-4620-9494-A23E205C0BF4}" type="pres">
      <dgm:prSet presAssocID="{FA122D1D-385A-4FB4-8A77-5BEDF6F84503}" presName="rootText" presStyleLbl="node3" presStyleIdx="0" presStyleCnt="19" custScaleY="161963">
        <dgm:presLayoutVars>
          <dgm:chPref val="3"/>
        </dgm:presLayoutVars>
      </dgm:prSet>
      <dgm:spPr/>
    </dgm:pt>
    <dgm:pt modelId="{86F35670-ED1C-43EE-BB4E-E1387FBD6BAB}" type="pres">
      <dgm:prSet presAssocID="{FA122D1D-385A-4FB4-8A77-5BEDF6F84503}" presName="rootConnector" presStyleLbl="node3" presStyleIdx="0" presStyleCnt="19"/>
      <dgm:spPr/>
    </dgm:pt>
    <dgm:pt modelId="{0B8740A9-B031-461D-8B40-DA6F5DD8D502}" type="pres">
      <dgm:prSet presAssocID="{FA122D1D-385A-4FB4-8A77-5BEDF6F84503}" presName="hierChild4" presStyleCnt="0"/>
      <dgm:spPr/>
    </dgm:pt>
    <dgm:pt modelId="{A4B1D86E-EF19-4F5C-B4B5-5E9A5790358D}" type="pres">
      <dgm:prSet presAssocID="{FA122D1D-385A-4FB4-8A77-5BEDF6F84503}" presName="hierChild5" presStyleCnt="0"/>
      <dgm:spPr/>
    </dgm:pt>
    <dgm:pt modelId="{A2D2133E-DF19-4113-856C-07450D1D5B4B}" type="pres">
      <dgm:prSet presAssocID="{7FDB2D46-B252-4B8D-AEE2-9BA0B67C44AD}" presName="Name37" presStyleLbl="parChTrans1D3" presStyleIdx="1" presStyleCnt="19"/>
      <dgm:spPr/>
    </dgm:pt>
    <dgm:pt modelId="{A989B08D-AFAA-4497-B3FE-761465D9EF0A}" type="pres">
      <dgm:prSet presAssocID="{C37D100F-0580-410D-82CF-5F820F2E26B9}" presName="hierRoot2" presStyleCnt="0">
        <dgm:presLayoutVars>
          <dgm:hierBranch val="init"/>
        </dgm:presLayoutVars>
      </dgm:prSet>
      <dgm:spPr/>
    </dgm:pt>
    <dgm:pt modelId="{7FD0F421-4671-4709-9CE7-017D992AB3D7}" type="pres">
      <dgm:prSet presAssocID="{C37D100F-0580-410D-82CF-5F820F2E26B9}" presName="rootComposite" presStyleCnt="0"/>
      <dgm:spPr/>
    </dgm:pt>
    <dgm:pt modelId="{609C40B9-27F2-453E-8183-097769512DCC}" type="pres">
      <dgm:prSet presAssocID="{C37D100F-0580-410D-82CF-5F820F2E26B9}" presName="rootText" presStyleLbl="node3" presStyleIdx="1" presStyleCnt="19">
        <dgm:presLayoutVars>
          <dgm:chPref val="3"/>
        </dgm:presLayoutVars>
      </dgm:prSet>
      <dgm:spPr/>
    </dgm:pt>
    <dgm:pt modelId="{1469041E-5B6B-4A14-92E7-0A5A5535073F}" type="pres">
      <dgm:prSet presAssocID="{C37D100F-0580-410D-82CF-5F820F2E26B9}" presName="rootConnector" presStyleLbl="node3" presStyleIdx="1" presStyleCnt="19"/>
      <dgm:spPr/>
    </dgm:pt>
    <dgm:pt modelId="{2571106E-B22C-4EC6-9BB0-F58C8E934747}" type="pres">
      <dgm:prSet presAssocID="{C37D100F-0580-410D-82CF-5F820F2E26B9}" presName="hierChild4" presStyleCnt="0"/>
      <dgm:spPr/>
    </dgm:pt>
    <dgm:pt modelId="{741D7D06-A266-4DB3-9A28-04DF11EB80B1}" type="pres">
      <dgm:prSet presAssocID="{C37D100F-0580-410D-82CF-5F820F2E26B9}" presName="hierChild5" presStyleCnt="0"/>
      <dgm:spPr/>
    </dgm:pt>
    <dgm:pt modelId="{844187E6-76FF-4929-BBE4-EE791A9ADF40}" type="pres">
      <dgm:prSet presAssocID="{F04E1CC1-A24A-4703-A6DD-ED854880BEB3}" presName="Name37" presStyleLbl="parChTrans1D3" presStyleIdx="2" presStyleCnt="19"/>
      <dgm:spPr/>
    </dgm:pt>
    <dgm:pt modelId="{4D950B7A-BE42-47F2-8A29-D7245BA6DCC8}" type="pres">
      <dgm:prSet presAssocID="{279F251E-2935-47CB-A336-1E75FA9D5EC4}" presName="hierRoot2" presStyleCnt="0">
        <dgm:presLayoutVars>
          <dgm:hierBranch val="init"/>
        </dgm:presLayoutVars>
      </dgm:prSet>
      <dgm:spPr/>
    </dgm:pt>
    <dgm:pt modelId="{65EF61FE-5439-45B6-BEBA-E95C8EBE6F22}" type="pres">
      <dgm:prSet presAssocID="{279F251E-2935-47CB-A336-1E75FA9D5EC4}" presName="rootComposite" presStyleCnt="0"/>
      <dgm:spPr/>
    </dgm:pt>
    <dgm:pt modelId="{E9A0F54A-6335-44B3-947C-0BCBD9BA7B08}" type="pres">
      <dgm:prSet presAssocID="{279F251E-2935-47CB-A336-1E75FA9D5EC4}" presName="rootText" presStyleLbl="node3" presStyleIdx="2" presStyleCnt="19">
        <dgm:presLayoutVars>
          <dgm:chPref val="3"/>
        </dgm:presLayoutVars>
      </dgm:prSet>
      <dgm:spPr/>
    </dgm:pt>
    <dgm:pt modelId="{3DAC9EE9-F7DF-439D-BBAF-24DBEDA1BE94}" type="pres">
      <dgm:prSet presAssocID="{279F251E-2935-47CB-A336-1E75FA9D5EC4}" presName="rootConnector" presStyleLbl="node3" presStyleIdx="2" presStyleCnt="19"/>
      <dgm:spPr/>
    </dgm:pt>
    <dgm:pt modelId="{75CDFA22-4D80-4EFA-B80B-5AF044A80835}" type="pres">
      <dgm:prSet presAssocID="{279F251E-2935-47CB-A336-1E75FA9D5EC4}" presName="hierChild4" presStyleCnt="0"/>
      <dgm:spPr/>
    </dgm:pt>
    <dgm:pt modelId="{63EBC5BD-060F-44F5-9206-904DE22DD651}" type="pres">
      <dgm:prSet presAssocID="{279F251E-2935-47CB-A336-1E75FA9D5EC4}" presName="hierChild5" presStyleCnt="0"/>
      <dgm:spPr/>
    </dgm:pt>
    <dgm:pt modelId="{C93F79D8-7F6D-49BF-B100-FD72B15C9147}" type="pres">
      <dgm:prSet presAssocID="{73A3FF76-9136-4677-91B4-7A1EED06BF29}" presName="Name37" presStyleLbl="parChTrans1D3" presStyleIdx="3" presStyleCnt="19"/>
      <dgm:spPr/>
    </dgm:pt>
    <dgm:pt modelId="{5AB66D54-683E-4064-8645-3F053780D069}" type="pres">
      <dgm:prSet presAssocID="{67710BEE-6738-4054-A0B8-80A4D9BD67BE}" presName="hierRoot2" presStyleCnt="0">
        <dgm:presLayoutVars>
          <dgm:hierBranch val="init"/>
        </dgm:presLayoutVars>
      </dgm:prSet>
      <dgm:spPr/>
    </dgm:pt>
    <dgm:pt modelId="{E9A6A087-26BC-4F1C-8E0B-848805CB9F38}" type="pres">
      <dgm:prSet presAssocID="{67710BEE-6738-4054-A0B8-80A4D9BD67BE}" presName="rootComposite" presStyleCnt="0"/>
      <dgm:spPr/>
    </dgm:pt>
    <dgm:pt modelId="{6615CC95-8184-4A74-8886-438080F7B78A}" type="pres">
      <dgm:prSet presAssocID="{67710BEE-6738-4054-A0B8-80A4D9BD67BE}" presName="rootText" presStyleLbl="node3" presStyleIdx="3" presStyleCnt="19">
        <dgm:presLayoutVars>
          <dgm:chPref val="3"/>
        </dgm:presLayoutVars>
      </dgm:prSet>
      <dgm:spPr/>
    </dgm:pt>
    <dgm:pt modelId="{8575F21B-968D-43FB-A171-9361C8D5EC87}" type="pres">
      <dgm:prSet presAssocID="{67710BEE-6738-4054-A0B8-80A4D9BD67BE}" presName="rootConnector" presStyleLbl="node3" presStyleIdx="3" presStyleCnt="19"/>
      <dgm:spPr/>
    </dgm:pt>
    <dgm:pt modelId="{5D34E399-3484-40DB-8C33-8547D9525442}" type="pres">
      <dgm:prSet presAssocID="{67710BEE-6738-4054-A0B8-80A4D9BD67BE}" presName="hierChild4" presStyleCnt="0"/>
      <dgm:spPr/>
    </dgm:pt>
    <dgm:pt modelId="{9E82DCF3-85F2-4014-B766-C6E59E8DBEE1}" type="pres">
      <dgm:prSet presAssocID="{67710BEE-6738-4054-A0B8-80A4D9BD67BE}" presName="hierChild5" presStyleCnt="0"/>
      <dgm:spPr/>
    </dgm:pt>
    <dgm:pt modelId="{7F25AD5E-5711-4AE1-9A38-B91C539DF844}" type="pres">
      <dgm:prSet presAssocID="{801982A0-0974-4CCC-B676-EE6BA33DD222}" presName="Name37" presStyleLbl="parChTrans1D3" presStyleIdx="4" presStyleCnt="19"/>
      <dgm:spPr/>
    </dgm:pt>
    <dgm:pt modelId="{B5C3FA4B-8431-4E4F-AAB6-9230312E9EE4}" type="pres">
      <dgm:prSet presAssocID="{1A840015-B867-45E3-ABFF-331A97938DE9}" presName="hierRoot2" presStyleCnt="0">
        <dgm:presLayoutVars>
          <dgm:hierBranch val="init"/>
        </dgm:presLayoutVars>
      </dgm:prSet>
      <dgm:spPr/>
    </dgm:pt>
    <dgm:pt modelId="{68871797-1B7C-4190-A5A3-E2DB81768410}" type="pres">
      <dgm:prSet presAssocID="{1A840015-B867-45E3-ABFF-331A97938DE9}" presName="rootComposite" presStyleCnt="0"/>
      <dgm:spPr/>
    </dgm:pt>
    <dgm:pt modelId="{0D648FAF-1DA4-4304-972D-EBAB8D9D08C5}" type="pres">
      <dgm:prSet presAssocID="{1A840015-B867-45E3-ABFF-331A97938DE9}" presName="rootText" presStyleLbl="node3" presStyleIdx="4" presStyleCnt="19">
        <dgm:presLayoutVars>
          <dgm:chPref val="3"/>
        </dgm:presLayoutVars>
      </dgm:prSet>
      <dgm:spPr/>
    </dgm:pt>
    <dgm:pt modelId="{1033855A-90A1-47ED-AFA3-6D0F8CE9AEAC}" type="pres">
      <dgm:prSet presAssocID="{1A840015-B867-45E3-ABFF-331A97938DE9}" presName="rootConnector" presStyleLbl="node3" presStyleIdx="4" presStyleCnt="19"/>
      <dgm:spPr/>
    </dgm:pt>
    <dgm:pt modelId="{FE38CFFA-996F-40CC-87D9-429053ABF03E}" type="pres">
      <dgm:prSet presAssocID="{1A840015-B867-45E3-ABFF-331A97938DE9}" presName="hierChild4" presStyleCnt="0"/>
      <dgm:spPr/>
    </dgm:pt>
    <dgm:pt modelId="{6CFD9327-7F8D-46F5-9948-853FFAC2B2FA}" type="pres">
      <dgm:prSet presAssocID="{1A840015-B867-45E3-ABFF-331A97938DE9}" presName="hierChild5" presStyleCnt="0"/>
      <dgm:spPr/>
    </dgm:pt>
    <dgm:pt modelId="{BB3D46CC-1096-4A8D-A567-4B1DA8395974}" type="pres">
      <dgm:prSet presAssocID="{EFFD92FB-B03A-4602-A2E8-609C20140FE1}" presName="Name37" presStyleLbl="parChTrans1D3" presStyleIdx="5" presStyleCnt="19"/>
      <dgm:spPr/>
    </dgm:pt>
    <dgm:pt modelId="{3B03F9BE-A2E4-49CD-BFD2-A2523CC9C8D3}" type="pres">
      <dgm:prSet presAssocID="{380799DD-75DA-46F7-AEEA-0E316C6E257F}" presName="hierRoot2" presStyleCnt="0">
        <dgm:presLayoutVars>
          <dgm:hierBranch val="init"/>
        </dgm:presLayoutVars>
      </dgm:prSet>
      <dgm:spPr/>
    </dgm:pt>
    <dgm:pt modelId="{B01AC98C-9818-4BAD-86CE-28A4EE357283}" type="pres">
      <dgm:prSet presAssocID="{380799DD-75DA-46F7-AEEA-0E316C6E257F}" presName="rootComposite" presStyleCnt="0"/>
      <dgm:spPr/>
    </dgm:pt>
    <dgm:pt modelId="{009E53A5-77C1-441C-AFCA-67448F33B8C5}" type="pres">
      <dgm:prSet presAssocID="{380799DD-75DA-46F7-AEEA-0E316C6E257F}" presName="rootText" presStyleLbl="node3" presStyleIdx="5" presStyleCnt="19">
        <dgm:presLayoutVars>
          <dgm:chPref val="3"/>
        </dgm:presLayoutVars>
      </dgm:prSet>
      <dgm:spPr/>
    </dgm:pt>
    <dgm:pt modelId="{00709937-0028-4A56-9012-2AD8C2D85787}" type="pres">
      <dgm:prSet presAssocID="{380799DD-75DA-46F7-AEEA-0E316C6E257F}" presName="rootConnector" presStyleLbl="node3" presStyleIdx="5" presStyleCnt="19"/>
      <dgm:spPr/>
    </dgm:pt>
    <dgm:pt modelId="{0F5ED03F-A3F9-45B9-BB29-C3D0B674ADA0}" type="pres">
      <dgm:prSet presAssocID="{380799DD-75DA-46F7-AEEA-0E316C6E257F}" presName="hierChild4" presStyleCnt="0"/>
      <dgm:spPr/>
    </dgm:pt>
    <dgm:pt modelId="{C78866EC-483A-4ED5-8ECD-009EEF59ADEF}" type="pres">
      <dgm:prSet presAssocID="{380799DD-75DA-46F7-AEEA-0E316C6E257F}" presName="hierChild5" presStyleCnt="0"/>
      <dgm:spPr/>
    </dgm:pt>
    <dgm:pt modelId="{8E47A068-F4BD-41EA-8DFE-48076EA44852}" type="pres">
      <dgm:prSet presAssocID="{3C8C7172-E32D-401B-AAB4-13874244CA6C}" presName="Name37" presStyleLbl="parChTrans1D3" presStyleIdx="6" presStyleCnt="19"/>
      <dgm:spPr/>
    </dgm:pt>
    <dgm:pt modelId="{26ED5CEB-12DF-44A9-BDED-0F15F963D188}" type="pres">
      <dgm:prSet presAssocID="{54071397-FAC3-47D4-9D8C-F95A2366DB98}" presName="hierRoot2" presStyleCnt="0">
        <dgm:presLayoutVars>
          <dgm:hierBranch val="init"/>
        </dgm:presLayoutVars>
      </dgm:prSet>
      <dgm:spPr/>
    </dgm:pt>
    <dgm:pt modelId="{93772529-81BD-48BB-A6CF-946FE20D8B46}" type="pres">
      <dgm:prSet presAssocID="{54071397-FAC3-47D4-9D8C-F95A2366DB98}" presName="rootComposite" presStyleCnt="0"/>
      <dgm:spPr/>
    </dgm:pt>
    <dgm:pt modelId="{7FA4D188-399C-427C-A220-0CA1482B0242}" type="pres">
      <dgm:prSet presAssocID="{54071397-FAC3-47D4-9D8C-F95A2366DB98}" presName="rootText" presStyleLbl="node3" presStyleIdx="6" presStyleCnt="19">
        <dgm:presLayoutVars>
          <dgm:chPref val="3"/>
        </dgm:presLayoutVars>
      </dgm:prSet>
      <dgm:spPr/>
    </dgm:pt>
    <dgm:pt modelId="{1B588151-F45F-4E06-AA69-4B111166DF2A}" type="pres">
      <dgm:prSet presAssocID="{54071397-FAC3-47D4-9D8C-F95A2366DB98}" presName="rootConnector" presStyleLbl="node3" presStyleIdx="6" presStyleCnt="19"/>
      <dgm:spPr/>
    </dgm:pt>
    <dgm:pt modelId="{8ED14732-C6EF-4891-A1D5-C2CE32B6107E}" type="pres">
      <dgm:prSet presAssocID="{54071397-FAC3-47D4-9D8C-F95A2366DB98}" presName="hierChild4" presStyleCnt="0"/>
      <dgm:spPr/>
    </dgm:pt>
    <dgm:pt modelId="{ED362DCB-2F57-40CF-89B2-D5E8528500BB}" type="pres">
      <dgm:prSet presAssocID="{54071397-FAC3-47D4-9D8C-F95A2366DB98}" presName="hierChild5" presStyleCnt="0"/>
      <dgm:spPr/>
    </dgm:pt>
    <dgm:pt modelId="{6E8D8DD1-0F4B-44BC-84F1-A50CF5D32691}" type="pres">
      <dgm:prSet presAssocID="{729AE946-47D9-403A-9492-20F6AFB9E04C}" presName="Name37" presStyleLbl="parChTrans1D3" presStyleIdx="7" presStyleCnt="19"/>
      <dgm:spPr/>
    </dgm:pt>
    <dgm:pt modelId="{06541204-E07F-4149-B094-9CBF717732E8}" type="pres">
      <dgm:prSet presAssocID="{EBC69E2E-1A72-458B-AC72-864D30D06CEC}" presName="hierRoot2" presStyleCnt="0">
        <dgm:presLayoutVars>
          <dgm:hierBranch val="init"/>
        </dgm:presLayoutVars>
      </dgm:prSet>
      <dgm:spPr/>
    </dgm:pt>
    <dgm:pt modelId="{DA24C9D1-DE06-4682-BB56-290004858A7E}" type="pres">
      <dgm:prSet presAssocID="{EBC69E2E-1A72-458B-AC72-864D30D06CEC}" presName="rootComposite" presStyleCnt="0"/>
      <dgm:spPr/>
    </dgm:pt>
    <dgm:pt modelId="{D1529D59-3971-4179-9CB7-ACD08E58E993}" type="pres">
      <dgm:prSet presAssocID="{EBC69E2E-1A72-458B-AC72-864D30D06CEC}" presName="rootText" presStyleLbl="node3" presStyleIdx="7" presStyleCnt="19">
        <dgm:presLayoutVars>
          <dgm:chPref val="3"/>
        </dgm:presLayoutVars>
      </dgm:prSet>
      <dgm:spPr/>
    </dgm:pt>
    <dgm:pt modelId="{2D362F3A-0F33-4CAF-A179-6432D4D60D08}" type="pres">
      <dgm:prSet presAssocID="{EBC69E2E-1A72-458B-AC72-864D30D06CEC}" presName="rootConnector" presStyleLbl="node3" presStyleIdx="7" presStyleCnt="19"/>
      <dgm:spPr/>
    </dgm:pt>
    <dgm:pt modelId="{A97E7D35-EE33-4B4D-BC30-79DDD27E98B0}" type="pres">
      <dgm:prSet presAssocID="{EBC69E2E-1A72-458B-AC72-864D30D06CEC}" presName="hierChild4" presStyleCnt="0"/>
      <dgm:spPr/>
    </dgm:pt>
    <dgm:pt modelId="{8CEA5C6A-69F0-43C4-9CCA-EC115F7917D7}" type="pres">
      <dgm:prSet presAssocID="{EBC69E2E-1A72-458B-AC72-864D30D06CEC}" presName="hierChild5" presStyleCnt="0"/>
      <dgm:spPr/>
    </dgm:pt>
    <dgm:pt modelId="{176E6E30-5441-43D8-A2FD-9DF8DD5296EA}" type="pres">
      <dgm:prSet presAssocID="{C13131D4-8E7D-44FE-B86E-04A7049828D7}" presName="Name37" presStyleLbl="parChTrans1D3" presStyleIdx="8" presStyleCnt="19"/>
      <dgm:spPr/>
    </dgm:pt>
    <dgm:pt modelId="{2F4D15FD-F27D-4E94-B42B-032083D7B363}" type="pres">
      <dgm:prSet presAssocID="{F62A43A5-1035-4AC9-AB4E-47ED9130D2B7}" presName="hierRoot2" presStyleCnt="0">
        <dgm:presLayoutVars>
          <dgm:hierBranch val="init"/>
        </dgm:presLayoutVars>
      </dgm:prSet>
      <dgm:spPr/>
    </dgm:pt>
    <dgm:pt modelId="{D8EA75EB-FDA7-4244-9CE1-EE5446BDA05A}" type="pres">
      <dgm:prSet presAssocID="{F62A43A5-1035-4AC9-AB4E-47ED9130D2B7}" presName="rootComposite" presStyleCnt="0"/>
      <dgm:spPr/>
    </dgm:pt>
    <dgm:pt modelId="{ABCE32FF-310E-4F62-8BBC-8ABCAE21A6B8}" type="pres">
      <dgm:prSet presAssocID="{F62A43A5-1035-4AC9-AB4E-47ED9130D2B7}" presName="rootText" presStyleLbl="node3" presStyleIdx="8" presStyleCnt="19">
        <dgm:presLayoutVars>
          <dgm:chPref val="3"/>
        </dgm:presLayoutVars>
      </dgm:prSet>
      <dgm:spPr/>
    </dgm:pt>
    <dgm:pt modelId="{B0F94922-ED3D-4197-902B-F160F5E56078}" type="pres">
      <dgm:prSet presAssocID="{F62A43A5-1035-4AC9-AB4E-47ED9130D2B7}" presName="rootConnector" presStyleLbl="node3" presStyleIdx="8" presStyleCnt="19"/>
      <dgm:spPr/>
    </dgm:pt>
    <dgm:pt modelId="{F406E1E3-9C75-438A-8BBD-7E804E59E6F2}" type="pres">
      <dgm:prSet presAssocID="{F62A43A5-1035-4AC9-AB4E-47ED9130D2B7}" presName="hierChild4" presStyleCnt="0"/>
      <dgm:spPr/>
    </dgm:pt>
    <dgm:pt modelId="{5E7494C5-4B90-4EFE-9391-6ABFF79F1384}" type="pres">
      <dgm:prSet presAssocID="{F62A43A5-1035-4AC9-AB4E-47ED9130D2B7}" presName="hierChild5" presStyleCnt="0"/>
      <dgm:spPr/>
    </dgm:pt>
    <dgm:pt modelId="{4EDF591E-7CC5-4E2A-AC3C-0314099FC657}" type="pres">
      <dgm:prSet presAssocID="{E3704E9A-0E53-4145-BC73-7030D72573C5}" presName="hierChild5" presStyleCnt="0"/>
      <dgm:spPr/>
    </dgm:pt>
    <dgm:pt modelId="{2558FD20-2AAA-42E3-850A-807A28318ECF}" type="pres">
      <dgm:prSet presAssocID="{51E8828E-A9BE-4B89-8204-15B3ACE96249}" presName="Name37" presStyleLbl="parChTrans1D2" presStyleIdx="1" presStyleCnt="4"/>
      <dgm:spPr/>
    </dgm:pt>
    <dgm:pt modelId="{6C342C7E-ED1D-4936-A26B-C9F31E40FA46}" type="pres">
      <dgm:prSet presAssocID="{A48BD8C1-399C-4313-AA5D-4CD1DD77A30D}" presName="hierRoot2" presStyleCnt="0">
        <dgm:presLayoutVars>
          <dgm:hierBranch val="init"/>
        </dgm:presLayoutVars>
      </dgm:prSet>
      <dgm:spPr/>
    </dgm:pt>
    <dgm:pt modelId="{6EDC6498-ACE6-495B-84B2-9611A35827F6}" type="pres">
      <dgm:prSet presAssocID="{A48BD8C1-399C-4313-AA5D-4CD1DD77A30D}" presName="rootComposite" presStyleCnt="0"/>
      <dgm:spPr/>
    </dgm:pt>
    <dgm:pt modelId="{7717E88C-8096-4D98-8C10-6F849847F33D}" type="pres">
      <dgm:prSet presAssocID="{A48BD8C1-399C-4313-AA5D-4CD1DD77A30D}" presName="rootText" presStyleLbl="node2" presStyleIdx="1" presStyleCnt="4">
        <dgm:presLayoutVars>
          <dgm:chPref val="3"/>
        </dgm:presLayoutVars>
      </dgm:prSet>
      <dgm:spPr/>
    </dgm:pt>
    <dgm:pt modelId="{AB3837C5-AAC0-49D3-8F6B-7019E602EF8B}" type="pres">
      <dgm:prSet presAssocID="{A48BD8C1-399C-4313-AA5D-4CD1DD77A30D}" presName="rootConnector" presStyleLbl="node2" presStyleIdx="1" presStyleCnt="4"/>
      <dgm:spPr/>
    </dgm:pt>
    <dgm:pt modelId="{06304CCA-1895-408F-AF79-6D88FED1217F}" type="pres">
      <dgm:prSet presAssocID="{A48BD8C1-399C-4313-AA5D-4CD1DD77A30D}" presName="hierChild4" presStyleCnt="0"/>
      <dgm:spPr/>
    </dgm:pt>
    <dgm:pt modelId="{3CE8DE57-4F2A-4759-AE5E-7353EADD2335}" type="pres">
      <dgm:prSet presAssocID="{2C87FD14-7E9D-4B40-AB1E-EE335C430B99}" presName="Name37" presStyleLbl="parChTrans1D3" presStyleIdx="9" presStyleCnt="19"/>
      <dgm:spPr/>
    </dgm:pt>
    <dgm:pt modelId="{993F9A0B-4D0B-48E5-A9B6-15B095C6B625}" type="pres">
      <dgm:prSet presAssocID="{FA6B0525-83B2-46B2-94B7-CF32CF2A680A}" presName="hierRoot2" presStyleCnt="0">
        <dgm:presLayoutVars>
          <dgm:hierBranch val="init"/>
        </dgm:presLayoutVars>
      </dgm:prSet>
      <dgm:spPr/>
    </dgm:pt>
    <dgm:pt modelId="{D9634A84-515F-4526-A216-1291705DC936}" type="pres">
      <dgm:prSet presAssocID="{FA6B0525-83B2-46B2-94B7-CF32CF2A680A}" presName="rootComposite" presStyleCnt="0"/>
      <dgm:spPr/>
    </dgm:pt>
    <dgm:pt modelId="{8881AAB7-7189-4324-818B-94A495A2CBAD}" type="pres">
      <dgm:prSet presAssocID="{FA6B0525-83B2-46B2-94B7-CF32CF2A680A}" presName="rootText" presStyleLbl="node3" presStyleIdx="9" presStyleCnt="19">
        <dgm:presLayoutVars>
          <dgm:chPref val="3"/>
        </dgm:presLayoutVars>
      </dgm:prSet>
      <dgm:spPr/>
    </dgm:pt>
    <dgm:pt modelId="{1D5422F5-78AD-4266-8398-60C9AA029BB2}" type="pres">
      <dgm:prSet presAssocID="{FA6B0525-83B2-46B2-94B7-CF32CF2A680A}" presName="rootConnector" presStyleLbl="node3" presStyleIdx="9" presStyleCnt="19"/>
      <dgm:spPr/>
    </dgm:pt>
    <dgm:pt modelId="{33C702A7-839A-425F-A602-73B167285B06}" type="pres">
      <dgm:prSet presAssocID="{FA6B0525-83B2-46B2-94B7-CF32CF2A680A}" presName="hierChild4" presStyleCnt="0"/>
      <dgm:spPr/>
    </dgm:pt>
    <dgm:pt modelId="{7449F863-1B02-4A9F-83C9-BAAB2389E8ED}" type="pres">
      <dgm:prSet presAssocID="{C60B21A3-B93F-4B01-A55E-23AAEEA0A06A}" presName="Name37" presStyleLbl="parChTrans1D4" presStyleIdx="0" presStyleCnt="15"/>
      <dgm:spPr/>
    </dgm:pt>
    <dgm:pt modelId="{2D7D41D0-FB78-417B-BB7C-B9808693080B}" type="pres">
      <dgm:prSet presAssocID="{B238C85A-273E-47D9-94D0-6FF1D3DF40DF}" presName="hierRoot2" presStyleCnt="0">
        <dgm:presLayoutVars>
          <dgm:hierBranch val="init"/>
        </dgm:presLayoutVars>
      </dgm:prSet>
      <dgm:spPr/>
    </dgm:pt>
    <dgm:pt modelId="{96A12F1F-9E41-43C7-930A-605F42A3E4D1}" type="pres">
      <dgm:prSet presAssocID="{B238C85A-273E-47D9-94D0-6FF1D3DF40DF}" presName="rootComposite" presStyleCnt="0"/>
      <dgm:spPr/>
    </dgm:pt>
    <dgm:pt modelId="{66D97830-6A7E-4455-8506-C3A36AEC6C70}" type="pres">
      <dgm:prSet presAssocID="{B238C85A-273E-47D9-94D0-6FF1D3DF40DF}" presName="rootText" presStyleLbl="node4" presStyleIdx="0" presStyleCnt="15" custScaleY="187004">
        <dgm:presLayoutVars>
          <dgm:chPref val="3"/>
        </dgm:presLayoutVars>
      </dgm:prSet>
      <dgm:spPr/>
    </dgm:pt>
    <dgm:pt modelId="{E6B59BB8-78FF-451B-9E5C-6D93470CDA05}" type="pres">
      <dgm:prSet presAssocID="{B238C85A-273E-47D9-94D0-6FF1D3DF40DF}" presName="rootConnector" presStyleLbl="node4" presStyleIdx="0" presStyleCnt="15"/>
      <dgm:spPr/>
    </dgm:pt>
    <dgm:pt modelId="{9FB8505F-F83B-469D-A082-ED435E5E2265}" type="pres">
      <dgm:prSet presAssocID="{B238C85A-273E-47D9-94D0-6FF1D3DF40DF}" presName="hierChild4" presStyleCnt="0"/>
      <dgm:spPr/>
    </dgm:pt>
    <dgm:pt modelId="{32D6B791-5E49-419C-A8BA-868A251680E7}" type="pres">
      <dgm:prSet presAssocID="{B238C85A-273E-47D9-94D0-6FF1D3DF40DF}" presName="hierChild5" presStyleCnt="0"/>
      <dgm:spPr/>
    </dgm:pt>
    <dgm:pt modelId="{27E30F65-4629-486F-A8C6-D08F8F521462}" type="pres">
      <dgm:prSet presAssocID="{29BD162D-EB42-4C99-B297-94E09B6608E0}" presName="Name37" presStyleLbl="parChTrans1D4" presStyleIdx="1" presStyleCnt="15"/>
      <dgm:spPr/>
    </dgm:pt>
    <dgm:pt modelId="{819E02B9-1C3C-44E5-9CFA-A8D1024F4AE2}" type="pres">
      <dgm:prSet presAssocID="{D5C8494E-EE10-430B-9492-DA15304FF700}" presName="hierRoot2" presStyleCnt="0">
        <dgm:presLayoutVars>
          <dgm:hierBranch val="init"/>
        </dgm:presLayoutVars>
      </dgm:prSet>
      <dgm:spPr/>
    </dgm:pt>
    <dgm:pt modelId="{9FC2E17E-BE42-4543-8665-3FE6CDB4512F}" type="pres">
      <dgm:prSet presAssocID="{D5C8494E-EE10-430B-9492-DA15304FF700}" presName="rootComposite" presStyleCnt="0"/>
      <dgm:spPr/>
    </dgm:pt>
    <dgm:pt modelId="{D4932E5F-7FA6-4B29-A820-8D80F655834D}" type="pres">
      <dgm:prSet presAssocID="{D5C8494E-EE10-430B-9492-DA15304FF700}" presName="rootText" presStyleLbl="node4" presStyleIdx="1" presStyleCnt="15" custScaleY="215802">
        <dgm:presLayoutVars>
          <dgm:chPref val="3"/>
        </dgm:presLayoutVars>
      </dgm:prSet>
      <dgm:spPr/>
    </dgm:pt>
    <dgm:pt modelId="{81C2CF3C-2A6C-4FCA-962C-BF6AEA0FF1AE}" type="pres">
      <dgm:prSet presAssocID="{D5C8494E-EE10-430B-9492-DA15304FF700}" presName="rootConnector" presStyleLbl="node4" presStyleIdx="1" presStyleCnt="15"/>
      <dgm:spPr/>
    </dgm:pt>
    <dgm:pt modelId="{11AE2DB0-1118-4B8A-81F2-6125F9A406F2}" type="pres">
      <dgm:prSet presAssocID="{D5C8494E-EE10-430B-9492-DA15304FF700}" presName="hierChild4" presStyleCnt="0"/>
      <dgm:spPr/>
    </dgm:pt>
    <dgm:pt modelId="{0BBAA7CF-8916-4C7E-B3B1-CDED64E33045}" type="pres">
      <dgm:prSet presAssocID="{D5C8494E-EE10-430B-9492-DA15304FF700}" presName="hierChild5" presStyleCnt="0"/>
      <dgm:spPr/>
    </dgm:pt>
    <dgm:pt modelId="{09C6395B-4055-44E0-BA11-3DE1F5BF09B1}" type="pres">
      <dgm:prSet presAssocID="{804662F9-4408-4BA0-A0DC-5678D41C3311}" presName="Name37" presStyleLbl="parChTrans1D4" presStyleIdx="2" presStyleCnt="15"/>
      <dgm:spPr/>
    </dgm:pt>
    <dgm:pt modelId="{B50565FF-2E81-4DD7-BD28-DC07149F6743}" type="pres">
      <dgm:prSet presAssocID="{5A624D01-99F5-4033-9835-E555364A3980}" presName="hierRoot2" presStyleCnt="0">
        <dgm:presLayoutVars>
          <dgm:hierBranch val="init"/>
        </dgm:presLayoutVars>
      </dgm:prSet>
      <dgm:spPr/>
    </dgm:pt>
    <dgm:pt modelId="{3B331915-B16A-41AF-A962-E98C5BA0B943}" type="pres">
      <dgm:prSet presAssocID="{5A624D01-99F5-4033-9835-E555364A3980}" presName="rootComposite" presStyleCnt="0"/>
      <dgm:spPr/>
    </dgm:pt>
    <dgm:pt modelId="{788D0E5B-B4AA-486F-A0CF-21C3F648F44F}" type="pres">
      <dgm:prSet presAssocID="{5A624D01-99F5-4033-9835-E555364A3980}" presName="rootText" presStyleLbl="node4" presStyleIdx="2" presStyleCnt="15" custScaleY="187844">
        <dgm:presLayoutVars>
          <dgm:chPref val="3"/>
        </dgm:presLayoutVars>
      </dgm:prSet>
      <dgm:spPr/>
    </dgm:pt>
    <dgm:pt modelId="{D1B6631E-A183-4AD0-A207-373DA2C46212}" type="pres">
      <dgm:prSet presAssocID="{5A624D01-99F5-4033-9835-E555364A3980}" presName="rootConnector" presStyleLbl="node4" presStyleIdx="2" presStyleCnt="15"/>
      <dgm:spPr/>
    </dgm:pt>
    <dgm:pt modelId="{F5372F72-2573-4F59-8EE9-E6641D638F23}" type="pres">
      <dgm:prSet presAssocID="{5A624D01-99F5-4033-9835-E555364A3980}" presName="hierChild4" presStyleCnt="0"/>
      <dgm:spPr/>
    </dgm:pt>
    <dgm:pt modelId="{058B65CD-09E4-465E-8F94-AD42ECBE042D}" type="pres">
      <dgm:prSet presAssocID="{5A624D01-99F5-4033-9835-E555364A3980}" presName="hierChild5" presStyleCnt="0"/>
      <dgm:spPr/>
    </dgm:pt>
    <dgm:pt modelId="{8B4958ED-4894-4B1E-801A-05068C88C017}" type="pres">
      <dgm:prSet presAssocID="{FA6B0525-83B2-46B2-94B7-CF32CF2A680A}" presName="hierChild5" presStyleCnt="0"/>
      <dgm:spPr/>
    </dgm:pt>
    <dgm:pt modelId="{95880DC0-D510-4295-A99D-BB9BAE67D8A1}" type="pres">
      <dgm:prSet presAssocID="{A4783309-5605-40AD-AF9C-86A9B24A3867}" presName="Name37" presStyleLbl="parChTrans1D3" presStyleIdx="10" presStyleCnt="19"/>
      <dgm:spPr/>
    </dgm:pt>
    <dgm:pt modelId="{339E5911-5015-4A4F-A7AF-E2E0ABC6ADB1}" type="pres">
      <dgm:prSet presAssocID="{2DC33A98-0E7A-48BC-BC8A-1229B4513851}" presName="hierRoot2" presStyleCnt="0">
        <dgm:presLayoutVars>
          <dgm:hierBranch val="init"/>
        </dgm:presLayoutVars>
      </dgm:prSet>
      <dgm:spPr/>
    </dgm:pt>
    <dgm:pt modelId="{B522131B-13BB-42E0-8308-23FA1D435DD0}" type="pres">
      <dgm:prSet presAssocID="{2DC33A98-0E7A-48BC-BC8A-1229B4513851}" presName="rootComposite" presStyleCnt="0"/>
      <dgm:spPr/>
    </dgm:pt>
    <dgm:pt modelId="{3039DBD9-8D08-46DD-BFF7-469DD4136FA3}" type="pres">
      <dgm:prSet presAssocID="{2DC33A98-0E7A-48BC-BC8A-1229B4513851}" presName="rootText" presStyleLbl="node3" presStyleIdx="10" presStyleCnt="19">
        <dgm:presLayoutVars>
          <dgm:chPref val="3"/>
        </dgm:presLayoutVars>
      </dgm:prSet>
      <dgm:spPr/>
    </dgm:pt>
    <dgm:pt modelId="{75F177C5-F527-4B45-8EF4-5F8B2555E954}" type="pres">
      <dgm:prSet presAssocID="{2DC33A98-0E7A-48BC-BC8A-1229B4513851}" presName="rootConnector" presStyleLbl="node3" presStyleIdx="10" presStyleCnt="19"/>
      <dgm:spPr/>
    </dgm:pt>
    <dgm:pt modelId="{C5632ACD-DD8B-492E-890D-431583CF69BF}" type="pres">
      <dgm:prSet presAssocID="{2DC33A98-0E7A-48BC-BC8A-1229B4513851}" presName="hierChild4" presStyleCnt="0"/>
      <dgm:spPr/>
    </dgm:pt>
    <dgm:pt modelId="{7173B549-F137-4D1C-8290-B9B91430ED96}" type="pres">
      <dgm:prSet presAssocID="{2F12880C-FF2D-4929-AECD-C62628C1F365}" presName="Name37" presStyleLbl="parChTrans1D4" presStyleIdx="3" presStyleCnt="15"/>
      <dgm:spPr/>
    </dgm:pt>
    <dgm:pt modelId="{65C0A823-95F8-49A0-8569-A8291C94E297}" type="pres">
      <dgm:prSet presAssocID="{96097FBF-076C-467B-A630-82F89328F6B8}" presName="hierRoot2" presStyleCnt="0">
        <dgm:presLayoutVars>
          <dgm:hierBranch val="init"/>
        </dgm:presLayoutVars>
      </dgm:prSet>
      <dgm:spPr/>
    </dgm:pt>
    <dgm:pt modelId="{1300581F-EF70-450C-B746-30C0E3D0DA9D}" type="pres">
      <dgm:prSet presAssocID="{96097FBF-076C-467B-A630-82F89328F6B8}" presName="rootComposite" presStyleCnt="0"/>
      <dgm:spPr/>
    </dgm:pt>
    <dgm:pt modelId="{4E7F10F5-9D2A-43F5-AA69-5EBE6CD852A6}" type="pres">
      <dgm:prSet presAssocID="{96097FBF-076C-467B-A630-82F89328F6B8}" presName="rootText" presStyleLbl="node4" presStyleIdx="3" presStyleCnt="15" custScaleY="176996">
        <dgm:presLayoutVars>
          <dgm:chPref val="3"/>
        </dgm:presLayoutVars>
      </dgm:prSet>
      <dgm:spPr/>
    </dgm:pt>
    <dgm:pt modelId="{E4596825-EFCF-4185-BCF1-CFCE152959D4}" type="pres">
      <dgm:prSet presAssocID="{96097FBF-076C-467B-A630-82F89328F6B8}" presName="rootConnector" presStyleLbl="node4" presStyleIdx="3" presStyleCnt="15"/>
      <dgm:spPr/>
    </dgm:pt>
    <dgm:pt modelId="{859ABB40-8DD0-4946-9B1B-9072BCBC1BD7}" type="pres">
      <dgm:prSet presAssocID="{96097FBF-076C-467B-A630-82F89328F6B8}" presName="hierChild4" presStyleCnt="0"/>
      <dgm:spPr/>
    </dgm:pt>
    <dgm:pt modelId="{9BDABE48-BC72-44DA-8797-3AFC749AD3E9}" type="pres">
      <dgm:prSet presAssocID="{96097FBF-076C-467B-A630-82F89328F6B8}" presName="hierChild5" presStyleCnt="0"/>
      <dgm:spPr/>
    </dgm:pt>
    <dgm:pt modelId="{48119197-FE93-41C1-9614-EB05D3FBC3AA}" type="pres">
      <dgm:prSet presAssocID="{71F4579C-2386-4DF1-BFF7-6B3E74C18EDC}" presName="Name37" presStyleLbl="parChTrans1D4" presStyleIdx="4" presStyleCnt="15"/>
      <dgm:spPr/>
    </dgm:pt>
    <dgm:pt modelId="{76CC44F7-AD17-47D8-B9D1-72146DF9B611}" type="pres">
      <dgm:prSet presAssocID="{890DAD5A-84DD-46B1-B318-313CB4F54182}" presName="hierRoot2" presStyleCnt="0">
        <dgm:presLayoutVars>
          <dgm:hierBranch val="init"/>
        </dgm:presLayoutVars>
      </dgm:prSet>
      <dgm:spPr/>
    </dgm:pt>
    <dgm:pt modelId="{5AD0A6B8-D13F-455F-8534-A268E3F934F2}" type="pres">
      <dgm:prSet presAssocID="{890DAD5A-84DD-46B1-B318-313CB4F54182}" presName="rootComposite" presStyleCnt="0"/>
      <dgm:spPr/>
    </dgm:pt>
    <dgm:pt modelId="{11939459-E0EB-41CE-8B50-08F612B998E2}" type="pres">
      <dgm:prSet presAssocID="{890DAD5A-84DD-46B1-B318-313CB4F54182}" presName="rootText" presStyleLbl="node4" presStyleIdx="4" presStyleCnt="15" custScaleY="152294">
        <dgm:presLayoutVars>
          <dgm:chPref val="3"/>
        </dgm:presLayoutVars>
      </dgm:prSet>
      <dgm:spPr/>
    </dgm:pt>
    <dgm:pt modelId="{AD5BA227-C618-4161-986C-EDD2448872D6}" type="pres">
      <dgm:prSet presAssocID="{890DAD5A-84DD-46B1-B318-313CB4F54182}" presName="rootConnector" presStyleLbl="node4" presStyleIdx="4" presStyleCnt="15"/>
      <dgm:spPr/>
    </dgm:pt>
    <dgm:pt modelId="{1BC03C6C-6B73-47B0-8421-8AC351D78839}" type="pres">
      <dgm:prSet presAssocID="{890DAD5A-84DD-46B1-B318-313CB4F54182}" presName="hierChild4" presStyleCnt="0"/>
      <dgm:spPr/>
    </dgm:pt>
    <dgm:pt modelId="{D622A7C0-05EE-49C7-84DA-A2C2881E3720}" type="pres">
      <dgm:prSet presAssocID="{890DAD5A-84DD-46B1-B318-313CB4F54182}" presName="hierChild5" presStyleCnt="0"/>
      <dgm:spPr/>
    </dgm:pt>
    <dgm:pt modelId="{06514E6E-A6D1-4335-B25D-26C67986FE40}" type="pres">
      <dgm:prSet presAssocID="{8D71E8CC-5985-4CB4-A26D-09A047445EA8}" presName="Name37" presStyleLbl="parChTrans1D4" presStyleIdx="5" presStyleCnt="15"/>
      <dgm:spPr/>
    </dgm:pt>
    <dgm:pt modelId="{74DF147B-9AC0-4012-BC20-44F1533DD0F5}" type="pres">
      <dgm:prSet presAssocID="{11B55C26-EE1C-4CFA-828E-7C4BB1A2AA3E}" presName="hierRoot2" presStyleCnt="0">
        <dgm:presLayoutVars>
          <dgm:hierBranch val="init"/>
        </dgm:presLayoutVars>
      </dgm:prSet>
      <dgm:spPr/>
    </dgm:pt>
    <dgm:pt modelId="{14F26509-D0AF-4407-B2D3-0E68C5BE01EC}" type="pres">
      <dgm:prSet presAssocID="{11B55C26-EE1C-4CFA-828E-7C4BB1A2AA3E}" presName="rootComposite" presStyleCnt="0"/>
      <dgm:spPr/>
    </dgm:pt>
    <dgm:pt modelId="{750D0113-1E32-4FD1-9A53-C28AF85EB3AE}" type="pres">
      <dgm:prSet presAssocID="{11B55C26-EE1C-4CFA-828E-7C4BB1A2AA3E}" presName="rootText" presStyleLbl="node4" presStyleIdx="5" presStyleCnt="15" custScaleY="204141">
        <dgm:presLayoutVars>
          <dgm:chPref val="3"/>
        </dgm:presLayoutVars>
      </dgm:prSet>
      <dgm:spPr/>
    </dgm:pt>
    <dgm:pt modelId="{45E8EB68-9C26-41A4-AA36-5C79AE50F00A}" type="pres">
      <dgm:prSet presAssocID="{11B55C26-EE1C-4CFA-828E-7C4BB1A2AA3E}" presName="rootConnector" presStyleLbl="node4" presStyleIdx="5" presStyleCnt="15"/>
      <dgm:spPr/>
    </dgm:pt>
    <dgm:pt modelId="{0BEDACC2-A2E1-430D-9B7E-311608D7C2A2}" type="pres">
      <dgm:prSet presAssocID="{11B55C26-EE1C-4CFA-828E-7C4BB1A2AA3E}" presName="hierChild4" presStyleCnt="0"/>
      <dgm:spPr/>
    </dgm:pt>
    <dgm:pt modelId="{C03A0FDF-AC59-44A6-AFCF-5F8567532585}" type="pres">
      <dgm:prSet presAssocID="{11B55C26-EE1C-4CFA-828E-7C4BB1A2AA3E}" presName="hierChild5" presStyleCnt="0"/>
      <dgm:spPr/>
    </dgm:pt>
    <dgm:pt modelId="{EE30AB35-996B-42CF-9382-B10E56F5BDCA}" type="pres">
      <dgm:prSet presAssocID="{2DC33A98-0E7A-48BC-BC8A-1229B4513851}" presName="hierChild5" presStyleCnt="0"/>
      <dgm:spPr/>
    </dgm:pt>
    <dgm:pt modelId="{34A6B83A-B826-4336-860D-EB87258A0851}" type="pres">
      <dgm:prSet presAssocID="{280C662E-F9DE-4414-84D4-210EE096F345}" presName="Name37" presStyleLbl="parChTrans1D3" presStyleIdx="11" presStyleCnt="19"/>
      <dgm:spPr/>
    </dgm:pt>
    <dgm:pt modelId="{44578224-6BC2-46C4-AAB3-0C9026C03D7C}" type="pres">
      <dgm:prSet presAssocID="{B01370D4-2853-47A4-866A-4A97016FF95D}" presName="hierRoot2" presStyleCnt="0">
        <dgm:presLayoutVars>
          <dgm:hierBranch val="init"/>
        </dgm:presLayoutVars>
      </dgm:prSet>
      <dgm:spPr/>
    </dgm:pt>
    <dgm:pt modelId="{A0D392FA-F7B3-4D13-9F69-C257786D50EE}" type="pres">
      <dgm:prSet presAssocID="{B01370D4-2853-47A4-866A-4A97016FF95D}" presName="rootComposite" presStyleCnt="0"/>
      <dgm:spPr/>
    </dgm:pt>
    <dgm:pt modelId="{ACF3BC3E-1746-4971-A25D-6C302E252CAE}" type="pres">
      <dgm:prSet presAssocID="{B01370D4-2853-47A4-866A-4A97016FF95D}" presName="rootText" presStyleLbl="node3" presStyleIdx="11" presStyleCnt="19">
        <dgm:presLayoutVars>
          <dgm:chPref val="3"/>
        </dgm:presLayoutVars>
      </dgm:prSet>
      <dgm:spPr/>
    </dgm:pt>
    <dgm:pt modelId="{9A18D4A9-809C-4541-95CC-DAB2C59C5597}" type="pres">
      <dgm:prSet presAssocID="{B01370D4-2853-47A4-866A-4A97016FF95D}" presName="rootConnector" presStyleLbl="node3" presStyleIdx="11" presStyleCnt="19"/>
      <dgm:spPr/>
    </dgm:pt>
    <dgm:pt modelId="{0684159F-CF6E-4422-BC0E-7872645BBA94}" type="pres">
      <dgm:prSet presAssocID="{B01370D4-2853-47A4-866A-4A97016FF95D}" presName="hierChild4" presStyleCnt="0"/>
      <dgm:spPr/>
    </dgm:pt>
    <dgm:pt modelId="{57F864E8-8308-4715-A878-38BB4D0C7A05}" type="pres">
      <dgm:prSet presAssocID="{034290B6-A3AA-4D06-942B-B6CCBEB12D7C}" presName="Name37" presStyleLbl="parChTrans1D4" presStyleIdx="6" presStyleCnt="15"/>
      <dgm:spPr/>
    </dgm:pt>
    <dgm:pt modelId="{722BD3E8-0DF9-4CE4-BFDE-3529580B6EC2}" type="pres">
      <dgm:prSet presAssocID="{AFA4D985-EB68-4640-81E8-0436428BBC70}" presName="hierRoot2" presStyleCnt="0">
        <dgm:presLayoutVars>
          <dgm:hierBranch val="init"/>
        </dgm:presLayoutVars>
      </dgm:prSet>
      <dgm:spPr/>
    </dgm:pt>
    <dgm:pt modelId="{0DF9A6FF-93CB-4561-91E2-601E3559CAD2}" type="pres">
      <dgm:prSet presAssocID="{AFA4D985-EB68-4640-81E8-0436428BBC70}" presName="rootComposite" presStyleCnt="0"/>
      <dgm:spPr/>
    </dgm:pt>
    <dgm:pt modelId="{593BA6A8-A05E-4D52-BC54-D742BC4F7327}" type="pres">
      <dgm:prSet presAssocID="{AFA4D985-EB68-4640-81E8-0436428BBC70}" presName="rootText" presStyleLbl="node4" presStyleIdx="6" presStyleCnt="15" custScaleY="160464">
        <dgm:presLayoutVars>
          <dgm:chPref val="3"/>
        </dgm:presLayoutVars>
      </dgm:prSet>
      <dgm:spPr/>
    </dgm:pt>
    <dgm:pt modelId="{16504EFE-B6D6-4EA7-8D2F-372F642B1FCF}" type="pres">
      <dgm:prSet presAssocID="{AFA4D985-EB68-4640-81E8-0436428BBC70}" presName="rootConnector" presStyleLbl="node4" presStyleIdx="6" presStyleCnt="15"/>
      <dgm:spPr/>
    </dgm:pt>
    <dgm:pt modelId="{CBD235FE-48DA-470E-A1E8-85BA7C34751E}" type="pres">
      <dgm:prSet presAssocID="{AFA4D985-EB68-4640-81E8-0436428BBC70}" presName="hierChild4" presStyleCnt="0"/>
      <dgm:spPr/>
    </dgm:pt>
    <dgm:pt modelId="{A2F885CB-16CB-4B52-9B36-0F0190EF73BE}" type="pres">
      <dgm:prSet presAssocID="{AFA4D985-EB68-4640-81E8-0436428BBC70}" presName="hierChild5" presStyleCnt="0"/>
      <dgm:spPr/>
    </dgm:pt>
    <dgm:pt modelId="{E1C32AA9-EA7C-4808-B4D3-1841E6F28D3B}" type="pres">
      <dgm:prSet presAssocID="{DA1B7734-88CD-4265-A6B5-356289D2FC4C}" presName="Name37" presStyleLbl="parChTrans1D4" presStyleIdx="7" presStyleCnt="15"/>
      <dgm:spPr/>
    </dgm:pt>
    <dgm:pt modelId="{32DBCD41-2741-4A95-B6E0-2268AA872391}" type="pres">
      <dgm:prSet presAssocID="{9BB1A269-C4A0-4ADE-878F-CED08C0AC334}" presName="hierRoot2" presStyleCnt="0">
        <dgm:presLayoutVars>
          <dgm:hierBranch val="init"/>
        </dgm:presLayoutVars>
      </dgm:prSet>
      <dgm:spPr/>
    </dgm:pt>
    <dgm:pt modelId="{8D879E6A-ED42-4D0F-8B15-33AC3D63CBDC}" type="pres">
      <dgm:prSet presAssocID="{9BB1A269-C4A0-4ADE-878F-CED08C0AC334}" presName="rootComposite" presStyleCnt="0"/>
      <dgm:spPr/>
    </dgm:pt>
    <dgm:pt modelId="{84A50A7B-60D2-4A2B-B52A-689F862C4CAE}" type="pres">
      <dgm:prSet presAssocID="{9BB1A269-C4A0-4ADE-878F-CED08C0AC334}" presName="rootText" presStyleLbl="node4" presStyleIdx="7" presStyleCnt="15" custScaleY="169599">
        <dgm:presLayoutVars>
          <dgm:chPref val="3"/>
        </dgm:presLayoutVars>
      </dgm:prSet>
      <dgm:spPr/>
    </dgm:pt>
    <dgm:pt modelId="{F11B7AC5-7DDD-4173-A8FB-DA6BD033B896}" type="pres">
      <dgm:prSet presAssocID="{9BB1A269-C4A0-4ADE-878F-CED08C0AC334}" presName="rootConnector" presStyleLbl="node4" presStyleIdx="7" presStyleCnt="15"/>
      <dgm:spPr/>
    </dgm:pt>
    <dgm:pt modelId="{3DB88931-FF7A-44D7-B75F-F5322BA9428D}" type="pres">
      <dgm:prSet presAssocID="{9BB1A269-C4A0-4ADE-878F-CED08C0AC334}" presName="hierChild4" presStyleCnt="0"/>
      <dgm:spPr/>
    </dgm:pt>
    <dgm:pt modelId="{845C7877-C1FC-4858-BF88-B138EF0C228B}" type="pres">
      <dgm:prSet presAssocID="{9BB1A269-C4A0-4ADE-878F-CED08C0AC334}" presName="hierChild5" presStyleCnt="0"/>
      <dgm:spPr/>
    </dgm:pt>
    <dgm:pt modelId="{C0E94C5F-45B9-42F7-981A-A0FF9D584E38}" type="pres">
      <dgm:prSet presAssocID="{37C21DA8-2534-4A8E-916B-6B5C521DDB0F}" presName="Name37" presStyleLbl="parChTrans1D4" presStyleIdx="8" presStyleCnt="15"/>
      <dgm:spPr/>
    </dgm:pt>
    <dgm:pt modelId="{C08B9D74-A940-474C-89DF-EAD4365E267A}" type="pres">
      <dgm:prSet presAssocID="{DBFB8FC5-158A-4E40-945E-57A814B06818}" presName="hierRoot2" presStyleCnt="0">
        <dgm:presLayoutVars>
          <dgm:hierBranch val="init"/>
        </dgm:presLayoutVars>
      </dgm:prSet>
      <dgm:spPr/>
    </dgm:pt>
    <dgm:pt modelId="{3405CD9A-ED18-4E98-BC60-1FD0565329F8}" type="pres">
      <dgm:prSet presAssocID="{DBFB8FC5-158A-4E40-945E-57A814B06818}" presName="rootComposite" presStyleCnt="0"/>
      <dgm:spPr/>
    </dgm:pt>
    <dgm:pt modelId="{D07AD9F5-8177-47FB-BDE8-66D829CF0DE7}" type="pres">
      <dgm:prSet presAssocID="{DBFB8FC5-158A-4E40-945E-57A814B06818}" presName="rootText" presStyleLbl="node4" presStyleIdx="8" presStyleCnt="15" custScaleY="165560">
        <dgm:presLayoutVars>
          <dgm:chPref val="3"/>
        </dgm:presLayoutVars>
      </dgm:prSet>
      <dgm:spPr/>
    </dgm:pt>
    <dgm:pt modelId="{D85D43EE-4B9E-489C-93CE-4B3771251842}" type="pres">
      <dgm:prSet presAssocID="{DBFB8FC5-158A-4E40-945E-57A814B06818}" presName="rootConnector" presStyleLbl="node4" presStyleIdx="8" presStyleCnt="15"/>
      <dgm:spPr/>
    </dgm:pt>
    <dgm:pt modelId="{BBF3C4DF-3EEF-46B5-8215-A80560D46386}" type="pres">
      <dgm:prSet presAssocID="{DBFB8FC5-158A-4E40-945E-57A814B06818}" presName="hierChild4" presStyleCnt="0"/>
      <dgm:spPr/>
    </dgm:pt>
    <dgm:pt modelId="{CD8318E3-3309-4454-B8B6-962ADB95FEB9}" type="pres">
      <dgm:prSet presAssocID="{DBFB8FC5-158A-4E40-945E-57A814B06818}" presName="hierChild5" presStyleCnt="0"/>
      <dgm:spPr/>
    </dgm:pt>
    <dgm:pt modelId="{7E130E28-DD3E-4475-93E3-84395E1F4455}" type="pres">
      <dgm:prSet presAssocID="{B01370D4-2853-47A4-866A-4A97016FF95D}" presName="hierChild5" presStyleCnt="0"/>
      <dgm:spPr/>
    </dgm:pt>
    <dgm:pt modelId="{199C72A4-7C3F-4B87-9EFD-B0F4DD003904}" type="pres">
      <dgm:prSet presAssocID="{69CF657A-EF02-4376-A196-140E489547E1}" presName="Name37" presStyleLbl="parChTrans1D3" presStyleIdx="12" presStyleCnt="19"/>
      <dgm:spPr/>
    </dgm:pt>
    <dgm:pt modelId="{4379FC46-A91C-4C16-B636-2D34DC53D5F5}" type="pres">
      <dgm:prSet presAssocID="{8DD9E066-0ECB-4617-8A0D-095B1AC3482A}" presName="hierRoot2" presStyleCnt="0">
        <dgm:presLayoutVars>
          <dgm:hierBranch val="init"/>
        </dgm:presLayoutVars>
      </dgm:prSet>
      <dgm:spPr/>
    </dgm:pt>
    <dgm:pt modelId="{41CE8AEE-E0C0-4547-857D-543029C549ED}" type="pres">
      <dgm:prSet presAssocID="{8DD9E066-0ECB-4617-8A0D-095B1AC3482A}" presName="rootComposite" presStyleCnt="0"/>
      <dgm:spPr/>
    </dgm:pt>
    <dgm:pt modelId="{7FD4A329-920A-4F4B-9DB5-CCC545C7180E}" type="pres">
      <dgm:prSet presAssocID="{8DD9E066-0ECB-4617-8A0D-095B1AC3482A}" presName="rootText" presStyleLbl="node3" presStyleIdx="12" presStyleCnt="19">
        <dgm:presLayoutVars>
          <dgm:chPref val="3"/>
        </dgm:presLayoutVars>
      </dgm:prSet>
      <dgm:spPr/>
    </dgm:pt>
    <dgm:pt modelId="{6D422B89-1D73-48D4-838C-9B7DD8E82D30}" type="pres">
      <dgm:prSet presAssocID="{8DD9E066-0ECB-4617-8A0D-095B1AC3482A}" presName="rootConnector" presStyleLbl="node3" presStyleIdx="12" presStyleCnt="19"/>
      <dgm:spPr/>
    </dgm:pt>
    <dgm:pt modelId="{5353AFD9-D17F-4A05-8380-8E5F8FDE7041}" type="pres">
      <dgm:prSet presAssocID="{8DD9E066-0ECB-4617-8A0D-095B1AC3482A}" presName="hierChild4" presStyleCnt="0"/>
      <dgm:spPr/>
    </dgm:pt>
    <dgm:pt modelId="{9ABAB7AE-AB69-480E-8777-B23944DB7411}" type="pres">
      <dgm:prSet presAssocID="{C7517365-7932-4259-8601-4CB4FB13EED1}" presName="Name37" presStyleLbl="parChTrans1D4" presStyleIdx="9" presStyleCnt="15"/>
      <dgm:spPr/>
    </dgm:pt>
    <dgm:pt modelId="{01C21C31-7082-42EB-AE51-E35D414C4F31}" type="pres">
      <dgm:prSet presAssocID="{99FA963A-A7A6-4E91-A4A0-A668DC9B42B6}" presName="hierRoot2" presStyleCnt="0">
        <dgm:presLayoutVars>
          <dgm:hierBranch val="init"/>
        </dgm:presLayoutVars>
      </dgm:prSet>
      <dgm:spPr/>
    </dgm:pt>
    <dgm:pt modelId="{61A175D5-40D3-4ED4-A64F-7ECBCC41C292}" type="pres">
      <dgm:prSet presAssocID="{99FA963A-A7A6-4E91-A4A0-A668DC9B42B6}" presName="rootComposite" presStyleCnt="0"/>
      <dgm:spPr/>
    </dgm:pt>
    <dgm:pt modelId="{9FCCD135-E90F-4B6C-9D2B-902C4BE2A5BB}" type="pres">
      <dgm:prSet presAssocID="{99FA963A-A7A6-4E91-A4A0-A668DC9B42B6}" presName="rootText" presStyleLbl="node4" presStyleIdx="9" presStyleCnt="15">
        <dgm:presLayoutVars>
          <dgm:chPref val="3"/>
        </dgm:presLayoutVars>
      </dgm:prSet>
      <dgm:spPr/>
    </dgm:pt>
    <dgm:pt modelId="{91AD99CD-A893-40B8-8A03-9987B933248C}" type="pres">
      <dgm:prSet presAssocID="{99FA963A-A7A6-4E91-A4A0-A668DC9B42B6}" presName="rootConnector" presStyleLbl="node4" presStyleIdx="9" presStyleCnt="15"/>
      <dgm:spPr/>
    </dgm:pt>
    <dgm:pt modelId="{B8D2A03A-656D-41AD-8583-07340FC01355}" type="pres">
      <dgm:prSet presAssocID="{99FA963A-A7A6-4E91-A4A0-A668DC9B42B6}" presName="hierChild4" presStyleCnt="0"/>
      <dgm:spPr/>
    </dgm:pt>
    <dgm:pt modelId="{0815BDE7-F994-415E-8D05-FCA9831BCC4E}" type="pres">
      <dgm:prSet presAssocID="{99FA963A-A7A6-4E91-A4A0-A668DC9B42B6}" presName="hierChild5" presStyleCnt="0"/>
      <dgm:spPr/>
    </dgm:pt>
    <dgm:pt modelId="{6C987B7D-46DD-47BE-BCEB-F5666FFA75B0}" type="pres">
      <dgm:prSet presAssocID="{AD8C3554-BD01-42E6-B5AE-D28856418354}" presName="Name37" presStyleLbl="parChTrans1D4" presStyleIdx="10" presStyleCnt="15"/>
      <dgm:spPr/>
    </dgm:pt>
    <dgm:pt modelId="{BBA34C64-3AA5-4E0A-96BA-2230D0C5A587}" type="pres">
      <dgm:prSet presAssocID="{D969DAFB-24E4-41B5-8647-4329B1131ED7}" presName="hierRoot2" presStyleCnt="0">
        <dgm:presLayoutVars>
          <dgm:hierBranch val="init"/>
        </dgm:presLayoutVars>
      </dgm:prSet>
      <dgm:spPr/>
    </dgm:pt>
    <dgm:pt modelId="{776128B2-524A-4749-9518-36A0DE3A8D15}" type="pres">
      <dgm:prSet presAssocID="{D969DAFB-24E4-41B5-8647-4329B1131ED7}" presName="rootComposite" presStyleCnt="0"/>
      <dgm:spPr/>
    </dgm:pt>
    <dgm:pt modelId="{1E311D21-7CA4-415B-9E2D-932D13911389}" type="pres">
      <dgm:prSet presAssocID="{D969DAFB-24E4-41B5-8647-4329B1131ED7}" presName="rootText" presStyleLbl="node4" presStyleIdx="10" presStyleCnt="15">
        <dgm:presLayoutVars>
          <dgm:chPref val="3"/>
        </dgm:presLayoutVars>
      </dgm:prSet>
      <dgm:spPr/>
    </dgm:pt>
    <dgm:pt modelId="{941364D0-DED6-40DF-8C84-91367627847B}" type="pres">
      <dgm:prSet presAssocID="{D969DAFB-24E4-41B5-8647-4329B1131ED7}" presName="rootConnector" presStyleLbl="node4" presStyleIdx="10" presStyleCnt="15"/>
      <dgm:spPr/>
    </dgm:pt>
    <dgm:pt modelId="{F0A3BF5C-C5C1-4AB7-93D4-23235F57E207}" type="pres">
      <dgm:prSet presAssocID="{D969DAFB-24E4-41B5-8647-4329B1131ED7}" presName="hierChild4" presStyleCnt="0"/>
      <dgm:spPr/>
    </dgm:pt>
    <dgm:pt modelId="{A93F460B-3EC7-4C8D-A5C4-D014D5DD5BB4}" type="pres">
      <dgm:prSet presAssocID="{D969DAFB-24E4-41B5-8647-4329B1131ED7}" presName="hierChild5" presStyleCnt="0"/>
      <dgm:spPr/>
    </dgm:pt>
    <dgm:pt modelId="{E0C06634-84D8-4749-990A-8782187FE574}" type="pres">
      <dgm:prSet presAssocID="{09F4C3E2-D8A7-44FF-8544-EAFAE23F8BD2}" presName="Name37" presStyleLbl="parChTrans1D4" presStyleIdx="11" presStyleCnt="15"/>
      <dgm:spPr/>
    </dgm:pt>
    <dgm:pt modelId="{E8EEB99F-BC2D-4551-9C29-7F5EFEAC13D1}" type="pres">
      <dgm:prSet presAssocID="{BD1CF57D-1F7B-4699-9DB5-AEF9238DCEAB}" presName="hierRoot2" presStyleCnt="0">
        <dgm:presLayoutVars>
          <dgm:hierBranch val="init"/>
        </dgm:presLayoutVars>
      </dgm:prSet>
      <dgm:spPr/>
    </dgm:pt>
    <dgm:pt modelId="{2BE4C1A7-CE10-4B81-9BC6-3416384940AE}" type="pres">
      <dgm:prSet presAssocID="{BD1CF57D-1F7B-4699-9DB5-AEF9238DCEAB}" presName="rootComposite" presStyleCnt="0"/>
      <dgm:spPr/>
    </dgm:pt>
    <dgm:pt modelId="{D5EE33B5-567D-4482-B1C5-125117CA93B9}" type="pres">
      <dgm:prSet presAssocID="{BD1CF57D-1F7B-4699-9DB5-AEF9238DCEAB}" presName="rootText" presStyleLbl="node4" presStyleIdx="11" presStyleCnt="15">
        <dgm:presLayoutVars>
          <dgm:chPref val="3"/>
        </dgm:presLayoutVars>
      </dgm:prSet>
      <dgm:spPr/>
    </dgm:pt>
    <dgm:pt modelId="{C373B634-3655-4C41-A7A3-E3AECFBE96B3}" type="pres">
      <dgm:prSet presAssocID="{BD1CF57D-1F7B-4699-9DB5-AEF9238DCEAB}" presName="rootConnector" presStyleLbl="node4" presStyleIdx="11" presStyleCnt="15"/>
      <dgm:spPr/>
    </dgm:pt>
    <dgm:pt modelId="{01A4D2BC-8BE4-4E35-BB4D-61450CA1C86C}" type="pres">
      <dgm:prSet presAssocID="{BD1CF57D-1F7B-4699-9DB5-AEF9238DCEAB}" presName="hierChild4" presStyleCnt="0"/>
      <dgm:spPr/>
    </dgm:pt>
    <dgm:pt modelId="{C64679F5-72F6-43EE-BE26-A078EA77EDFB}" type="pres">
      <dgm:prSet presAssocID="{BD1CF57D-1F7B-4699-9DB5-AEF9238DCEAB}" presName="hierChild5" presStyleCnt="0"/>
      <dgm:spPr/>
    </dgm:pt>
    <dgm:pt modelId="{7E301CEB-439E-4CA2-9AF8-F4EBA985C217}" type="pres">
      <dgm:prSet presAssocID="{8DD9E066-0ECB-4617-8A0D-095B1AC3482A}" presName="hierChild5" presStyleCnt="0"/>
      <dgm:spPr/>
    </dgm:pt>
    <dgm:pt modelId="{0BD7E706-A9AA-4557-8326-B1D0235D2675}" type="pres">
      <dgm:prSet presAssocID="{2A80E82B-E213-496D-B6B8-ABB24EB84D9D}" presName="Name37" presStyleLbl="parChTrans1D3" presStyleIdx="13" presStyleCnt="19"/>
      <dgm:spPr/>
    </dgm:pt>
    <dgm:pt modelId="{3347F7EE-6836-4F0A-971A-0607AFA0519E}" type="pres">
      <dgm:prSet presAssocID="{779601E9-E0CE-4D22-A3A0-C9194C494FAE}" presName="hierRoot2" presStyleCnt="0">
        <dgm:presLayoutVars>
          <dgm:hierBranch val="init"/>
        </dgm:presLayoutVars>
      </dgm:prSet>
      <dgm:spPr/>
    </dgm:pt>
    <dgm:pt modelId="{8B333CB8-731C-4DB3-A434-1CC739180144}" type="pres">
      <dgm:prSet presAssocID="{779601E9-E0CE-4D22-A3A0-C9194C494FAE}" presName="rootComposite" presStyleCnt="0"/>
      <dgm:spPr/>
    </dgm:pt>
    <dgm:pt modelId="{D8F23E08-5D29-4308-AEA9-8D6199B0BF93}" type="pres">
      <dgm:prSet presAssocID="{779601E9-E0CE-4D22-A3A0-C9194C494FAE}" presName="rootText" presStyleLbl="node3" presStyleIdx="13" presStyleCnt="19" custScaleY="131203">
        <dgm:presLayoutVars>
          <dgm:chPref val="3"/>
        </dgm:presLayoutVars>
      </dgm:prSet>
      <dgm:spPr/>
    </dgm:pt>
    <dgm:pt modelId="{EAC8E7D6-DCCA-4D8D-99C9-9E5F03E662FE}" type="pres">
      <dgm:prSet presAssocID="{779601E9-E0CE-4D22-A3A0-C9194C494FAE}" presName="rootConnector" presStyleLbl="node3" presStyleIdx="13" presStyleCnt="19"/>
      <dgm:spPr/>
    </dgm:pt>
    <dgm:pt modelId="{7F103F8B-E825-4E8A-9B61-6BA3CEDB5BF1}" type="pres">
      <dgm:prSet presAssocID="{779601E9-E0CE-4D22-A3A0-C9194C494FAE}" presName="hierChild4" presStyleCnt="0"/>
      <dgm:spPr/>
    </dgm:pt>
    <dgm:pt modelId="{24DC50C2-23B0-4DA3-A586-D447C26BDA73}" type="pres">
      <dgm:prSet presAssocID="{225EF0AE-B0E6-4B44-BDE4-CC4122F3FF11}" presName="Name37" presStyleLbl="parChTrans1D4" presStyleIdx="12" presStyleCnt="15"/>
      <dgm:spPr/>
    </dgm:pt>
    <dgm:pt modelId="{4AEAAEE1-AE55-4792-9435-FBBE214A9477}" type="pres">
      <dgm:prSet presAssocID="{4C7FBFA3-8DEC-4AF6-884D-AF9E6717B011}" presName="hierRoot2" presStyleCnt="0">
        <dgm:presLayoutVars>
          <dgm:hierBranch val="init"/>
        </dgm:presLayoutVars>
      </dgm:prSet>
      <dgm:spPr/>
    </dgm:pt>
    <dgm:pt modelId="{CF4E4602-DD73-45AA-A052-B5E9C42BC9E0}" type="pres">
      <dgm:prSet presAssocID="{4C7FBFA3-8DEC-4AF6-884D-AF9E6717B011}" presName="rootComposite" presStyleCnt="0"/>
      <dgm:spPr/>
    </dgm:pt>
    <dgm:pt modelId="{130B7FC3-6A35-4301-9BEF-942CD8FD2C37}" type="pres">
      <dgm:prSet presAssocID="{4C7FBFA3-8DEC-4AF6-884D-AF9E6717B011}" presName="rootText" presStyleLbl="node4" presStyleIdx="12" presStyleCnt="15" custScaleY="211471">
        <dgm:presLayoutVars>
          <dgm:chPref val="3"/>
        </dgm:presLayoutVars>
      </dgm:prSet>
      <dgm:spPr/>
    </dgm:pt>
    <dgm:pt modelId="{27C215B2-6B44-4C2D-A0B1-36FCA3AB53A0}" type="pres">
      <dgm:prSet presAssocID="{4C7FBFA3-8DEC-4AF6-884D-AF9E6717B011}" presName="rootConnector" presStyleLbl="node4" presStyleIdx="12" presStyleCnt="15"/>
      <dgm:spPr/>
    </dgm:pt>
    <dgm:pt modelId="{97416791-C289-4982-BF60-141E794D66FE}" type="pres">
      <dgm:prSet presAssocID="{4C7FBFA3-8DEC-4AF6-884D-AF9E6717B011}" presName="hierChild4" presStyleCnt="0"/>
      <dgm:spPr/>
    </dgm:pt>
    <dgm:pt modelId="{7B531E57-EE99-4A28-A0A6-44F2E577B457}" type="pres">
      <dgm:prSet presAssocID="{4C7FBFA3-8DEC-4AF6-884D-AF9E6717B011}" presName="hierChild5" presStyleCnt="0"/>
      <dgm:spPr/>
    </dgm:pt>
    <dgm:pt modelId="{C2BCC7E7-1FAE-4160-8D59-B6D7EF3ED566}" type="pres">
      <dgm:prSet presAssocID="{9705E00F-A711-40BD-9B95-4F10876FC125}" presName="Name37" presStyleLbl="parChTrans1D4" presStyleIdx="13" presStyleCnt="15"/>
      <dgm:spPr/>
    </dgm:pt>
    <dgm:pt modelId="{D4BBE441-3657-4261-B467-C55675F26C5B}" type="pres">
      <dgm:prSet presAssocID="{26DC3FAB-0CB5-4A22-943F-F0362D9BA68C}" presName="hierRoot2" presStyleCnt="0">
        <dgm:presLayoutVars>
          <dgm:hierBranch val="init"/>
        </dgm:presLayoutVars>
      </dgm:prSet>
      <dgm:spPr/>
    </dgm:pt>
    <dgm:pt modelId="{05277D88-0908-4B0B-9CB7-8B3A4FD811C6}" type="pres">
      <dgm:prSet presAssocID="{26DC3FAB-0CB5-4A22-943F-F0362D9BA68C}" presName="rootComposite" presStyleCnt="0"/>
      <dgm:spPr/>
    </dgm:pt>
    <dgm:pt modelId="{C681176A-5E9E-400C-952B-90359E6677E5}" type="pres">
      <dgm:prSet presAssocID="{26DC3FAB-0CB5-4A22-943F-F0362D9BA68C}" presName="rootText" presStyleLbl="node4" presStyleIdx="13" presStyleCnt="15" custScaleY="219072">
        <dgm:presLayoutVars>
          <dgm:chPref val="3"/>
        </dgm:presLayoutVars>
      </dgm:prSet>
      <dgm:spPr/>
    </dgm:pt>
    <dgm:pt modelId="{B0CE055D-8FE7-4008-869D-A2DC42C06C38}" type="pres">
      <dgm:prSet presAssocID="{26DC3FAB-0CB5-4A22-943F-F0362D9BA68C}" presName="rootConnector" presStyleLbl="node4" presStyleIdx="13" presStyleCnt="15"/>
      <dgm:spPr/>
    </dgm:pt>
    <dgm:pt modelId="{524A7F43-C0BC-47CB-B864-444A6E110212}" type="pres">
      <dgm:prSet presAssocID="{26DC3FAB-0CB5-4A22-943F-F0362D9BA68C}" presName="hierChild4" presStyleCnt="0"/>
      <dgm:spPr/>
    </dgm:pt>
    <dgm:pt modelId="{317C795E-02D8-4E91-80D6-30DE8EC07BC8}" type="pres">
      <dgm:prSet presAssocID="{26DC3FAB-0CB5-4A22-943F-F0362D9BA68C}" presName="hierChild5" presStyleCnt="0"/>
      <dgm:spPr/>
    </dgm:pt>
    <dgm:pt modelId="{2F0C8E14-97F8-46E7-9984-5515C8C2A5E4}" type="pres">
      <dgm:prSet presAssocID="{CA6A4869-7886-4C21-A367-E90492D09A0D}" presName="Name37" presStyleLbl="parChTrans1D4" presStyleIdx="14" presStyleCnt="15"/>
      <dgm:spPr/>
    </dgm:pt>
    <dgm:pt modelId="{BC345C52-1770-4646-9D31-1AE7217800E3}" type="pres">
      <dgm:prSet presAssocID="{B9498B0E-039F-4C28-9B14-125D7F74195C}" presName="hierRoot2" presStyleCnt="0">
        <dgm:presLayoutVars>
          <dgm:hierBranch val="init"/>
        </dgm:presLayoutVars>
      </dgm:prSet>
      <dgm:spPr/>
    </dgm:pt>
    <dgm:pt modelId="{C2A2B559-88C3-4CBE-9C8B-FEEBB834A808}" type="pres">
      <dgm:prSet presAssocID="{B9498B0E-039F-4C28-9B14-125D7F74195C}" presName="rootComposite" presStyleCnt="0"/>
      <dgm:spPr/>
    </dgm:pt>
    <dgm:pt modelId="{9F9CC618-C9C8-40A2-A592-69412EE24BE6}" type="pres">
      <dgm:prSet presAssocID="{B9498B0E-039F-4C28-9B14-125D7F74195C}" presName="rootText" presStyleLbl="node4" presStyleIdx="14" presStyleCnt="15" custScaleY="203531">
        <dgm:presLayoutVars>
          <dgm:chPref val="3"/>
        </dgm:presLayoutVars>
      </dgm:prSet>
      <dgm:spPr/>
    </dgm:pt>
    <dgm:pt modelId="{EED45A50-15A6-4057-86DE-93648771F1BF}" type="pres">
      <dgm:prSet presAssocID="{B9498B0E-039F-4C28-9B14-125D7F74195C}" presName="rootConnector" presStyleLbl="node4" presStyleIdx="14" presStyleCnt="15"/>
      <dgm:spPr/>
    </dgm:pt>
    <dgm:pt modelId="{4A6464F7-F2BD-46F3-82E5-539EE60A645B}" type="pres">
      <dgm:prSet presAssocID="{B9498B0E-039F-4C28-9B14-125D7F74195C}" presName="hierChild4" presStyleCnt="0"/>
      <dgm:spPr/>
    </dgm:pt>
    <dgm:pt modelId="{8905EA35-E1E3-400D-B560-A47F17F479BD}" type="pres">
      <dgm:prSet presAssocID="{B9498B0E-039F-4C28-9B14-125D7F74195C}" presName="hierChild5" presStyleCnt="0"/>
      <dgm:spPr/>
    </dgm:pt>
    <dgm:pt modelId="{82191217-BDFD-4276-8D14-F32B76059E19}" type="pres">
      <dgm:prSet presAssocID="{779601E9-E0CE-4D22-A3A0-C9194C494FAE}" presName="hierChild5" presStyleCnt="0"/>
      <dgm:spPr/>
    </dgm:pt>
    <dgm:pt modelId="{897E3575-BBF9-4A4B-B36B-C9172A2767A5}" type="pres">
      <dgm:prSet presAssocID="{56CCDB45-ED03-4BCE-9E63-6E25DA37D7FA}" presName="Name37" presStyleLbl="parChTrans1D3" presStyleIdx="14" presStyleCnt="19"/>
      <dgm:spPr/>
    </dgm:pt>
    <dgm:pt modelId="{65403DD3-8745-4055-BBA7-6B44AA4ABBE4}" type="pres">
      <dgm:prSet presAssocID="{59AB3DD7-F6A3-4488-86AE-71BA94E45BA3}" presName="hierRoot2" presStyleCnt="0">
        <dgm:presLayoutVars>
          <dgm:hierBranch val="init"/>
        </dgm:presLayoutVars>
      </dgm:prSet>
      <dgm:spPr/>
    </dgm:pt>
    <dgm:pt modelId="{3492800C-0917-4086-979E-BA02E861A9E5}" type="pres">
      <dgm:prSet presAssocID="{59AB3DD7-F6A3-4488-86AE-71BA94E45BA3}" presName="rootComposite" presStyleCnt="0"/>
      <dgm:spPr/>
    </dgm:pt>
    <dgm:pt modelId="{727EABAC-E6EB-4ECC-9ECB-51508764F886}" type="pres">
      <dgm:prSet presAssocID="{59AB3DD7-F6A3-4488-86AE-71BA94E45BA3}" presName="rootText" presStyleLbl="node3" presStyleIdx="14" presStyleCnt="19">
        <dgm:presLayoutVars>
          <dgm:chPref val="3"/>
        </dgm:presLayoutVars>
      </dgm:prSet>
      <dgm:spPr/>
    </dgm:pt>
    <dgm:pt modelId="{C931C5D8-649E-4C2B-81A4-A483392B1018}" type="pres">
      <dgm:prSet presAssocID="{59AB3DD7-F6A3-4488-86AE-71BA94E45BA3}" presName="rootConnector" presStyleLbl="node3" presStyleIdx="14" presStyleCnt="19"/>
      <dgm:spPr/>
    </dgm:pt>
    <dgm:pt modelId="{7A6CB0F7-5B37-490C-9729-90E43F3F0DCF}" type="pres">
      <dgm:prSet presAssocID="{59AB3DD7-F6A3-4488-86AE-71BA94E45BA3}" presName="hierChild4" presStyleCnt="0"/>
      <dgm:spPr/>
    </dgm:pt>
    <dgm:pt modelId="{E27C269A-3E67-49D9-94CE-FDD3CA53519E}" type="pres">
      <dgm:prSet presAssocID="{59AB3DD7-F6A3-4488-86AE-71BA94E45BA3}" presName="hierChild5" presStyleCnt="0"/>
      <dgm:spPr/>
    </dgm:pt>
    <dgm:pt modelId="{194BF1A7-24B2-4B10-A670-075BF180D08B}" type="pres">
      <dgm:prSet presAssocID="{6CB6FDD2-5F7B-4EAA-84F3-9AE65DDC7EE7}" presName="Name37" presStyleLbl="parChTrans1D3" presStyleIdx="15" presStyleCnt="19"/>
      <dgm:spPr/>
    </dgm:pt>
    <dgm:pt modelId="{DDA89503-2593-4A47-83A1-A77A53905F63}" type="pres">
      <dgm:prSet presAssocID="{ACD10DD6-52F0-4828-9CBA-DFE8BD520B79}" presName="hierRoot2" presStyleCnt="0">
        <dgm:presLayoutVars>
          <dgm:hierBranch val="init"/>
        </dgm:presLayoutVars>
      </dgm:prSet>
      <dgm:spPr/>
    </dgm:pt>
    <dgm:pt modelId="{5733FFB4-A13E-4648-9ADF-67F44DE89C57}" type="pres">
      <dgm:prSet presAssocID="{ACD10DD6-52F0-4828-9CBA-DFE8BD520B79}" presName="rootComposite" presStyleCnt="0"/>
      <dgm:spPr/>
    </dgm:pt>
    <dgm:pt modelId="{831FB103-B871-427B-8749-BAD39B266098}" type="pres">
      <dgm:prSet presAssocID="{ACD10DD6-52F0-4828-9CBA-DFE8BD520B79}" presName="rootText" presStyleLbl="node3" presStyleIdx="15" presStyleCnt="19">
        <dgm:presLayoutVars>
          <dgm:chPref val="3"/>
        </dgm:presLayoutVars>
      </dgm:prSet>
      <dgm:spPr/>
    </dgm:pt>
    <dgm:pt modelId="{15A3F154-75E5-475D-9A11-26061F51CFB1}" type="pres">
      <dgm:prSet presAssocID="{ACD10DD6-52F0-4828-9CBA-DFE8BD520B79}" presName="rootConnector" presStyleLbl="node3" presStyleIdx="15" presStyleCnt="19"/>
      <dgm:spPr/>
    </dgm:pt>
    <dgm:pt modelId="{7AB84629-1569-468A-9482-F24AD26D068C}" type="pres">
      <dgm:prSet presAssocID="{ACD10DD6-52F0-4828-9CBA-DFE8BD520B79}" presName="hierChild4" presStyleCnt="0"/>
      <dgm:spPr/>
    </dgm:pt>
    <dgm:pt modelId="{DFBB6692-215E-43B3-BDCC-DDD226A8A002}" type="pres">
      <dgm:prSet presAssocID="{ACD10DD6-52F0-4828-9CBA-DFE8BD520B79}" presName="hierChild5" presStyleCnt="0"/>
      <dgm:spPr/>
    </dgm:pt>
    <dgm:pt modelId="{7AAE813D-E380-4743-870F-6447DB72296B}" type="pres">
      <dgm:prSet presAssocID="{727C45E2-EEBD-425E-B47F-8439866E70A9}" presName="Name37" presStyleLbl="parChTrans1D3" presStyleIdx="16" presStyleCnt="19"/>
      <dgm:spPr/>
    </dgm:pt>
    <dgm:pt modelId="{C823C03A-3079-4452-8DB8-91E2A9BAFC5A}" type="pres">
      <dgm:prSet presAssocID="{BCB7052D-73C1-41DE-9CB2-80E38DF350A2}" presName="hierRoot2" presStyleCnt="0">
        <dgm:presLayoutVars>
          <dgm:hierBranch val="init"/>
        </dgm:presLayoutVars>
      </dgm:prSet>
      <dgm:spPr/>
    </dgm:pt>
    <dgm:pt modelId="{07E7D395-117C-4944-8677-BD2108431A8E}" type="pres">
      <dgm:prSet presAssocID="{BCB7052D-73C1-41DE-9CB2-80E38DF350A2}" presName="rootComposite" presStyleCnt="0"/>
      <dgm:spPr/>
    </dgm:pt>
    <dgm:pt modelId="{939522BF-6EAA-4102-86AC-2FF7011DA04B}" type="pres">
      <dgm:prSet presAssocID="{BCB7052D-73C1-41DE-9CB2-80E38DF350A2}" presName="rootText" presStyleLbl="node3" presStyleIdx="16" presStyleCnt="19">
        <dgm:presLayoutVars>
          <dgm:chPref val="3"/>
        </dgm:presLayoutVars>
      </dgm:prSet>
      <dgm:spPr/>
    </dgm:pt>
    <dgm:pt modelId="{E3FB8A07-E621-4CE7-9F50-3C6D5721A336}" type="pres">
      <dgm:prSet presAssocID="{BCB7052D-73C1-41DE-9CB2-80E38DF350A2}" presName="rootConnector" presStyleLbl="node3" presStyleIdx="16" presStyleCnt="19"/>
      <dgm:spPr/>
    </dgm:pt>
    <dgm:pt modelId="{92EDAD88-E95F-409F-9ECB-9E3E16B16E56}" type="pres">
      <dgm:prSet presAssocID="{BCB7052D-73C1-41DE-9CB2-80E38DF350A2}" presName="hierChild4" presStyleCnt="0"/>
      <dgm:spPr/>
    </dgm:pt>
    <dgm:pt modelId="{EC02F6CF-DB9C-4528-B00F-9E065D87EFE2}" type="pres">
      <dgm:prSet presAssocID="{BCB7052D-73C1-41DE-9CB2-80E38DF350A2}" presName="hierChild5" presStyleCnt="0"/>
      <dgm:spPr/>
    </dgm:pt>
    <dgm:pt modelId="{D10E37A1-E6D9-4E92-840E-B176CCCCEBBA}" type="pres">
      <dgm:prSet presAssocID="{7ECFB21E-8572-44F6-8A05-9462C1200729}" presName="Name37" presStyleLbl="parChTrans1D3" presStyleIdx="17" presStyleCnt="19"/>
      <dgm:spPr/>
    </dgm:pt>
    <dgm:pt modelId="{F3C47799-BD05-4F87-A713-D72428AEE2CD}" type="pres">
      <dgm:prSet presAssocID="{12E231EC-F530-4D1F-91E6-4802502B9A35}" presName="hierRoot2" presStyleCnt="0">
        <dgm:presLayoutVars>
          <dgm:hierBranch val="init"/>
        </dgm:presLayoutVars>
      </dgm:prSet>
      <dgm:spPr/>
    </dgm:pt>
    <dgm:pt modelId="{CE39AAC5-C322-4446-9FA8-4367A792CEE1}" type="pres">
      <dgm:prSet presAssocID="{12E231EC-F530-4D1F-91E6-4802502B9A35}" presName="rootComposite" presStyleCnt="0"/>
      <dgm:spPr/>
    </dgm:pt>
    <dgm:pt modelId="{297A80B8-A380-4079-9228-131DB02DA979}" type="pres">
      <dgm:prSet presAssocID="{12E231EC-F530-4D1F-91E6-4802502B9A35}" presName="rootText" presStyleLbl="node3" presStyleIdx="17" presStyleCnt="19">
        <dgm:presLayoutVars>
          <dgm:chPref val="3"/>
        </dgm:presLayoutVars>
      </dgm:prSet>
      <dgm:spPr/>
    </dgm:pt>
    <dgm:pt modelId="{BCB2FD75-0B9A-42E0-AD12-18CC748D8F8E}" type="pres">
      <dgm:prSet presAssocID="{12E231EC-F530-4D1F-91E6-4802502B9A35}" presName="rootConnector" presStyleLbl="node3" presStyleIdx="17" presStyleCnt="19"/>
      <dgm:spPr/>
    </dgm:pt>
    <dgm:pt modelId="{5BEBA6D6-1639-4E82-83AA-F1903828A520}" type="pres">
      <dgm:prSet presAssocID="{12E231EC-F530-4D1F-91E6-4802502B9A35}" presName="hierChild4" presStyleCnt="0"/>
      <dgm:spPr/>
    </dgm:pt>
    <dgm:pt modelId="{8F13DF1C-02C7-4EE7-AA97-E84CEB7CEDD9}" type="pres">
      <dgm:prSet presAssocID="{12E231EC-F530-4D1F-91E6-4802502B9A35}" presName="hierChild5" presStyleCnt="0"/>
      <dgm:spPr/>
    </dgm:pt>
    <dgm:pt modelId="{C86D5F05-B912-436C-B34C-025BAB78B1F5}" type="pres">
      <dgm:prSet presAssocID="{F1D9FE59-DEF3-4C56-B290-707922BA87AF}" presName="Name37" presStyleLbl="parChTrans1D3" presStyleIdx="18" presStyleCnt="19"/>
      <dgm:spPr/>
    </dgm:pt>
    <dgm:pt modelId="{62DCEC6D-0E7A-4305-B17C-9E1B95855EF9}" type="pres">
      <dgm:prSet presAssocID="{F0870D6F-027F-41A8-AC5A-EF0E8A7D34F5}" presName="hierRoot2" presStyleCnt="0">
        <dgm:presLayoutVars>
          <dgm:hierBranch val="init"/>
        </dgm:presLayoutVars>
      </dgm:prSet>
      <dgm:spPr/>
    </dgm:pt>
    <dgm:pt modelId="{8EB41D55-2E3D-41A3-8AAE-D26349B4E876}" type="pres">
      <dgm:prSet presAssocID="{F0870D6F-027F-41A8-AC5A-EF0E8A7D34F5}" presName="rootComposite" presStyleCnt="0"/>
      <dgm:spPr/>
    </dgm:pt>
    <dgm:pt modelId="{EBBAA020-65AC-44E9-AA6C-5BB139F7EBFE}" type="pres">
      <dgm:prSet presAssocID="{F0870D6F-027F-41A8-AC5A-EF0E8A7D34F5}" presName="rootText" presStyleLbl="node3" presStyleIdx="18" presStyleCnt="19" custScaleY="134340">
        <dgm:presLayoutVars>
          <dgm:chPref val="3"/>
        </dgm:presLayoutVars>
      </dgm:prSet>
      <dgm:spPr/>
    </dgm:pt>
    <dgm:pt modelId="{EE86B355-145F-47D6-85E4-3A782F807ED7}" type="pres">
      <dgm:prSet presAssocID="{F0870D6F-027F-41A8-AC5A-EF0E8A7D34F5}" presName="rootConnector" presStyleLbl="node3" presStyleIdx="18" presStyleCnt="19"/>
      <dgm:spPr/>
    </dgm:pt>
    <dgm:pt modelId="{8A60E5C9-1E2E-4294-9EBE-4C025DE8EE69}" type="pres">
      <dgm:prSet presAssocID="{F0870D6F-027F-41A8-AC5A-EF0E8A7D34F5}" presName="hierChild4" presStyleCnt="0"/>
      <dgm:spPr/>
    </dgm:pt>
    <dgm:pt modelId="{CC19A947-346E-4FEC-80AD-AAD73A62C088}" type="pres">
      <dgm:prSet presAssocID="{F0870D6F-027F-41A8-AC5A-EF0E8A7D34F5}" presName="hierChild5" presStyleCnt="0"/>
      <dgm:spPr/>
    </dgm:pt>
    <dgm:pt modelId="{BAD43A9A-A73E-42E8-98B9-DF8F9421EE52}" type="pres">
      <dgm:prSet presAssocID="{A48BD8C1-399C-4313-AA5D-4CD1DD77A30D}" presName="hierChild5" presStyleCnt="0"/>
      <dgm:spPr/>
    </dgm:pt>
    <dgm:pt modelId="{A89BA18D-20D4-406C-B171-F48C8EAD4308}" type="pres">
      <dgm:prSet presAssocID="{E6120CBA-3FC2-4589-8F3A-284DFBC07748}" presName="Name37" presStyleLbl="parChTrans1D2" presStyleIdx="2" presStyleCnt="4"/>
      <dgm:spPr/>
    </dgm:pt>
    <dgm:pt modelId="{B15D91DB-8AB9-4A2C-A8C4-6B4254A083AA}" type="pres">
      <dgm:prSet presAssocID="{46EEA757-EE25-4F71-9434-0829C93B8116}" presName="hierRoot2" presStyleCnt="0">
        <dgm:presLayoutVars>
          <dgm:hierBranch val="init"/>
        </dgm:presLayoutVars>
      </dgm:prSet>
      <dgm:spPr/>
    </dgm:pt>
    <dgm:pt modelId="{6F8E605D-8AD6-4B25-8979-8342BA1270E5}" type="pres">
      <dgm:prSet presAssocID="{46EEA757-EE25-4F71-9434-0829C93B8116}" presName="rootComposite" presStyleCnt="0"/>
      <dgm:spPr/>
    </dgm:pt>
    <dgm:pt modelId="{EBFD5A82-221B-4E53-B240-7169901278B7}" type="pres">
      <dgm:prSet presAssocID="{46EEA757-EE25-4F71-9434-0829C93B8116}" presName="rootText" presStyleLbl="node2" presStyleIdx="2" presStyleCnt="4">
        <dgm:presLayoutVars>
          <dgm:chPref val="3"/>
        </dgm:presLayoutVars>
      </dgm:prSet>
      <dgm:spPr/>
    </dgm:pt>
    <dgm:pt modelId="{626B0918-3ABC-4B0F-B202-98E840B143FC}" type="pres">
      <dgm:prSet presAssocID="{46EEA757-EE25-4F71-9434-0829C93B8116}" presName="rootConnector" presStyleLbl="node2" presStyleIdx="2" presStyleCnt="4"/>
      <dgm:spPr/>
    </dgm:pt>
    <dgm:pt modelId="{D53BF63E-EA34-4305-8533-57A50623F25B}" type="pres">
      <dgm:prSet presAssocID="{46EEA757-EE25-4F71-9434-0829C93B8116}" presName="hierChild4" presStyleCnt="0"/>
      <dgm:spPr/>
    </dgm:pt>
    <dgm:pt modelId="{FB2771BC-C488-4A11-BE15-54ADC6A3424C}" type="pres">
      <dgm:prSet presAssocID="{46EEA757-EE25-4F71-9434-0829C93B8116}" presName="hierChild5" presStyleCnt="0"/>
      <dgm:spPr/>
    </dgm:pt>
    <dgm:pt modelId="{3380E809-917F-4AEC-B721-58D89CDC62B0}" type="pres">
      <dgm:prSet presAssocID="{295BACFD-9D62-4414-8AA6-DB212CEC9A13}" presName="Name37" presStyleLbl="parChTrans1D2" presStyleIdx="3" presStyleCnt="4"/>
      <dgm:spPr/>
    </dgm:pt>
    <dgm:pt modelId="{DF8B7ED1-3057-48C6-B601-E84FC3258FC8}" type="pres">
      <dgm:prSet presAssocID="{28493E4B-781F-47FE-8DF0-08D8B8D52F8C}" presName="hierRoot2" presStyleCnt="0">
        <dgm:presLayoutVars>
          <dgm:hierBranch val="init"/>
        </dgm:presLayoutVars>
      </dgm:prSet>
      <dgm:spPr/>
    </dgm:pt>
    <dgm:pt modelId="{6CB22A3D-F3FA-4FBC-B81A-D35267C8E3A8}" type="pres">
      <dgm:prSet presAssocID="{28493E4B-781F-47FE-8DF0-08D8B8D52F8C}" presName="rootComposite" presStyleCnt="0"/>
      <dgm:spPr/>
    </dgm:pt>
    <dgm:pt modelId="{C0BD0DC4-3C88-43D9-B7DF-04D34A458727}" type="pres">
      <dgm:prSet presAssocID="{28493E4B-781F-47FE-8DF0-08D8B8D52F8C}" presName="rootText" presStyleLbl="node2" presStyleIdx="3" presStyleCnt="4">
        <dgm:presLayoutVars>
          <dgm:chPref val="3"/>
        </dgm:presLayoutVars>
      </dgm:prSet>
      <dgm:spPr/>
    </dgm:pt>
    <dgm:pt modelId="{DAD39D86-F69B-4175-8B83-01E28DD665EC}" type="pres">
      <dgm:prSet presAssocID="{28493E4B-781F-47FE-8DF0-08D8B8D52F8C}" presName="rootConnector" presStyleLbl="node2" presStyleIdx="3" presStyleCnt="4"/>
      <dgm:spPr/>
    </dgm:pt>
    <dgm:pt modelId="{09C586A7-3E8A-4631-8119-8D491035E4D2}" type="pres">
      <dgm:prSet presAssocID="{28493E4B-781F-47FE-8DF0-08D8B8D52F8C}" presName="hierChild4" presStyleCnt="0"/>
      <dgm:spPr/>
    </dgm:pt>
    <dgm:pt modelId="{4C27B286-BE3C-4E20-9CD2-0C93E03318F8}" type="pres">
      <dgm:prSet presAssocID="{28493E4B-781F-47FE-8DF0-08D8B8D52F8C}" presName="hierChild5" presStyleCnt="0"/>
      <dgm:spPr/>
    </dgm:pt>
    <dgm:pt modelId="{819259E7-81DD-4E8D-B090-931406E9D1F3}" type="pres">
      <dgm:prSet presAssocID="{975458C8-D635-4638-BE39-5E447668D22D}" presName="hierChild3" presStyleCnt="0"/>
      <dgm:spPr/>
    </dgm:pt>
  </dgm:ptLst>
  <dgm:cxnLst>
    <dgm:cxn modelId="{0FBE8F01-8C31-4073-B5D2-374E2893B60B}" type="presOf" srcId="{F62A43A5-1035-4AC9-AB4E-47ED9130D2B7}" destId="{B0F94922-ED3D-4197-902B-F160F5E56078}" srcOrd="1" destOrd="0" presId="urn:microsoft.com/office/officeart/2005/8/layout/orgChart1"/>
    <dgm:cxn modelId="{2CD00304-61F3-4B58-B32C-FF87194BA672}" srcId="{A48BD8C1-399C-4313-AA5D-4CD1DD77A30D}" destId="{779601E9-E0CE-4D22-A3A0-C9194C494FAE}" srcOrd="4" destOrd="0" parTransId="{2A80E82B-E213-496D-B6B8-ABB24EB84D9D}" sibTransId="{9D2F0FC0-EFBC-448D-9636-781228A5155E}"/>
    <dgm:cxn modelId="{B91D6408-5DEF-4598-8AB0-333193E63D6B}" srcId="{8DD9E066-0ECB-4617-8A0D-095B1AC3482A}" destId="{D969DAFB-24E4-41B5-8647-4329B1131ED7}" srcOrd="1" destOrd="0" parTransId="{AD8C3554-BD01-42E6-B5AE-D28856418354}" sibTransId="{B17DD8D8-79B3-4BEC-B09F-02EE6071A133}"/>
    <dgm:cxn modelId="{B6D8BC11-E203-4B85-9EA0-CE5C9C541299}" srcId="{2DC33A98-0E7A-48BC-BC8A-1229B4513851}" destId="{96097FBF-076C-467B-A630-82F89328F6B8}" srcOrd="0" destOrd="0" parTransId="{2F12880C-FF2D-4929-AECD-C62628C1F365}" sibTransId="{77AB2528-34B0-4067-8183-639D1BC27DD4}"/>
    <dgm:cxn modelId="{CC0E5D14-C280-4E7A-AB30-C53248196B44}" type="presOf" srcId="{EBC69E2E-1A72-458B-AC72-864D30D06CEC}" destId="{2D362F3A-0F33-4CAF-A179-6432D4D60D08}" srcOrd="1" destOrd="0" presId="urn:microsoft.com/office/officeart/2005/8/layout/orgChart1"/>
    <dgm:cxn modelId="{8E734818-1EB2-4EA1-9323-AFC221E0BDA4}" type="presOf" srcId="{729AE946-47D9-403A-9492-20F6AFB9E04C}" destId="{6E8D8DD1-0F4B-44BC-84F1-A50CF5D32691}" srcOrd="0" destOrd="0" presId="urn:microsoft.com/office/officeart/2005/8/layout/orgChart1"/>
    <dgm:cxn modelId="{8F218418-9958-473E-BACB-ECB5C13614EE}" srcId="{2DC33A98-0E7A-48BC-BC8A-1229B4513851}" destId="{890DAD5A-84DD-46B1-B318-313CB4F54182}" srcOrd="1" destOrd="0" parTransId="{71F4579C-2386-4DF1-BFF7-6B3E74C18EDC}" sibTransId="{1FE24890-10C3-4B04-97E2-ECE79C66BA47}"/>
    <dgm:cxn modelId="{347F291B-43FE-400E-9E0D-F23CC280E37E}" srcId="{A48BD8C1-399C-4313-AA5D-4CD1DD77A30D}" destId="{B01370D4-2853-47A4-866A-4A97016FF95D}" srcOrd="2" destOrd="0" parTransId="{280C662E-F9DE-4414-84D4-210EE096F345}" sibTransId="{D1E86621-2349-46EB-8B78-3E0687068D06}"/>
    <dgm:cxn modelId="{3C30371B-51A9-49DC-BE85-F8518A495CBF}" type="presOf" srcId="{AFA4D985-EB68-4640-81E8-0436428BBC70}" destId="{16504EFE-B6D6-4EA7-8D2F-372F642B1FCF}" srcOrd="1" destOrd="0" presId="urn:microsoft.com/office/officeart/2005/8/layout/orgChart1"/>
    <dgm:cxn modelId="{F242931F-7DC2-41E2-830A-AB88A881D326}" srcId="{779601E9-E0CE-4D22-A3A0-C9194C494FAE}" destId="{4C7FBFA3-8DEC-4AF6-884D-AF9E6717B011}" srcOrd="0" destOrd="0" parTransId="{225EF0AE-B0E6-4B44-BDE4-CC4122F3FF11}" sibTransId="{75E3A81D-9657-460E-8A94-2331B05D859E}"/>
    <dgm:cxn modelId="{F196BE1F-232F-4921-86EC-A7C1FDB0CA65}" type="presOf" srcId="{2A80E82B-E213-496D-B6B8-ABB24EB84D9D}" destId="{0BD7E706-A9AA-4557-8326-B1D0235D2675}" srcOrd="0" destOrd="0" presId="urn:microsoft.com/office/officeart/2005/8/layout/orgChart1"/>
    <dgm:cxn modelId="{A9449C20-4664-404C-A8EB-C70010EC02ED}" type="presOf" srcId="{B238C85A-273E-47D9-94D0-6FF1D3DF40DF}" destId="{E6B59BB8-78FF-451B-9E5C-6D93470CDA05}" srcOrd="1" destOrd="0" presId="urn:microsoft.com/office/officeart/2005/8/layout/orgChart1"/>
    <dgm:cxn modelId="{B2951923-8310-4398-886C-6399708CC97F}" type="presOf" srcId="{FA122D1D-385A-4FB4-8A77-5BEDF6F84503}" destId="{53CD6ABA-0725-4620-9494-A23E205C0BF4}" srcOrd="0" destOrd="0" presId="urn:microsoft.com/office/officeart/2005/8/layout/orgChart1"/>
    <dgm:cxn modelId="{0826F423-31DA-4CBE-ACC7-6A79A086B37D}" type="presOf" srcId="{804662F9-4408-4BA0-A0DC-5678D41C3311}" destId="{09C6395B-4055-44E0-BA11-3DE1F5BF09B1}" srcOrd="0" destOrd="0" presId="urn:microsoft.com/office/officeart/2005/8/layout/orgChart1"/>
    <dgm:cxn modelId="{79558224-53B4-4F7E-8636-6FC138AFB505}" type="presOf" srcId="{F04E1CC1-A24A-4703-A6DD-ED854880BEB3}" destId="{844187E6-76FF-4929-BBE4-EE791A9ADF40}" srcOrd="0" destOrd="0" presId="urn:microsoft.com/office/officeart/2005/8/layout/orgChart1"/>
    <dgm:cxn modelId="{6B8AA225-1FF4-4517-B65D-F4318CACE437}" srcId="{779601E9-E0CE-4D22-A3A0-C9194C494FAE}" destId="{26DC3FAB-0CB5-4A22-943F-F0362D9BA68C}" srcOrd="1" destOrd="0" parTransId="{9705E00F-A711-40BD-9B95-4F10876FC125}" sibTransId="{25FD4BD8-9AEF-479C-A022-497CD0448C95}"/>
    <dgm:cxn modelId="{3B797D2D-D9EB-4B12-B49F-3FCF078ED566}" type="presOf" srcId="{54071397-FAC3-47D4-9D8C-F95A2366DB98}" destId="{1B588151-F45F-4E06-AA69-4B111166DF2A}" srcOrd="1" destOrd="0" presId="urn:microsoft.com/office/officeart/2005/8/layout/orgChart1"/>
    <dgm:cxn modelId="{A5362531-884F-4A05-AB71-6C787ABFDBD1}" type="presOf" srcId="{279F251E-2935-47CB-A336-1E75FA9D5EC4}" destId="{E9A0F54A-6335-44B3-947C-0BCBD9BA7B08}" srcOrd="0" destOrd="0" presId="urn:microsoft.com/office/officeart/2005/8/layout/orgChart1"/>
    <dgm:cxn modelId="{9D1FBB33-C8AA-42FC-981E-9C22E5029FEF}" type="presOf" srcId="{09F4C3E2-D8A7-44FF-8544-EAFAE23F8BD2}" destId="{E0C06634-84D8-4749-990A-8782187FE574}" srcOrd="0" destOrd="0" presId="urn:microsoft.com/office/officeart/2005/8/layout/orgChart1"/>
    <dgm:cxn modelId="{BD9AF336-5316-40DC-B9F6-7172D99066D4}" type="presOf" srcId="{28493E4B-781F-47FE-8DF0-08D8B8D52F8C}" destId="{DAD39D86-F69B-4175-8B83-01E28DD665EC}" srcOrd="1" destOrd="0" presId="urn:microsoft.com/office/officeart/2005/8/layout/orgChart1"/>
    <dgm:cxn modelId="{1F881737-97B9-4941-AD43-51FDF91EBAAE}" type="presOf" srcId="{279F251E-2935-47CB-A336-1E75FA9D5EC4}" destId="{3DAC9EE9-F7DF-439D-BBAF-24DBEDA1BE94}" srcOrd="1" destOrd="0" presId="urn:microsoft.com/office/officeart/2005/8/layout/orgChart1"/>
    <dgm:cxn modelId="{C18A5637-665D-4717-AE83-48B0B2386A52}" type="presOf" srcId="{DA1B7734-88CD-4265-A6B5-356289D2FC4C}" destId="{E1C32AA9-EA7C-4808-B4D3-1841E6F28D3B}" srcOrd="0" destOrd="0" presId="urn:microsoft.com/office/officeart/2005/8/layout/orgChart1"/>
    <dgm:cxn modelId="{75D2B539-8D48-4CF4-8701-82605A36C83B}" srcId="{B01370D4-2853-47A4-866A-4A97016FF95D}" destId="{9BB1A269-C4A0-4ADE-878F-CED08C0AC334}" srcOrd="1" destOrd="0" parTransId="{DA1B7734-88CD-4265-A6B5-356289D2FC4C}" sibTransId="{7D450E0C-C27A-4819-879D-F9A3863D6D52}"/>
    <dgm:cxn modelId="{CBB6483A-A3DB-4F10-9771-8A4CA0A02D3A}" type="presOf" srcId="{96097FBF-076C-467B-A630-82F89328F6B8}" destId="{E4596825-EFCF-4185-BCF1-CFCE152959D4}" srcOrd="1" destOrd="0" presId="urn:microsoft.com/office/officeart/2005/8/layout/orgChart1"/>
    <dgm:cxn modelId="{1CBBBE3C-7EFE-4095-9425-1BA0F038ED8D}" srcId="{A48BD8C1-399C-4313-AA5D-4CD1DD77A30D}" destId="{F0870D6F-027F-41A8-AC5A-EF0E8A7D34F5}" srcOrd="9" destOrd="0" parTransId="{F1D9FE59-DEF3-4C56-B290-707922BA87AF}" sibTransId="{7FBF73A2-0073-4108-945C-9B86061311D1}"/>
    <dgm:cxn modelId="{E7E2923E-B038-4DF1-A5A5-899C1864EFF7}" srcId="{D8BFFD7F-E1D2-468E-99E7-BC03B36E9AF2}" destId="{975458C8-D635-4638-BE39-5E447668D22D}" srcOrd="0" destOrd="0" parTransId="{E6C3345C-E91E-4420-8D31-67A809129746}" sibTransId="{E542E38E-8E7A-4D99-9678-1268F41AB09A}"/>
    <dgm:cxn modelId="{ED8A573F-446A-421B-8D55-E15D5F20675E}" type="presOf" srcId="{BD1CF57D-1F7B-4699-9DB5-AEF9238DCEAB}" destId="{C373B634-3655-4C41-A7A3-E3AECFBE96B3}" srcOrd="1" destOrd="0" presId="urn:microsoft.com/office/officeart/2005/8/layout/orgChart1"/>
    <dgm:cxn modelId="{77D22040-84BF-4B75-BB0F-B5A5B3D28038}" type="presOf" srcId="{1A840015-B867-45E3-ABFF-331A97938DE9}" destId="{1033855A-90A1-47ED-AFA3-6D0F8CE9AEAC}" srcOrd="1" destOrd="0" presId="urn:microsoft.com/office/officeart/2005/8/layout/orgChart1"/>
    <dgm:cxn modelId="{92C3985C-C8B1-46B5-8965-06D061E3E027}" srcId="{B01370D4-2853-47A4-866A-4A97016FF95D}" destId="{DBFB8FC5-158A-4E40-945E-57A814B06818}" srcOrd="2" destOrd="0" parTransId="{37C21DA8-2534-4A8E-916B-6B5C521DDB0F}" sibTransId="{2B666A27-9D23-447C-BB5B-7F7DDB852E83}"/>
    <dgm:cxn modelId="{7E54ED5D-525E-4913-8ED4-7A3E2A88819B}" type="presOf" srcId="{99FA963A-A7A6-4E91-A4A0-A668DC9B42B6}" destId="{9FCCD135-E90F-4B6C-9D2B-902C4BE2A5BB}" srcOrd="0" destOrd="0" presId="urn:microsoft.com/office/officeart/2005/8/layout/orgChart1"/>
    <dgm:cxn modelId="{DF98275E-685E-4748-AAF8-1CC5C3BEE174}" srcId="{E3704E9A-0E53-4145-BC73-7030D72573C5}" destId="{C37D100F-0580-410D-82CF-5F820F2E26B9}" srcOrd="1" destOrd="0" parTransId="{7FDB2D46-B252-4B8D-AEE2-9BA0B67C44AD}" sibTransId="{1D23E2D4-8FF3-4B2A-9073-08D485F6FF25}"/>
    <dgm:cxn modelId="{0262335E-D33E-4B13-8E33-BEC5BAA4ED14}" type="presOf" srcId="{56CCDB45-ED03-4BCE-9E63-6E25DA37D7FA}" destId="{897E3575-BBF9-4A4B-B36B-C9172A2767A5}" srcOrd="0" destOrd="0" presId="urn:microsoft.com/office/officeart/2005/8/layout/orgChart1"/>
    <dgm:cxn modelId="{8029B75E-98E1-4E73-8689-7133D5F494F2}" type="presOf" srcId="{D969DAFB-24E4-41B5-8647-4329B1131ED7}" destId="{941364D0-DED6-40DF-8C84-91367627847B}" srcOrd="1" destOrd="0" presId="urn:microsoft.com/office/officeart/2005/8/layout/orgChart1"/>
    <dgm:cxn modelId="{2D3C0162-9386-43E7-BB97-38B9EB61A4A4}" type="presOf" srcId="{E3704E9A-0E53-4145-BC73-7030D72573C5}" destId="{BD42B711-00B4-455C-B408-7B774E033724}" srcOrd="1" destOrd="0" presId="urn:microsoft.com/office/officeart/2005/8/layout/orgChart1"/>
    <dgm:cxn modelId="{88D67C42-4C78-431E-8A3C-F662786B29FC}" srcId="{779601E9-E0CE-4D22-A3A0-C9194C494FAE}" destId="{B9498B0E-039F-4C28-9B14-125D7F74195C}" srcOrd="2" destOrd="0" parTransId="{CA6A4869-7886-4C21-A367-E90492D09A0D}" sibTransId="{61561C98-B14C-49A6-A7C0-40E4673F3F1A}"/>
    <dgm:cxn modelId="{6E7F8C42-343D-4AD2-9603-8D68E7F3CA38}" type="presOf" srcId="{11B55C26-EE1C-4CFA-828E-7C4BB1A2AA3E}" destId="{45E8EB68-9C26-41A4-AA36-5C79AE50F00A}" srcOrd="1" destOrd="0" presId="urn:microsoft.com/office/officeart/2005/8/layout/orgChart1"/>
    <dgm:cxn modelId="{5B41A242-26F6-4F54-A0DA-E2B2DDFFC915}" srcId="{B01370D4-2853-47A4-866A-4A97016FF95D}" destId="{AFA4D985-EB68-4640-81E8-0436428BBC70}" srcOrd="0" destOrd="0" parTransId="{034290B6-A3AA-4D06-942B-B6CCBEB12D7C}" sibTransId="{753C7FE3-4AAB-4702-86FA-876D7B128864}"/>
    <dgm:cxn modelId="{9E730A63-736F-47EF-9D7D-FB12D49D7247}" type="presOf" srcId="{67710BEE-6738-4054-A0B8-80A4D9BD67BE}" destId="{8575F21B-968D-43FB-A171-9361C8D5EC87}" srcOrd="1" destOrd="0" presId="urn:microsoft.com/office/officeart/2005/8/layout/orgChart1"/>
    <dgm:cxn modelId="{40A91A64-7256-4AE3-9FC9-7EAF2BC87DF3}" type="presOf" srcId="{225EF0AE-B0E6-4B44-BDE4-CC4122F3FF11}" destId="{24DC50C2-23B0-4DA3-A586-D447C26BDA73}" srcOrd="0" destOrd="0" presId="urn:microsoft.com/office/officeart/2005/8/layout/orgChart1"/>
    <dgm:cxn modelId="{E36B3C64-414F-45A4-920D-47A8376EDA23}" srcId="{975458C8-D635-4638-BE39-5E447668D22D}" destId="{28493E4B-781F-47FE-8DF0-08D8B8D52F8C}" srcOrd="3" destOrd="0" parTransId="{295BACFD-9D62-4414-8AA6-DB212CEC9A13}" sibTransId="{F062F7C4-B08E-4F46-B02E-9D303A8A9ECD}"/>
    <dgm:cxn modelId="{30697A45-F0FF-4218-B714-2A60EED5528D}" type="presOf" srcId="{A48BD8C1-399C-4313-AA5D-4CD1DD77A30D}" destId="{7717E88C-8096-4D98-8C10-6F849847F33D}" srcOrd="0" destOrd="0" presId="urn:microsoft.com/office/officeart/2005/8/layout/orgChart1"/>
    <dgm:cxn modelId="{DA65E966-47D1-45A0-950F-AB782949A3E5}" type="presOf" srcId="{3C8C7172-E32D-401B-AAB4-13874244CA6C}" destId="{8E47A068-F4BD-41EA-8DFE-48076EA44852}" srcOrd="0" destOrd="0" presId="urn:microsoft.com/office/officeart/2005/8/layout/orgChart1"/>
    <dgm:cxn modelId="{23D84C67-D67D-4571-A43E-EF863FEE7732}" type="presOf" srcId="{26DC3FAB-0CB5-4A22-943F-F0362D9BA68C}" destId="{B0CE055D-8FE7-4008-869D-A2DC42C06C38}" srcOrd="1" destOrd="0" presId="urn:microsoft.com/office/officeart/2005/8/layout/orgChart1"/>
    <dgm:cxn modelId="{29806E67-F4D6-4C17-B736-2CB317E7FF9E}" type="presOf" srcId="{F0870D6F-027F-41A8-AC5A-EF0E8A7D34F5}" destId="{EBBAA020-65AC-44E9-AA6C-5BB139F7EBFE}" srcOrd="0" destOrd="0" presId="urn:microsoft.com/office/officeart/2005/8/layout/orgChart1"/>
    <dgm:cxn modelId="{B01DA847-FE37-47E8-95E5-F43092F0173D}" srcId="{E3704E9A-0E53-4145-BC73-7030D72573C5}" destId="{380799DD-75DA-46F7-AEEA-0E316C6E257F}" srcOrd="5" destOrd="0" parTransId="{EFFD92FB-B03A-4602-A2E8-609C20140FE1}" sibTransId="{E87DDE57-5DA5-47A3-AE47-126A2D9DAEEA}"/>
    <dgm:cxn modelId="{9D6C0848-811F-4178-8366-5DB73585491A}" type="presOf" srcId="{11B55C26-EE1C-4CFA-828E-7C4BB1A2AA3E}" destId="{750D0113-1E32-4FD1-9A53-C28AF85EB3AE}" srcOrd="0" destOrd="0" presId="urn:microsoft.com/office/officeart/2005/8/layout/orgChart1"/>
    <dgm:cxn modelId="{C74A1168-F129-4478-A0EC-1A17EA8FDABC}" type="presOf" srcId="{C7517365-7932-4259-8601-4CB4FB13EED1}" destId="{9ABAB7AE-AB69-480E-8777-B23944DB7411}" srcOrd="0" destOrd="0" presId="urn:microsoft.com/office/officeart/2005/8/layout/orgChart1"/>
    <dgm:cxn modelId="{BD5B6648-CFAC-4420-BB35-FDD5C3E47222}" type="presOf" srcId="{A4783309-5605-40AD-AF9C-86A9B24A3867}" destId="{95880DC0-D510-4295-A99D-BB9BAE67D8A1}" srcOrd="0" destOrd="0" presId="urn:microsoft.com/office/officeart/2005/8/layout/orgChart1"/>
    <dgm:cxn modelId="{65495068-CD42-4887-88A9-EC9DDECCAFAD}" type="presOf" srcId="{C60B21A3-B93F-4B01-A55E-23AAEEA0A06A}" destId="{7449F863-1B02-4A9F-83C9-BAAB2389E8ED}" srcOrd="0" destOrd="0" presId="urn:microsoft.com/office/officeart/2005/8/layout/orgChart1"/>
    <dgm:cxn modelId="{533DB748-117B-4096-B507-3117414A742A}" type="presOf" srcId="{28493E4B-781F-47FE-8DF0-08D8B8D52F8C}" destId="{C0BD0DC4-3C88-43D9-B7DF-04D34A458727}" srcOrd="0" destOrd="0" presId="urn:microsoft.com/office/officeart/2005/8/layout/orgChart1"/>
    <dgm:cxn modelId="{D3655969-BF13-42B2-8A16-1D337B98C8C1}" type="presOf" srcId="{9705E00F-A711-40BD-9B95-4F10876FC125}" destId="{C2BCC7E7-1FAE-4160-8D59-B6D7EF3ED566}" srcOrd="0" destOrd="0" presId="urn:microsoft.com/office/officeart/2005/8/layout/orgChart1"/>
    <dgm:cxn modelId="{81F5F86A-B24D-4449-9D09-265B684CA792}" type="presOf" srcId="{280C662E-F9DE-4414-84D4-210EE096F345}" destId="{34A6B83A-B826-4336-860D-EB87258A0851}" srcOrd="0" destOrd="0" presId="urn:microsoft.com/office/officeart/2005/8/layout/orgChart1"/>
    <dgm:cxn modelId="{8DFDB56B-E87D-460D-A027-7E5AA4E9863F}" type="presOf" srcId="{7FDB2D46-B252-4B8D-AEE2-9BA0B67C44AD}" destId="{A2D2133E-DF19-4113-856C-07450D1D5B4B}" srcOrd="0" destOrd="0" presId="urn:microsoft.com/office/officeart/2005/8/layout/orgChart1"/>
    <dgm:cxn modelId="{90CB1F6C-8792-4AC8-B514-FB756615CA02}" srcId="{FA6B0525-83B2-46B2-94B7-CF32CF2A680A}" destId="{5A624D01-99F5-4033-9835-E555364A3980}" srcOrd="2" destOrd="0" parTransId="{804662F9-4408-4BA0-A0DC-5678D41C3311}" sibTransId="{4B45B626-2A22-4326-9F11-0941765EED25}"/>
    <dgm:cxn modelId="{76C33F4C-348A-428A-BB07-7A198328B9F7}" type="presOf" srcId="{1A840015-B867-45E3-ABFF-331A97938DE9}" destId="{0D648FAF-1DA4-4304-972D-EBAB8D9D08C5}" srcOrd="0" destOrd="0" presId="urn:microsoft.com/office/officeart/2005/8/layout/orgChart1"/>
    <dgm:cxn modelId="{3D51D94C-C9EC-41A5-B530-AC0A2D5851BC}" srcId="{E3704E9A-0E53-4145-BC73-7030D72573C5}" destId="{EBC69E2E-1A72-458B-AC72-864D30D06CEC}" srcOrd="7" destOrd="0" parTransId="{729AE946-47D9-403A-9492-20F6AFB9E04C}" sibTransId="{7066E02F-3DB5-476F-ADF0-4E54763F9438}"/>
    <dgm:cxn modelId="{91735A4D-10BA-4591-9367-2D2229D28EBE}" type="presOf" srcId="{67710BEE-6738-4054-A0B8-80A4D9BD67BE}" destId="{6615CC95-8184-4A74-8886-438080F7B78A}" srcOrd="0" destOrd="0" presId="urn:microsoft.com/office/officeart/2005/8/layout/orgChart1"/>
    <dgm:cxn modelId="{AF71856D-B6EE-4DCE-9198-42C198BF185F}" type="presOf" srcId="{8DD9E066-0ECB-4617-8A0D-095B1AC3482A}" destId="{7FD4A329-920A-4F4B-9DB5-CCC545C7180E}" srcOrd="0" destOrd="0" presId="urn:microsoft.com/office/officeart/2005/8/layout/orgChart1"/>
    <dgm:cxn modelId="{1874904E-15EC-49CF-8836-498C7037B0D3}" type="presOf" srcId="{F62A43A5-1035-4AC9-AB4E-47ED9130D2B7}" destId="{ABCE32FF-310E-4F62-8BBC-8ABCAE21A6B8}" srcOrd="0" destOrd="0" presId="urn:microsoft.com/office/officeart/2005/8/layout/orgChart1"/>
    <dgm:cxn modelId="{14A0D36E-A1F5-4407-B385-70F501495EC8}" type="presOf" srcId="{4C7FBFA3-8DEC-4AF6-884D-AF9E6717B011}" destId="{27C215B2-6B44-4C2D-A0B1-36FCA3AB53A0}" srcOrd="1" destOrd="0" presId="urn:microsoft.com/office/officeart/2005/8/layout/orgChart1"/>
    <dgm:cxn modelId="{DE9FFD4F-4C75-4E38-AD42-4FCAAF784D21}" type="presOf" srcId="{2C87FD14-7E9D-4B40-AB1E-EE335C430B99}" destId="{3CE8DE57-4F2A-4759-AE5E-7353EADD2335}" srcOrd="0" destOrd="0" presId="urn:microsoft.com/office/officeart/2005/8/layout/orgChart1"/>
    <dgm:cxn modelId="{90A7F971-D318-40CB-990A-99AA2A7EFDF1}" type="presOf" srcId="{D8BFFD7F-E1D2-468E-99E7-BC03B36E9AF2}" destId="{74453721-0F72-406E-93FF-EFA1B8D81A7E}" srcOrd="0" destOrd="0" presId="urn:microsoft.com/office/officeart/2005/8/layout/orgChart1"/>
    <dgm:cxn modelId="{CA35F772-9061-427D-B84A-340927833921}" type="presOf" srcId="{B9498B0E-039F-4C28-9B14-125D7F74195C}" destId="{9F9CC618-C9C8-40A2-A592-69412EE24BE6}" srcOrd="0" destOrd="0" presId="urn:microsoft.com/office/officeart/2005/8/layout/orgChart1"/>
    <dgm:cxn modelId="{D1A1FD53-D6DA-4D3E-A4FE-1309FA617B7F}" type="presOf" srcId="{FA6B0525-83B2-46B2-94B7-CF32CF2A680A}" destId="{8881AAB7-7189-4324-818B-94A495A2CBAD}" srcOrd="0" destOrd="0" presId="urn:microsoft.com/office/officeart/2005/8/layout/orgChart1"/>
    <dgm:cxn modelId="{A5894D74-4F75-4FAD-A3CE-D047797E88F2}" type="presOf" srcId="{12E231EC-F530-4D1F-91E6-4802502B9A35}" destId="{BCB2FD75-0B9A-42E0-AD12-18CC748D8F8E}" srcOrd="1" destOrd="0" presId="urn:microsoft.com/office/officeart/2005/8/layout/orgChart1"/>
    <dgm:cxn modelId="{96228754-610E-4083-8563-5C7B2205061B}" type="presOf" srcId="{59AB3DD7-F6A3-4488-86AE-71BA94E45BA3}" destId="{C931C5D8-649E-4C2B-81A4-A483392B1018}" srcOrd="1" destOrd="0" presId="urn:microsoft.com/office/officeart/2005/8/layout/orgChart1"/>
    <dgm:cxn modelId="{FD0E6A76-833C-4602-9002-6BC41B48FCE5}" type="presOf" srcId="{890DAD5A-84DD-46B1-B318-313CB4F54182}" destId="{AD5BA227-C618-4161-986C-EDD2448872D6}" srcOrd="1" destOrd="0" presId="urn:microsoft.com/office/officeart/2005/8/layout/orgChart1"/>
    <dgm:cxn modelId="{C7C66E76-DA7A-41B7-99E1-7D2FCC70896F}" srcId="{E3704E9A-0E53-4145-BC73-7030D72573C5}" destId="{1A840015-B867-45E3-ABFF-331A97938DE9}" srcOrd="4" destOrd="0" parTransId="{801982A0-0974-4CCC-B676-EE6BA33DD222}" sibTransId="{9D907D83-3D5C-47CD-B43E-ABA7B8B4A6C5}"/>
    <dgm:cxn modelId="{8D7FB056-C60B-4EA7-9441-C4662B1FE3B9}" type="presOf" srcId="{D5C8494E-EE10-430B-9492-DA15304FF700}" destId="{D4932E5F-7FA6-4B29-A820-8D80F655834D}" srcOrd="0" destOrd="0" presId="urn:microsoft.com/office/officeart/2005/8/layout/orgChart1"/>
    <dgm:cxn modelId="{C2782A77-2B40-4829-BBB7-B3C5D87312EB}" type="presOf" srcId="{12E231EC-F530-4D1F-91E6-4802502B9A35}" destId="{297A80B8-A380-4079-9228-131DB02DA979}" srcOrd="0" destOrd="0" presId="urn:microsoft.com/office/officeart/2005/8/layout/orgChart1"/>
    <dgm:cxn modelId="{10469D58-194B-481F-81C5-F1BB02D8BD27}" type="presOf" srcId="{51E8828E-A9BE-4B89-8204-15B3ACE96249}" destId="{2558FD20-2AAA-42E3-850A-807A28318ECF}" srcOrd="0" destOrd="0" presId="urn:microsoft.com/office/officeart/2005/8/layout/orgChart1"/>
    <dgm:cxn modelId="{3C458D79-94D3-4310-B7EA-F5524D91E561}" type="presOf" srcId="{59AB3DD7-F6A3-4488-86AE-71BA94E45BA3}" destId="{727EABAC-E6EB-4ECC-9ECB-51508764F886}" srcOrd="0" destOrd="0" presId="urn:microsoft.com/office/officeart/2005/8/layout/orgChart1"/>
    <dgm:cxn modelId="{8266A05A-4701-4B1E-AB7C-0D3F1C5AD0C8}" type="presOf" srcId="{C37D100F-0580-410D-82CF-5F820F2E26B9}" destId="{609C40B9-27F2-453E-8183-097769512DCC}" srcOrd="0" destOrd="0" presId="urn:microsoft.com/office/officeart/2005/8/layout/orgChart1"/>
    <dgm:cxn modelId="{D9A9C87E-6A08-4118-B071-E2154C1DDD2C}" type="presOf" srcId="{C13131D4-8E7D-44FE-B86E-04A7049828D7}" destId="{176E6E30-5441-43D8-A2FD-9DF8DD5296EA}" srcOrd="0" destOrd="0" presId="urn:microsoft.com/office/officeart/2005/8/layout/orgChart1"/>
    <dgm:cxn modelId="{CD450880-9144-465C-8B62-18421BD63582}" type="presOf" srcId="{37C21DA8-2534-4A8E-916B-6B5C521DDB0F}" destId="{C0E94C5F-45B9-42F7-981A-A0FF9D584E38}" srcOrd="0" destOrd="0" presId="urn:microsoft.com/office/officeart/2005/8/layout/orgChart1"/>
    <dgm:cxn modelId="{B9494F80-5D2D-4146-B210-D768E44B61F2}" srcId="{A48BD8C1-399C-4313-AA5D-4CD1DD77A30D}" destId="{2DC33A98-0E7A-48BC-BC8A-1229B4513851}" srcOrd="1" destOrd="0" parTransId="{A4783309-5605-40AD-AF9C-86A9B24A3867}" sibTransId="{2FA7D5BF-2EF7-4142-9C24-8A50076B6D24}"/>
    <dgm:cxn modelId="{83E9C880-69BF-486E-B161-4D22E293A467}" type="presOf" srcId="{96097FBF-076C-467B-A630-82F89328F6B8}" destId="{4E7F10F5-9D2A-43F5-AA69-5EBE6CD852A6}" srcOrd="0" destOrd="0" presId="urn:microsoft.com/office/officeart/2005/8/layout/orgChart1"/>
    <dgm:cxn modelId="{2C327B84-9143-4D2B-AA8A-1B10495D1FF7}" type="presOf" srcId="{D969DAFB-24E4-41B5-8647-4329B1131ED7}" destId="{1E311D21-7CA4-415B-9E2D-932D13911389}" srcOrd="0" destOrd="0" presId="urn:microsoft.com/office/officeart/2005/8/layout/orgChart1"/>
    <dgm:cxn modelId="{415EE985-080B-4A6D-A022-1352E42EC06F}" type="presOf" srcId="{FA122D1D-385A-4FB4-8A77-5BEDF6F84503}" destId="{86F35670-ED1C-43EE-BB4E-E1387FBD6BAB}" srcOrd="1" destOrd="0" presId="urn:microsoft.com/office/officeart/2005/8/layout/orgChart1"/>
    <dgm:cxn modelId="{C98F0A86-68C0-44CE-B3F9-521DB5A2DBCE}" srcId="{A48BD8C1-399C-4313-AA5D-4CD1DD77A30D}" destId="{ACD10DD6-52F0-4828-9CBA-DFE8BD520B79}" srcOrd="6" destOrd="0" parTransId="{6CB6FDD2-5F7B-4EAA-84F3-9AE65DDC7EE7}" sibTransId="{D12CC233-A2C5-4BF9-A26F-7615EC23A256}"/>
    <dgm:cxn modelId="{0D882787-2318-4329-9DD7-7EDAC1964559}" type="presOf" srcId="{CA6A4869-7886-4C21-A367-E90492D09A0D}" destId="{2F0C8E14-97F8-46E7-9984-5515C8C2A5E4}" srcOrd="0" destOrd="0" presId="urn:microsoft.com/office/officeart/2005/8/layout/orgChart1"/>
    <dgm:cxn modelId="{5C949788-A24C-4AC3-8700-5EB345057383}" type="presOf" srcId="{ACD10DD6-52F0-4828-9CBA-DFE8BD520B79}" destId="{831FB103-B871-427B-8749-BAD39B266098}" srcOrd="0" destOrd="0" presId="urn:microsoft.com/office/officeart/2005/8/layout/orgChart1"/>
    <dgm:cxn modelId="{F0B41589-2C2E-4A82-A2E0-3777901F91E0}" type="presOf" srcId="{295BACFD-9D62-4414-8AA6-DB212CEC9A13}" destId="{3380E809-917F-4AEC-B721-58D89CDC62B0}" srcOrd="0" destOrd="0" presId="urn:microsoft.com/office/officeart/2005/8/layout/orgChart1"/>
    <dgm:cxn modelId="{23145A89-42BA-4F90-8BBF-B3C888595E73}" type="presOf" srcId="{71F4579C-2386-4DF1-BFF7-6B3E74C18EDC}" destId="{48119197-FE93-41C1-9614-EB05D3FBC3AA}" srcOrd="0" destOrd="0" presId="urn:microsoft.com/office/officeart/2005/8/layout/orgChart1"/>
    <dgm:cxn modelId="{A2F7918C-57E0-479B-9481-AA85181F1047}" type="presOf" srcId="{6CB6FDD2-5F7B-4EAA-84F3-9AE65DDC7EE7}" destId="{194BF1A7-24B2-4B10-A670-075BF180D08B}" srcOrd="0" destOrd="0" presId="urn:microsoft.com/office/officeart/2005/8/layout/orgChart1"/>
    <dgm:cxn modelId="{C6BE838E-C3F6-4528-9C9D-C0B0060F5D04}" srcId="{E3704E9A-0E53-4145-BC73-7030D72573C5}" destId="{67710BEE-6738-4054-A0B8-80A4D9BD67BE}" srcOrd="3" destOrd="0" parTransId="{73A3FF76-9136-4677-91B4-7A1EED06BF29}" sibTransId="{83F59561-AAC2-4A72-BFC7-C7E2EEC6A785}"/>
    <dgm:cxn modelId="{1ED1908E-C528-4C31-92B3-A5CEDF01E513}" type="presOf" srcId="{5A624D01-99F5-4033-9835-E555364A3980}" destId="{788D0E5B-B4AA-486F-A0CF-21C3F648F44F}" srcOrd="0" destOrd="0" presId="urn:microsoft.com/office/officeart/2005/8/layout/orgChart1"/>
    <dgm:cxn modelId="{77D42F91-C411-4DB3-8A4E-F91F59ED9027}" type="presOf" srcId="{B9498B0E-039F-4C28-9B14-125D7F74195C}" destId="{EED45A50-15A6-4057-86DE-93648771F1BF}" srcOrd="1" destOrd="0" presId="urn:microsoft.com/office/officeart/2005/8/layout/orgChart1"/>
    <dgm:cxn modelId="{5FEB6993-C3E5-46C8-9E66-5475384E6E9F}" type="presOf" srcId="{975458C8-D635-4638-BE39-5E447668D22D}" destId="{6BF9CCF5-BB88-4387-8524-5CFBA9CAF4E2}" srcOrd="1" destOrd="0" presId="urn:microsoft.com/office/officeart/2005/8/layout/orgChart1"/>
    <dgm:cxn modelId="{8344AD93-0675-4CB9-9B6C-A1E430D68A69}" type="presOf" srcId="{99FA963A-A7A6-4E91-A4A0-A668DC9B42B6}" destId="{91AD99CD-A893-40B8-8A03-9987B933248C}" srcOrd="1" destOrd="0" presId="urn:microsoft.com/office/officeart/2005/8/layout/orgChart1"/>
    <dgm:cxn modelId="{B1353196-CEC7-43AE-9FAD-88830CA00F64}" type="presOf" srcId="{BCB7052D-73C1-41DE-9CB2-80E38DF350A2}" destId="{939522BF-6EAA-4102-86AC-2FF7011DA04B}" srcOrd="0" destOrd="0" presId="urn:microsoft.com/office/officeart/2005/8/layout/orgChart1"/>
    <dgm:cxn modelId="{5DB2A298-6C91-4392-B179-ADA87B5F1ED9}" type="presOf" srcId="{54071397-FAC3-47D4-9D8C-F95A2366DB98}" destId="{7FA4D188-399C-427C-A220-0CA1482B0242}" srcOrd="0" destOrd="0" presId="urn:microsoft.com/office/officeart/2005/8/layout/orgChart1"/>
    <dgm:cxn modelId="{FFE71499-3AF8-44DC-92BF-AFADD527BDEF}" type="presOf" srcId="{F0870D6F-027F-41A8-AC5A-EF0E8A7D34F5}" destId="{EE86B355-145F-47D6-85E4-3A782F807ED7}" srcOrd="1" destOrd="0" presId="urn:microsoft.com/office/officeart/2005/8/layout/orgChart1"/>
    <dgm:cxn modelId="{6BD95599-FBDB-48F8-8492-44AF6B44A952}" type="presOf" srcId="{D5C8494E-EE10-430B-9492-DA15304FF700}" destId="{81C2CF3C-2A6C-4FCA-962C-BF6AEA0FF1AE}" srcOrd="1" destOrd="0" presId="urn:microsoft.com/office/officeart/2005/8/layout/orgChart1"/>
    <dgm:cxn modelId="{ADAE7A9F-F9DE-4223-BA39-EA4C4E382134}" type="presOf" srcId="{A94AB389-39D2-4267-A98E-779E54D44A93}" destId="{B7A61CDB-DD19-43D7-A779-C769E67F727D}" srcOrd="0" destOrd="0" presId="urn:microsoft.com/office/officeart/2005/8/layout/orgChart1"/>
    <dgm:cxn modelId="{72A1B89F-8236-4075-A437-1416BC37A5DB}" type="presOf" srcId="{B01370D4-2853-47A4-866A-4A97016FF95D}" destId="{ACF3BC3E-1746-4971-A25D-6C302E252CAE}" srcOrd="0" destOrd="0" presId="urn:microsoft.com/office/officeart/2005/8/layout/orgChart1"/>
    <dgm:cxn modelId="{CD26D2A1-FEE7-4056-B75A-890EBDFC542E}" type="presOf" srcId="{F1D9FE59-DEF3-4C56-B290-707922BA87AF}" destId="{C86D5F05-B912-436C-B34C-025BAB78B1F5}" srcOrd="0" destOrd="0" presId="urn:microsoft.com/office/officeart/2005/8/layout/orgChart1"/>
    <dgm:cxn modelId="{C41228A6-295D-47B8-8619-51EAF7697BAC}" srcId="{E3704E9A-0E53-4145-BC73-7030D72573C5}" destId="{54071397-FAC3-47D4-9D8C-F95A2366DB98}" srcOrd="6" destOrd="0" parTransId="{3C8C7172-E32D-401B-AAB4-13874244CA6C}" sibTransId="{831EB16C-EEB4-4C4D-B9FE-1A69D3969786}"/>
    <dgm:cxn modelId="{A62311A8-F577-4ECB-8053-D705815C6AEE}" type="presOf" srcId="{801982A0-0974-4CCC-B676-EE6BA33DD222}" destId="{7F25AD5E-5711-4AE1-9A38-B91C539DF844}" srcOrd="0" destOrd="0" presId="urn:microsoft.com/office/officeart/2005/8/layout/orgChart1"/>
    <dgm:cxn modelId="{B27CC1A8-3E2E-447E-8948-D752FE3A086C}" type="presOf" srcId="{8DD9E066-0ECB-4617-8A0D-095B1AC3482A}" destId="{6D422B89-1D73-48D4-838C-9B7DD8E82D30}" srcOrd="1" destOrd="0" presId="urn:microsoft.com/office/officeart/2005/8/layout/orgChart1"/>
    <dgm:cxn modelId="{2D7B34A9-19C9-46E2-BE4C-4D94357496FD}" type="presOf" srcId="{C37D100F-0580-410D-82CF-5F820F2E26B9}" destId="{1469041E-5B6B-4A14-92E7-0A5A5535073F}" srcOrd="1" destOrd="0" presId="urn:microsoft.com/office/officeart/2005/8/layout/orgChart1"/>
    <dgm:cxn modelId="{B715B8A9-AF13-4931-9F30-289358731B76}" type="presOf" srcId="{FA6B0525-83B2-46B2-94B7-CF32CF2A680A}" destId="{1D5422F5-78AD-4266-8398-60C9AA029BB2}" srcOrd="1" destOrd="0" presId="urn:microsoft.com/office/officeart/2005/8/layout/orgChart1"/>
    <dgm:cxn modelId="{753047AA-01E2-4798-8EF5-614725B1A592}" srcId="{A48BD8C1-399C-4313-AA5D-4CD1DD77A30D}" destId="{59AB3DD7-F6A3-4488-86AE-71BA94E45BA3}" srcOrd="5" destOrd="0" parTransId="{56CCDB45-ED03-4BCE-9E63-6E25DA37D7FA}" sibTransId="{F4FEE8CD-42EF-4B71-9C1E-3E34D6BAFDFA}"/>
    <dgm:cxn modelId="{C5F85DAD-B9B8-487D-8D0C-A0EFE4FCA824}" type="presOf" srcId="{29BD162D-EB42-4C99-B297-94E09B6608E0}" destId="{27E30F65-4629-486F-A8C6-D08F8F521462}" srcOrd="0" destOrd="0" presId="urn:microsoft.com/office/officeart/2005/8/layout/orgChart1"/>
    <dgm:cxn modelId="{49A0CBAD-9F84-4C1E-B36C-CC3B7DE32DE5}" type="presOf" srcId="{727C45E2-EEBD-425E-B47F-8439866E70A9}" destId="{7AAE813D-E380-4743-870F-6447DB72296B}" srcOrd="0" destOrd="0" presId="urn:microsoft.com/office/officeart/2005/8/layout/orgChart1"/>
    <dgm:cxn modelId="{41A149AF-FC4F-4D2E-852F-98CFF7A6AE3E}" type="presOf" srcId="{E3704E9A-0E53-4145-BC73-7030D72573C5}" destId="{02E074D0-4A6D-476A-B380-C8313AA66B11}" srcOrd="0" destOrd="0" presId="urn:microsoft.com/office/officeart/2005/8/layout/orgChart1"/>
    <dgm:cxn modelId="{DCF79DAF-FBAB-4DD8-90C7-2294B6C29B1D}" type="presOf" srcId="{73A3FF76-9136-4677-91B4-7A1EED06BF29}" destId="{C93F79D8-7F6D-49BF-B100-FD72B15C9147}" srcOrd="0" destOrd="0" presId="urn:microsoft.com/office/officeart/2005/8/layout/orgChart1"/>
    <dgm:cxn modelId="{B1F218B0-94B4-4173-9482-9522136CB390}" type="presOf" srcId="{E6120CBA-3FC2-4589-8F3A-284DFBC07748}" destId="{A89BA18D-20D4-406C-B171-F48C8EAD4308}" srcOrd="0" destOrd="0" presId="urn:microsoft.com/office/officeart/2005/8/layout/orgChart1"/>
    <dgm:cxn modelId="{9655EAB1-C607-4216-9EC7-52A98C7252D2}" type="presOf" srcId="{AFA4D985-EB68-4640-81E8-0436428BBC70}" destId="{593BA6A8-A05E-4D52-BC54-D742BC4F7327}" srcOrd="0" destOrd="0" presId="urn:microsoft.com/office/officeart/2005/8/layout/orgChart1"/>
    <dgm:cxn modelId="{2CD6A7B4-FDC1-4F3E-8F8E-653C8AE84EB5}" type="presOf" srcId="{380799DD-75DA-46F7-AEEA-0E316C6E257F}" destId="{00709937-0028-4A56-9012-2AD8C2D85787}" srcOrd="1" destOrd="0" presId="urn:microsoft.com/office/officeart/2005/8/layout/orgChart1"/>
    <dgm:cxn modelId="{C8561EB5-F74F-4007-A490-665BD8AE2F71}" type="presOf" srcId="{8D71E8CC-5985-4CB4-A26D-09A047445EA8}" destId="{06514E6E-A6D1-4335-B25D-26C67986FE40}" srcOrd="0" destOrd="0" presId="urn:microsoft.com/office/officeart/2005/8/layout/orgChart1"/>
    <dgm:cxn modelId="{AD5DD1B7-7457-42C7-9472-F19665096305}" type="presOf" srcId="{EFFD92FB-B03A-4602-A2E8-609C20140FE1}" destId="{BB3D46CC-1096-4A8D-A567-4B1DA8395974}" srcOrd="0" destOrd="0" presId="urn:microsoft.com/office/officeart/2005/8/layout/orgChart1"/>
    <dgm:cxn modelId="{203859BE-D10E-4C24-AF4C-1175DF13CA24}" srcId="{975458C8-D635-4638-BE39-5E447668D22D}" destId="{A48BD8C1-399C-4313-AA5D-4CD1DD77A30D}" srcOrd="1" destOrd="0" parTransId="{51E8828E-A9BE-4B89-8204-15B3ACE96249}" sibTransId="{E78D9091-6A0D-4455-9FD8-4E9E48B8E310}"/>
    <dgm:cxn modelId="{FF456EC2-F7B1-4E80-86B6-83D3A88F5C9D}" type="presOf" srcId="{075CE3F9-CA80-44A5-AA0A-D3E7FC077782}" destId="{547BED52-3347-48E4-BCA1-443091CE2DCE}" srcOrd="0" destOrd="0" presId="urn:microsoft.com/office/officeart/2005/8/layout/orgChart1"/>
    <dgm:cxn modelId="{2F6032C7-382A-4C69-9D3F-1B49BE4DE642}" type="presOf" srcId="{9BB1A269-C4A0-4ADE-878F-CED08C0AC334}" destId="{84A50A7B-60D2-4A2B-B52A-689F862C4CAE}" srcOrd="0" destOrd="0" presId="urn:microsoft.com/office/officeart/2005/8/layout/orgChart1"/>
    <dgm:cxn modelId="{757D40C7-36CC-4E89-BC0B-B4EF561A861F}" srcId="{2DC33A98-0E7A-48BC-BC8A-1229B4513851}" destId="{11B55C26-EE1C-4CFA-828E-7C4BB1A2AA3E}" srcOrd="2" destOrd="0" parTransId="{8D71E8CC-5985-4CB4-A26D-09A047445EA8}" sibTransId="{2C93D317-4860-4266-A11D-E5738CD15983}"/>
    <dgm:cxn modelId="{BCDCBAC7-3237-4CE2-A4FC-FB0FDE82F379}" type="presOf" srcId="{ACD10DD6-52F0-4828-9CBA-DFE8BD520B79}" destId="{15A3F154-75E5-475D-9A11-26061F51CFB1}" srcOrd="1" destOrd="0" presId="urn:microsoft.com/office/officeart/2005/8/layout/orgChart1"/>
    <dgm:cxn modelId="{68C11DC8-313A-43BA-804A-266C7B391890}" type="presOf" srcId="{380799DD-75DA-46F7-AEEA-0E316C6E257F}" destId="{009E53A5-77C1-441C-AFCA-67448F33B8C5}" srcOrd="0" destOrd="0" presId="urn:microsoft.com/office/officeart/2005/8/layout/orgChart1"/>
    <dgm:cxn modelId="{F8DF99C8-9513-4335-9B92-3B8558C0186E}" type="presOf" srcId="{B01370D4-2853-47A4-866A-4A97016FF95D}" destId="{9A18D4A9-809C-4541-95CC-DAB2C59C5597}" srcOrd="1" destOrd="0" presId="urn:microsoft.com/office/officeart/2005/8/layout/orgChart1"/>
    <dgm:cxn modelId="{A52FB1CB-F9D5-4987-80FC-30F8ED87F369}" type="presOf" srcId="{779601E9-E0CE-4D22-A3A0-C9194C494FAE}" destId="{D8F23E08-5D29-4308-AEA9-8D6199B0BF93}" srcOrd="0" destOrd="0" presId="urn:microsoft.com/office/officeart/2005/8/layout/orgChart1"/>
    <dgm:cxn modelId="{0CF1CBCB-54F5-4F57-9DF9-D6C912DEF6F2}" type="presOf" srcId="{9BB1A269-C4A0-4ADE-878F-CED08C0AC334}" destId="{F11B7AC5-7DDD-4173-A8FB-DA6BD033B896}" srcOrd="1" destOrd="0" presId="urn:microsoft.com/office/officeart/2005/8/layout/orgChart1"/>
    <dgm:cxn modelId="{F89FCDCB-0912-44C0-A732-40DA13ECF966}" type="presOf" srcId="{BCB7052D-73C1-41DE-9CB2-80E38DF350A2}" destId="{E3FB8A07-E621-4CE7-9F50-3C6D5721A336}" srcOrd="1" destOrd="0" presId="urn:microsoft.com/office/officeart/2005/8/layout/orgChart1"/>
    <dgm:cxn modelId="{1798E8CB-B0A4-42E6-9D33-24B7650D81A5}" srcId="{FA6B0525-83B2-46B2-94B7-CF32CF2A680A}" destId="{B238C85A-273E-47D9-94D0-6FF1D3DF40DF}" srcOrd="0" destOrd="0" parTransId="{C60B21A3-B93F-4B01-A55E-23AAEEA0A06A}" sibTransId="{5D186FEA-D2F2-4372-BFA8-1BA840599095}"/>
    <dgm:cxn modelId="{869342CD-FEDF-4C27-B2A3-AD6C2841902B}" srcId="{E3704E9A-0E53-4145-BC73-7030D72573C5}" destId="{F62A43A5-1035-4AC9-AB4E-47ED9130D2B7}" srcOrd="8" destOrd="0" parTransId="{C13131D4-8E7D-44FE-B86E-04A7049828D7}" sibTransId="{24B24839-9CFD-46BD-BE39-A8C0F837DEBC}"/>
    <dgm:cxn modelId="{906DEBCF-1452-418D-883D-F1A1E51F8255}" type="presOf" srcId="{034290B6-A3AA-4D06-942B-B6CCBEB12D7C}" destId="{57F864E8-8308-4715-A878-38BB4D0C7A05}" srcOrd="0" destOrd="0" presId="urn:microsoft.com/office/officeart/2005/8/layout/orgChart1"/>
    <dgm:cxn modelId="{1CB3C0D6-F3D5-4493-B9EB-BBDDB5C767B5}" type="presOf" srcId="{890DAD5A-84DD-46B1-B318-313CB4F54182}" destId="{11939459-E0EB-41CE-8B50-08F612B998E2}" srcOrd="0" destOrd="0" presId="urn:microsoft.com/office/officeart/2005/8/layout/orgChart1"/>
    <dgm:cxn modelId="{05274ED7-ED75-4ABA-9DCE-4E405CC397DA}" srcId="{975458C8-D635-4638-BE39-5E447668D22D}" destId="{E3704E9A-0E53-4145-BC73-7030D72573C5}" srcOrd="0" destOrd="0" parTransId="{075CE3F9-CA80-44A5-AA0A-D3E7FC077782}" sibTransId="{685301E9-6C00-4DC8-B08B-62A032A81C78}"/>
    <dgm:cxn modelId="{DE4015DC-2BFD-44B1-ABF5-0863919321CB}" srcId="{975458C8-D635-4638-BE39-5E447668D22D}" destId="{46EEA757-EE25-4F71-9434-0829C93B8116}" srcOrd="2" destOrd="0" parTransId="{E6120CBA-3FC2-4589-8F3A-284DFBC07748}" sibTransId="{12C180F3-1069-4EAF-8005-DA9432197B18}"/>
    <dgm:cxn modelId="{B5C849DD-830C-492B-B9EE-E21216B19374}" type="presOf" srcId="{DBFB8FC5-158A-4E40-945E-57A814B06818}" destId="{D85D43EE-4B9E-489C-93CE-4B3771251842}" srcOrd="1" destOrd="0" presId="urn:microsoft.com/office/officeart/2005/8/layout/orgChart1"/>
    <dgm:cxn modelId="{9BD991E0-165A-42E2-95A7-50CDDFEE7E19}" type="presOf" srcId="{A48BD8C1-399C-4313-AA5D-4CD1DD77A30D}" destId="{AB3837C5-AAC0-49D3-8F6B-7019E602EF8B}" srcOrd="1" destOrd="0" presId="urn:microsoft.com/office/officeart/2005/8/layout/orgChart1"/>
    <dgm:cxn modelId="{A9F2F1E0-33AC-4C86-ADBA-14374E792251}" type="presOf" srcId="{2DC33A98-0E7A-48BC-BC8A-1229B4513851}" destId="{75F177C5-F527-4B45-8EF4-5F8B2555E954}" srcOrd="1" destOrd="0" presId="urn:microsoft.com/office/officeart/2005/8/layout/orgChart1"/>
    <dgm:cxn modelId="{FBD9B6E1-9896-44EE-8F00-ED8FA6B24207}" type="presOf" srcId="{BD1CF57D-1F7B-4699-9DB5-AEF9238DCEAB}" destId="{D5EE33B5-567D-4482-B1C5-125117CA93B9}" srcOrd="0" destOrd="0" presId="urn:microsoft.com/office/officeart/2005/8/layout/orgChart1"/>
    <dgm:cxn modelId="{1E910BE5-2C87-4D10-A830-3DA34DCC9C58}" type="presOf" srcId="{2F12880C-FF2D-4929-AECD-C62628C1F365}" destId="{7173B549-F137-4D1C-8290-B9B91430ED96}" srcOrd="0" destOrd="0" presId="urn:microsoft.com/office/officeart/2005/8/layout/orgChart1"/>
    <dgm:cxn modelId="{C5A290E7-C58E-4A12-82A2-5DFF4D326A31}" srcId="{8DD9E066-0ECB-4617-8A0D-095B1AC3482A}" destId="{BD1CF57D-1F7B-4699-9DB5-AEF9238DCEAB}" srcOrd="2" destOrd="0" parTransId="{09F4C3E2-D8A7-44FF-8544-EAFAE23F8BD2}" sibTransId="{28E7B937-0A8A-4625-A98E-1FA18F237921}"/>
    <dgm:cxn modelId="{9B187DE8-4603-4E4A-B23F-3AE88A266744}" type="presOf" srcId="{46EEA757-EE25-4F71-9434-0829C93B8116}" destId="{EBFD5A82-221B-4E53-B240-7169901278B7}" srcOrd="0" destOrd="0" presId="urn:microsoft.com/office/officeart/2005/8/layout/orgChart1"/>
    <dgm:cxn modelId="{85F7CDE8-3B70-4678-B815-6E5056411220}" type="presOf" srcId="{7ECFB21E-8572-44F6-8A05-9462C1200729}" destId="{D10E37A1-E6D9-4E92-840E-B176CCCCEBBA}" srcOrd="0" destOrd="0" presId="urn:microsoft.com/office/officeart/2005/8/layout/orgChart1"/>
    <dgm:cxn modelId="{5DA74BE9-50F0-4E89-BD67-8D7AC9197C04}" srcId="{8DD9E066-0ECB-4617-8A0D-095B1AC3482A}" destId="{99FA963A-A7A6-4E91-A4A0-A668DC9B42B6}" srcOrd="0" destOrd="0" parTransId="{C7517365-7932-4259-8601-4CB4FB13EED1}" sibTransId="{2E12D5A4-80FD-4143-8518-E5FF7D13B3DC}"/>
    <dgm:cxn modelId="{B40577E9-E6A9-4D79-94CD-1554C704A2CE}" srcId="{E3704E9A-0E53-4145-BC73-7030D72573C5}" destId="{FA122D1D-385A-4FB4-8A77-5BEDF6F84503}" srcOrd="0" destOrd="0" parTransId="{A94AB389-39D2-4267-A98E-779E54D44A93}" sibTransId="{911014E4-C749-4A5A-BBFC-BB07B45501F4}"/>
    <dgm:cxn modelId="{5AFBF0E9-3109-4476-9843-92EA118147EF}" type="presOf" srcId="{B238C85A-273E-47D9-94D0-6FF1D3DF40DF}" destId="{66D97830-6A7E-4455-8506-C3A36AEC6C70}" srcOrd="0" destOrd="0" presId="urn:microsoft.com/office/officeart/2005/8/layout/orgChart1"/>
    <dgm:cxn modelId="{4D5305EB-F081-49DE-9B17-B21D51E70042}" type="presOf" srcId="{5A624D01-99F5-4033-9835-E555364A3980}" destId="{D1B6631E-A183-4AD0-A207-373DA2C46212}" srcOrd="1" destOrd="0" presId="urn:microsoft.com/office/officeart/2005/8/layout/orgChart1"/>
    <dgm:cxn modelId="{1FCD10EC-7498-4B65-9A0B-335F9E2BE441}" type="presOf" srcId="{69CF657A-EF02-4376-A196-140E489547E1}" destId="{199C72A4-7C3F-4B87-9EFD-B0F4DD003904}" srcOrd="0" destOrd="0" presId="urn:microsoft.com/office/officeart/2005/8/layout/orgChart1"/>
    <dgm:cxn modelId="{DECE97ED-D912-4C78-A65D-056B7E5E8AAF}" type="presOf" srcId="{975458C8-D635-4638-BE39-5E447668D22D}" destId="{461EB231-08C3-4436-87CC-C1C1E7006277}" srcOrd="0" destOrd="0" presId="urn:microsoft.com/office/officeart/2005/8/layout/orgChart1"/>
    <dgm:cxn modelId="{D22A91EE-99B3-4748-9EC3-84282F884A2F}" type="presOf" srcId="{DBFB8FC5-158A-4E40-945E-57A814B06818}" destId="{D07AD9F5-8177-47FB-BDE8-66D829CF0DE7}" srcOrd="0" destOrd="0" presId="urn:microsoft.com/office/officeart/2005/8/layout/orgChart1"/>
    <dgm:cxn modelId="{04A2E6EF-C1A5-4944-A1FF-2F7CB5D2BC3A}" type="presOf" srcId="{46EEA757-EE25-4F71-9434-0829C93B8116}" destId="{626B0918-3ABC-4B0F-B202-98E840B143FC}" srcOrd="1" destOrd="0" presId="urn:microsoft.com/office/officeart/2005/8/layout/orgChart1"/>
    <dgm:cxn modelId="{E7CE2AF1-7B30-41DE-95CF-3C1E9FFC3E2B}" srcId="{A48BD8C1-399C-4313-AA5D-4CD1DD77A30D}" destId="{12E231EC-F530-4D1F-91E6-4802502B9A35}" srcOrd="8" destOrd="0" parTransId="{7ECFB21E-8572-44F6-8A05-9462C1200729}" sibTransId="{0029A551-3A07-4206-960D-31721B3F3628}"/>
    <dgm:cxn modelId="{0F3206F3-82D3-494B-B3BC-E5FF0ED5D306}" type="presOf" srcId="{2DC33A98-0E7A-48BC-BC8A-1229B4513851}" destId="{3039DBD9-8D08-46DD-BFF7-469DD4136FA3}" srcOrd="0" destOrd="0" presId="urn:microsoft.com/office/officeart/2005/8/layout/orgChart1"/>
    <dgm:cxn modelId="{638F33F5-724D-40BD-8A13-A41BD801AAE6}" srcId="{A48BD8C1-399C-4313-AA5D-4CD1DD77A30D}" destId="{BCB7052D-73C1-41DE-9CB2-80E38DF350A2}" srcOrd="7" destOrd="0" parTransId="{727C45E2-EEBD-425E-B47F-8439866E70A9}" sibTransId="{1596252D-4BA6-4E55-92F6-ECBA30C4C123}"/>
    <dgm:cxn modelId="{D97DD3F5-C38E-4F83-8B4C-C48632435C10}" type="presOf" srcId="{26DC3FAB-0CB5-4A22-943F-F0362D9BA68C}" destId="{C681176A-5E9E-400C-952B-90359E6677E5}" srcOrd="0" destOrd="0" presId="urn:microsoft.com/office/officeart/2005/8/layout/orgChart1"/>
    <dgm:cxn modelId="{30CBF4F5-37E7-4A3C-A935-7EDA4977187D}" srcId="{FA6B0525-83B2-46B2-94B7-CF32CF2A680A}" destId="{D5C8494E-EE10-430B-9492-DA15304FF700}" srcOrd="1" destOrd="0" parTransId="{29BD162D-EB42-4C99-B297-94E09B6608E0}" sibTransId="{405AE2B9-3031-4636-BA1C-9C62FE717A5B}"/>
    <dgm:cxn modelId="{38C2E6F7-89B3-4D52-AD59-7182320FB0DB}" type="presOf" srcId="{AD8C3554-BD01-42E6-B5AE-D28856418354}" destId="{6C987B7D-46DD-47BE-BCEB-F5666FFA75B0}" srcOrd="0" destOrd="0" presId="urn:microsoft.com/office/officeart/2005/8/layout/orgChart1"/>
    <dgm:cxn modelId="{E8D229F8-A451-4C42-BD88-5DADA5086A09}" srcId="{E3704E9A-0E53-4145-BC73-7030D72573C5}" destId="{279F251E-2935-47CB-A336-1E75FA9D5EC4}" srcOrd="2" destOrd="0" parTransId="{F04E1CC1-A24A-4703-A6DD-ED854880BEB3}" sibTransId="{826CE590-176E-472A-8137-4AB2A181367A}"/>
    <dgm:cxn modelId="{F1263BFA-E65C-44CB-8CFC-A485E001C1CF}" type="presOf" srcId="{4C7FBFA3-8DEC-4AF6-884D-AF9E6717B011}" destId="{130B7FC3-6A35-4301-9BEF-942CD8FD2C37}" srcOrd="0" destOrd="0" presId="urn:microsoft.com/office/officeart/2005/8/layout/orgChart1"/>
    <dgm:cxn modelId="{FE6824FB-A3EA-4539-96A0-8081A64E6493}" type="presOf" srcId="{EBC69E2E-1A72-458B-AC72-864D30D06CEC}" destId="{D1529D59-3971-4179-9CB7-ACD08E58E993}" srcOrd="0" destOrd="0" presId="urn:microsoft.com/office/officeart/2005/8/layout/orgChart1"/>
    <dgm:cxn modelId="{DA92FCFC-A68C-4009-AFFE-81DF904E1CF1}" srcId="{A48BD8C1-399C-4313-AA5D-4CD1DD77A30D}" destId="{FA6B0525-83B2-46B2-94B7-CF32CF2A680A}" srcOrd="0" destOrd="0" parTransId="{2C87FD14-7E9D-4B40-AB1E-EE335C430B99}" sibTransId="{26365EC6-28A4-4E60-9647-8C27FE87539A}"/>
    <dgm:cxn modelId="{25E9B4FD-3BDF-4B56-A549-E7ECF844DAAB}" srcId="{A48BD8C1-399C-4313-AA5D-4CD1DD77A30D}" destId="{8DD9E066-0ECB-4617-8A0D-095B1AC3482A}" srcOrd="3" destOrd="0" parTransId="{69CF657A-EF02-4376-A196-140E489547E1}" sibTransId="{909CA33A-997C-439F-9744-A32C05335017}"/>
    <dgm:cxn modelId="{1F773DFF-E68E-4E52-B0BC-D1B22FA7B668}" type="presOf" srcId="{779601E9-E0CE-4D22-A3A0-C9194C494FAE}" destId="{EAC8E7D6-DCCA-4D8D-99C9-9E5F03E662FE}" srcOrd="1" destOrd="0" presId="urn:microsoft.com/office/officeart/2005/8/layout/orgChart1"/>
    <dgm:cxn modelId="{880E0EC7-A140-421F-B809-4A55753C6FE9}" type="presParOf" srcId="{74453721-0F72-406E-93FF-EFA1B8D81A7E}" destId="{1EF2B58D-57DE-415E-AA6E-AE8DA84BFC03}" srcOrd="0" destOrd="0" presId="urn:microsoft.com/office/officeart/2005/8/layout/orgChart1"/>
    <dgm:cxn modelId="{EB2FB471-1BD0-4704-8FCE-D76D9A58E303}" type="presParOf" srcId="{1EF2B58D-57DE-415E-AA6E-AE8DA84BFC03}" destId="{8E7A8940-0155-4FF0-9EBA-6D2D07C7074C}" srcOrd="0" destOrd="0" presId="urn:microsoft.com/office/officeart/2005/8/layout/orgChart1"/>
    <dgm:cxn modelId="{17A5E35A-9A0A-4773-BABA-603CBC5DF418}" type="presParOf" srcId="{8E7A8940-0155-4FF0-9EBA-6D2D07C7074C}" destId="{461EB231-08C3-4436-87CC-C1C1E7006277}" srcOrd="0" destOrd="0" presId="urn:microsoft.com/office/officeart/2005/8/layout/orgChart1"/>
    <dgm:cxn modelId="{B3D6410B-7559-4E69-B7AA-8E29CFBCC370}" type="presParOf" srcId="{8E7A8940-0155-4FF0-9EBA-6D2D07C7074C}" destId="{6BF9CCF5-BB88-4387-8524-5CFBA9CAF4E2}" srcOrd="1" destOrd="0" presId="urn:microsoft.com/office/officeart/2005/8/layout/orgChart1"/>
    <dgm:cxn modelId="{6C85B599-C418-445F-B476-E6E116DEE6DB}" type="presParOf" srcId="{1EF2B58D-57DE-415E-AA6E-AE8DA84BFC03}" destId="{FC1C7F29-50C7-4918-AEE9-A502D9F7A4BB}" srcOrd="1" destOrd="0" presId="urn:microsoft.com/office/officeart/2005/8/layout/orgChart1"/>
    <dgm:cxn modelId="{CEB3B555-6C34-4FB9-84A9-030226B0DD1B}" type="presParOf" srcId="{FC1C7F29-50C7-4918-AEE9-A502D9F7A4BB}" destId="{547BED52-3347-48E4-BCA1-443091CE2DCE}" srcOrd="0" destOrd="0" presId="urn:microsoft.com/office/officeart/2005/8/layout/orgChart1"/>
    <dgm:cxn modelId="{8A009423-2129-43B9-AA96-ABE8A91E5C2A}" type="presParOf" srcId="{FC1C7F29-50C7-4918-AEE9-A502D9F7A4BB}" destId="{1FB61BD2-FED0-4F0A-B3BE-FEEF1ED050DA}" srcOrd="1" destOrd="0" presId="urn:microsoft.com/office/officeart/2005/8/layout/orgChart1"/>
    <dgm:cxn modelId="{C5CBC9F0-B95F-4A0B-BF14-C419FB573312}" type="presParOf" srcId="{1FB61BD2-FED0-4F0A-B3BE-FEEF1ED050DA}" destId="{85C59D25-37EE-4650-9F09-A0951E1A76F9}" srcOrd="0" destOrd="0" presId="urn:microsoft.com/office/officeart/2005/8/layout/orgChart1"/>
    <dgm:cxn modelId="{3A9AD6BF-94CE-4C14-AA11-5CA10B989193}" type="presParOf" srcId="{85C59D25-37EE-4650-9F09-A0951E1A76F9}" destId="{02E074D0-4A6D-476A-B380-C8313AA66B11}" srcOrd="0" destOrd="0" presId="urn:microsoft.com/office/officeart/2005/8/layout/orgChart1"/>
    <dgm:cxn modelId="{094994ED-3677-4925-9498-ED539FE2EEE8}" type="presParOf" srcId="{85C59D25-37EE-4650-9F09-A0951E1A76F9}" destId="{BD42B711-00B4-455C-B408-7B774E033724}" srcOrd="1" destOrd="0" presId="urn:microsoft.com/office/officeart/2005/8/layout/orgChart1"/>
    <dgm:cxn modelId="{B4F5A734-77A4-4B96-A7C7-59E4F58B3F6A}" type="presParOf" srcId="{1FB61BD2-FED0-4F0A-B3BE-FEEF1ED050DA}" destId="{4466AA76-4C20-4C82-8AF1-B2E61AF3DB89}" srcOrd="1" destOrd="0" presId="urn:microsoft.com/office/officeart/2005/8/layout/orgChart1"/>
    <dgm:cxn modelId="{48D2371A-FEB9-4922-8AF3-A620EA7087B2}" type="presParOf" srcId="{4466AA76-4C20-4C82-8AF1-B2E61AF3DB89}" destId="{B7A61CDB-DD19-43D7-A779-C769E67F727D}" srcOrd="0" destOrd="0" presId="urn:microsoft.com/office/officeart/2005/8/layout/orgChart1"/>
    <dgm:cxn modelId="{C8BAF05B-BD78-433A-8EF7-854CCC4135C5}" type="presParOf" srcId="{4466AA76-4C20-4C82-8AF1-B2E61AF3DB89}" destId="{1BFCFF19-0EC2-4DB7-9F69-EDC24A7B2517}" srcOrd="1" destOrd="0" presId="urn:microsoft.com/office/officeart/2005/8/layout/orgChart1"/>
    <dgm:cxn modelId="{5A2A6099-9921-4127-82CC-4D8A367AF31F}" type="presParOf" srcId="{1BFCFF19-0EC2-4DB7-9F69-EDC24A7B2517}" destId="{58EFB109-735C-4162-A1D4-102925DC3385}" srcOrd="0" destOrd="0" presId="urn:microsoft.com/office/officeart/2005/8/layout/orgChart1"/>
    <dgm:cxn modelId="{44482750-C602-4BAE-A4F7-67188D80B956}" type="presParOf" srcId="{58EFB109-735C-4162-A1D4-102925DC3385}" destId="{53CD6ABA-0725-4620-9494-A23E205C0BF4}" srcOrd="0" destOrd="0" presId="urn:microsoft.com/office/officeart/2005/8/layout/orgChart1"/>
    <dgm:cxn modelId="{63114182-5C5A-4EB3-9B39-44F1197A672E}" type="presParOf" srcId="{58EFB109-735C-4162-A1D4-102925DC3385}" destId="{86F35670-ED1C-43EE-BB4E-E1387FBD6BAB}" srcOrd="1" destOrd="0" presId="urn:microsoft.com/office/officeart/2005/8/layout/orgChart1"/>
    <dgm:cxn modelId="{FA3D4F3E-083A-4D13-B1F3-65ECFBF92262}" type="presParOf" srcId="{1BFCFF19-0EC2-4DB7-9F69-EDC24A7B2517}" destId="{0B8740A9-B031-461D-8B40-DA6F5DD8D502}" srcOrd="1" destOrd="0" presId="urn:microsoft.com/office/officeart/2005/8/layout/orgChart1"/>
    <dgm:cxn modelId="{BFB6D55C-7858-46AF-9026-89A56596CBF8}" type="presParOf" srcId="{1BFCFF19-0EC2-4DB7-9F69-EDC24A7B2517}" destId="{A4B1D86E-EF19-4F5C-B4B5-5E9A5790358D}" srcOrd="2" destOrd="0" presId="urn:microsoft.com/office/officeart/2005/8/layout/orgChart1"/>
    <dgm:cxn modelId="{04485515-33BA-4CAF-9596-CC240601868A}" type="presParOf" srcId="{4466AA76-4C20-4C82-8AF1-B2E61AF3DB89}" destId="{A2D2133E-DF19-4113-856C-07450D1D5B4B}" srcOrd="2" destOrd="0" presId="urn:microsoft.com/office/officeart/2005/8/layout/orgChart1"/>
    <dgm:cxn modelId="{DA842973-30E9-4ED0-9E51-D234B692EB25}" type="presParOf" srcId="{4466AA76-4C20-4C82-8AF1-B2E61AF3DB89}" destId="{A989B08D-AFAA-4497-B3FE-761465D9EF0A}" srcOrd="3" destOrd="0" presId="urn:microsoft.com/office/officeart/2005/8/layout/orgChart1"/>
    <dgm:cxn modelId="{F3CD3570-0E2D-4B85-B14D-353F3E506AAC}" type="presParOf" srcId="{A989B08D-AFAA-4497-B3FE-761465D9EF0A}" destId="{7FD0F421-4671-4709-9CE7-017D992AB3D7}" srcOrd="0" destOrd="0" presId="urn:microsoft.com/office/officeart/2005/8/layout/orgChart1"/>
    <dgm:cxn modelId="{B6EDDAFA-17D9-4243-B206-71CE3FD2CC58}" type="presParOf" srcId="{7FD0F421-4671-4709-9CE7-017D992AB3D7}" destId="{609C40B9-27F2-453E-8183-097769512DCC}" srcOrd="0" destOrd="0" presId="urn:microsoft.com/office/officeart/2005/8/layout/orgChart1"/>
    <dgm:cxn modelId="{DBE842F0-4596-42F1-817A-6C775A8E39DA}" type="presParOf" srcId="{7FD0F421-4671-4709-9CE7-017D992AB3D7}" destId="{1469041E-5B6B-4A14-92E7-0A5A5535073F}" srcOrd="1" destOrd="0" presId="urn:microsoft.com/office/officeart/2005/8/layout/orgChart1"/>
    <dgm:cxn modelId="{F7FB6E2E-7A21-44F5-805C-F1FA2EDA4A5E}" type="presParOf" srcId="{A989B08D-AFAA-4497-B3FE-761465D9EF0A}" destId="{2571106E-B22C-4EC6-9BB0-F58C8E934747}" srcOrd="1" destOrd="0" presId="urn:microsoft.com/office/officeart/2005/8/layout/orgChart1"/>
    <dgm:cxn modelId="{EE305DA1-976F-4A8E-9AD6-C6AEFCB02567}" type="presParOf" srcId="{A989B08D-AFAA-4497-B3FE-761465D9EF0A}" destId="{741D7D06-A266-4DB3-9A28-04DF11EB80B1}" srcOrd="2" destOrd="0" presId="urn:microsoft.com/office/officeart/2005/8/layout/orgChart1"/>
    <dgm:cxn modelId="{C7793760-F561-4ED2-A910-9FC659B29528}" type="presParOf" srcId="{4466AA76-4C20-4C82-8AF1-B2E61AF3DB89}" destId="{844187E6-76FF-4929-BBE4-EE791A9ADF40}" srcOrd="4" destOrd="0" presId="urn:microsoft.com/office/officeart/2005/8/layout/orgChart1"/>
    <dgm:cxn modelId="{C94A8833-18DA-4C1C-974E-27569269DE43}" type="presParOf" srcId="{4466AA76-4C20-4C82-8AF1-B2E61AF3DB89}" destId="{4D950B7A-BE42-47F2-8A29-D7245BA6DCC8}" srcOrd="5" destOrd="0" presId="urn:microsoft.com/office/officeart/2005/8/layout/orgChart1"/>
    <dgm:cxn modelId="{123895D5-6C4F-4B65-8A73-3957B9B694D7}" type="presParOf" srcId="{4D950B7A-BE42-47F2-8A29-D7245BA6DCC8}" destId="{65EF61FE-5439-45B6-BEBA-E95C8EBE6F22}" srcOrd="0" destOrd="0" presId="urn:microsoft.com/office/officeart/2005/8/layout/orgChart1"/>
    <dgm:cxn modelId="{1DBBC6F5-9AB7-43ED-B194-33FAAFCE9B35}" type="presParOf" srcId="{65EF61FE-5439-45B6-BEBA-E95C8EBE6F22}" destId="{E9A0F54A-6335-44B3-947C-0BCBD9BA7B08}" srcOrd="0" destOrd="0" presId="urn:microsoft.com/office/officeart/2005/8/layout/orgChart1"/>
    <dgm:cxn modelId="{0135B21C-486B-4B3D-9F21-6DCC4F0A14F8}" type="presParOf" srcId="{65EF61FE-5439-45B6-BEBA-E95C8EBE6F22}" destId="{3DAC9EE9-F7DF-439D-BBAF-24DBEDA1BE94}" srcOrd="1" destOrd="0" presId="urn:microsoft.com/office/officeart/2005/8/layout/orgChart1"/>
    <dgm:cxn modelId="{5811D941-C42A-45D5-AA3A-40847421D6E0}" type="presParOf" srcId="{4D950B7A-BE42-47F2-8A29-D7245BA6DCC8}" destId="{75CDFA22-4D80-4EFA-B80B-5AF044A80835}" srcOrd="1" destOrd="0" presId="urn:microsoft.com/office/officeart/2005/8/layout/orgChart1"/>
    <dgm:cxn modelId="{EBFB55C1-C9DF-45F6-AB3B-8CD101CB2D2D}" type="presParOf" srcId="{4D950B7A-BE42-47F2-8A29-D7245BA6DCC8}" destId="{63EBC5BD-060F-44F5-9206-904DE22DD651}" srcOrd="2" destOrd="0" presId="urn:microsoft.com/office/officeart/2005/8/layout/orgChart1"/>
    <dgm:cxn modelId="{A641A091-1637-40C1-B43A-65E95135FAE3}" type="presParOf" srcId="{4466AA76-4C20-4C82-8AF1-B2E61AF3DB89}" destId="{C93F79D8-7F6D-49BF-B100-FD72B15C9147}" srcOrd="6" destOrd="0" presId="urn:microsoft.com/office/officeart/2005/8/layout/orgChart1"/>
    <dgm:cxn modelId="{17EADB75-09B2-4DD5-9202-8EDBC73AEAEE}" type="presParOf" srcId="{4466AA76-4C20-4C82-8AF1-B2E61AF3DB89}" destId="{5AB66D54-683E-4064-8645-3F053780D069}" srcOrd="7" destOrd="0" presId="urn:microsoft.com/office/officeart/2005/8/layout/orgChart1"/>
    <dgm:cxn modelId="{6BD3D9DD-A51A-40A9-B025-1C40C555FB7A}" type="presParOf" srcId="{5AB66D54-683E-4064-8645-3F053780D069}" destId="{E9A6A087-26BC-4F1C-8E0B-848805CB9F38}" srcOrd="0" destOrd="0" presId="urn:microsoft.com/office/officeart/2005/8/layout/orgChart1"/>
    <dgm:cxn modelId="{037A77DB-2FEC-4DA0-98C7-41276666255B}" type="presParOf" srcId="{E9A6A087-26BC-4F1C-8E0B-848805CB9F38}" destId="{6615CC95-8184-4A74-8886-438080F7B78A}" srcOrd="0" destOrd="0" presId="urn:microsoft.com/office/officeart/2005/8/layout/orgChart1"/>
    <dgm:cxn modelId="{DD4FB87F-4726-4ABB-9428-E65BDCA65E40}" type="presParOf" srcId="{E9A6A087-26BC-4F1C-8E0B-848805CB9F38}" destId="{8575F21B-968D-43FB-A171-9361C8D5EC87}" srcOrd="1" destOrd="0" presId="urn:microsoft.com/office/officeart/2005/8/layout/orgChart1"/>
    <dgm:cxn modelId="{A45E43EA-DF34-4840-8D33-F4BC7A644EF2}" type="presParOf" srcId="{5AB66D54-683E-4064-8645-3F053780D069}" destId="{5D34E399-3484-40DB-8C33-8547D9525442}" srcOrd="1" destOrd="0" presId="urn:microsoft.com/office/officeart/2005/8/layout/orgChart1"/>
    <dgm:cxn modelId="{DDC37D00-E676-4AD8-B3E2-E24685390AE2}" type="presParOf" srcId="{5AB66D54-683E-4064-8645-3F053780D069}" destId="{9E82DCF3-85F2-4014-B766-C6E59E8DBEE1}" srcOrd="2" destOrd="0" presId="urn:microsoft.com/office/officeart/2005/8/layout/orgChart1"/>
    <dgm:cxn modelId="{AE407159-4827-4389-9DFB-794E91F781CE}" type="presParOf" srcId="{4466AA76-4C20-4C82-8AF1-B2E61AF3DB89}" destId="{7F25AD5E-5711-4AE1-9A38-B91C539DF844}" srcOrd="8" destOrd="0" presId="urn:microsoft.com/office/officeart/2005/8/layout/orgChart1"/>
    <dgm:cxn modelId="{B0EE1CED-0F31-4990-8A44-553817EA42D6}" type="presParOf" srcId="{4466AA76-4C20-4C82-8AF1-B2E61AF3DB89}" destId="{B5C3FA4B-8431-4E4F-AAB6-9230312E9EE4}" srcOrd="9" destOrd="0" presId="urn:microsoft.com/office/officeart/2005/8/layout/orgChart1"/>
    <dgm:cxn modelId="{B86578C6-F676-416D-813A-21A485F093FD}" type="presParOf" srcId="{B5C3FA4B-8431-4E4F-AAB6-9230312E9EE4}" destId="{68871797-1B7C-4190-A5A3-E2DB81768410}" srcOrd="0" destOrd="0" presId="urn:microsoft.com/office/officeart/2005/8/layout/orgChart1"/>
    <dgm:cxn modelId="{BE764EBA-A625-4185-9E50-65A4392B08CF}" type="presParOf" srcId="{68871797-1B7C-4190-A5A3-E2DB81768410}" destId="{0D648FAF-1DA4-4304-972D-EBAB8D9D08C5}" srcOrd="0" destOrd="0" presId="urn:microsoft.com/office/officeart/2005/8/layout/orgChart1"/>
    <dgm:cxn modelId="{9B87B7D9-6C38-4421-98F4-E22FD541291A}" type="presParOf" srcId="{68871797-1B7C-4190-A5A3-E2DB81768410}" destId="{1033855A-90A1-47ED-AFA3-6D0F8CE9AEAC}" srcOrd="1" destOrd="0" presId="urn:microsoft.com/office/officeart/2005/8/layout/orgChart1"/>
    <dgm:cxn modelId="{151A851E-AC6B-4285-9F93-E7553571A6C8}" type="presParOf" srcId="{B5C3FA4B-8431-4E4F-AAB6-9230312E9EE4}" destId="{FE38CFFA-996F-40CC-87D9-429053ABF03E}" srcOrd="1" destOrd="0" presId="urn:microsoft.com/office/officeart/2005/8/layout/orgChart1"/>
    <dgm:cxn modelId="{0D795A45-7820-4133-B68A-B99A1691FBE8}" type="presParOf" srcId="{B5C3FA4B-8431-4E4F-AAB6-9230312E9EE4}" destId="{6CFD9327-7F8D-46F5-9948-853FFAC2B2FA}" srcOrd="2" destOrd="0" presId="urn:microsoft.com/office/officeart/2005/8/layout/orgChart1"/>
    <dgm:cxn modelId="{7CC3893D-84E8-4BD8-A898-091541F5C718}" type="presParOf" srcId="{4466AA76-4C20-4C82-8AF1-B2E61AF3DB89}" destId="{BB3D46CC-1096-4A8D-A567-4B1DA8395974}" srcOrd="10" destOrd="0" presId="urn:microsoft.com/office/officeart/2005/8/layout/orgChart1"/>
    <dgm:cxn modelId="{83F9E67A-3A0B-4872-A806-CA8C8B8C546C}" type="presParOf" srcId="{4466AA76-4C20-4C82-8AF1-B2E61AF3DB89}" destId="{3B03F9BE-A2E4-49CD-BFD2-A2523CC9C8D3}" srcOrd="11" destOrd="0" presId="urn:microsoft.com/office/officeart/2005/8/layout/orgChart1"/>
    <dgm:cxn modelId="{382CFEA8-2E5B-4265-BF02-A4D592BB00B4}" type="presParOf" srcId="{3B03F9BE-A2E4-49CD-BFD2-A2523CC9C8D3}" destId="{B01AC98C-9818-4BAD-86CE-28A4EE357283}" srcOrd="0" destOrd="0" presId="urn:microsoft.com/office/officeart/2005/8/layout/orgChart1"/>
    <dgm:cxn modelId="{A3C258E4-638C-4673-A72F-F04FC1F77CE8}" type="presParOf" srcId="{B01AC98C-9818-4BAD-86CE-28A4EE357283}" destId="{009E53A5-77C1-441C-AFCA-67448F33B8C5}" srcOrd="0" destOrd="0" presId="urn:microsoft.com/office/officeart/2005/8/layout/orgChart1"/>
    <dgm:cxn modelId="{63061823-D229-40AB-A929-49CC5A3EF60F}" type="presParOf" srcId="{B01AC98C-9818-4BAD-86CE-28A4EE357283}" destId="{00709937-0028-4A56-9012-2AD8C2D85787}" srcOrd="1" destOrd="0" presId="urn:microsoft.com/office/officeart/2005/8/layout/orgChart1"/>
    <dgm:cxn modelId="{1A649F22-D3E0-4561-9B6B-0B3A3BEC1EEC}" type="presParOf" srcId="{3B03F9BE-A2E4-49CD-BFD2-A2523CC9C8D3}" destId="{0F5ED03F-A3F9-45B9-BB29-C3D0B674ADA0}" srcOrd="1" destOrd="0" presId="urn:microsoft.com/office/officeart/2005/8/layout/orgChart1"/>
    <dgm:cxn modelId="{D0189F04-74C9-40DD-B48F-133DE22BCD1B}" type="presParOf" srcId="{3B03F9BE-A2E4-49CD-BFD2-A2523CC9C8D3}" destId="{C78866EC-483A-4ED5-8ECD-009EEF59ADEF}" srcOrd="2" destOrd="0" presId="urn:microsoft.com/office/officeart/2005/8/layout/orgChart1"/>
    <dgm:cxn modelId="{339293CF-84F3-4679-AD58-607E317E75C9}" type="presParOf" srcId="{4466AA76-4C20-4C82-8AF1-B2E61AF3DB89}" destId="{8E47A068-F4BD-41EA-8DFE-48076EA44852}" srcOrd="12" destOrd="0" presId="urn:microsoft.com/office/officeart/2005/8/layout/orgChart1"/>
    <dgm:cxn modelId="{20234116-99DC-4414-8F40-C5639387407C}" type="presParOf" srcId="{4466AA76-4C20-4C82-8AF1-B2E61AF3DB89}" destId="{26ED5CEB-12DF-44A9-BDED-0F15F963D188}" srcOrd="13" destOrd="0" presId="urn:microsoft.com/office/officeart/2005/8/layout/orgChart1"/>
    <dgm:cxn modelId="{2B065E71-E44A-4412-9113-799AD72F3740}" type="presParOf" srcId="{26ED5CEB-12DF-44A9-BDED-0F15F963D188}" destId="{93772529-81BD-48BB-A6CF-946FE20D8B46}" srcOrd="0" destOrd="0" presId="urn:microsoft.com/office/officeart/2005/8/layout/orgChart1"/>
    <dgm:cxn modelId="{40ACBFDB-C9FA-4A04-A508-6A008DBB2013}" type="presParOf" srcId="{93772529-81BD-48BB-A6CF-946FE20D8B46}" destId="{7FA4D188-399C-427C-A220-0CA1482B0242}" srcOrd="0" destOrd="0" presId="urn:microsoft.com/office/officeart/2005/8/layout/orgChart1"/>
    <dgm:cxn modelId="{FD8D459A-D1A4-419F-A5D7-785B607D0A97}" type="presParOf" srcId="{93772529-81BD-48BB-A6CF-946FE20D8B46}" destId="{1B588151-F45F-4E06-AA69-4B111166DF2A}" srcOrd="1" destOrd="0" presId="urn:microsoft.com/office/officeart/2005/8/layout/orgChart1"/>
    <dgm:cxn modelId="{3AE71E4F-609D-43E7-BFAF-198455D0B5C3}" type="presParOf" srcId="{26ED5CEB-12DF-44A9-BDED-0F15F963D188}" destId="{8ED14732-C6EF-4891-A1D5-C2CE32B6107E}" srcOrd="1" destOrd="0" presId="urn:microsoft.com/office/officeart/2005/8/layout/orgChart1"/>
    <dgm:cxn modelId="{5FA70C45-FAC1-4508-AC42-32A1265814E3}" type="presParOf" srcId="{26ED5CEB-12DF-44A9-BDED-0F15F963D188}" destId="{ED362DCB-2F57-40CF-89B2-D5E8528500BB}" srcOrd="2" destOrd="0" presId="urn:microsoft.com/office/officeart/2005/8/layout/orgChart1"/>
    <dgm:cxn modelId="{A1F3C179-7042-4715-8216-960BE496C688}" type="presParOf" srcId="{4466AA76-4C20-4C82-8AF1-B2E61AF3DB89}" destId="{6E8D8DD1-0F4B-44BC-84F1-A50CF5D32691}" srcOrd="14" destOrd="0" presId="urn:microsoft.com/office/officeart/2005/8/layout/orgChart1"/>
    <dgm:cxn modelId="{D5376E1E-28A2-4866-8807-CB2763E4C8DB}" type="presParOf" srcId="{4466AA76-4C20-4C82-8AF1-B2E61AF3DB89}" destId="{06541204-E07F-4149-B094-9CBF717732E8}" srcOrd="15" destOrd="0" presId="urn:microsoft.com/office/officeart/2005/8/layout/orgChart1"/>
    <dgm:cxn modelId="{67FF07EE-801C-46DC-AADE-A526C4C9272A}" type="presParOf" srcId="{06541204-E07F-4149-B094-9CBF717732E8}" destId="{DA24C9D1-DE06-4682-BB56-290004858A7E}" srcOrd="0" destOrd="0" presId="urn:microsoft.com/office/officeart/2005/8/layout/orgChart1"/>
    <dgm:cxn modelId="{C9954C46-3B6A-4EF3-8CDE-2799DF02A617}" type="presParOf" srcId="{DA24C9D1-DE06-4682-BB56-290004858A7E}" destId="{D1529D59-3971-4179-9CB7-ACD08E58E993}" srcOrd="0" destOrd="0" presId="urn:microsoft.com/office/officeart/2005/8/layout/orgChart1"/>
    <dgm:cxn modelId="{3B6386EC-AC50-44C8-A2FC-AA5E237CA8F1}" type="presParOf" srcId="{DA24C9D1-DE06-4682-BB56-290004858A7E}" destId="{2D362F3A-0F33-4CAF-A179-6432D4D60D08}" srcOrd="1" destOrd="0" presId="urn:microsoft.com/office/officeart/2005/8/layout/orgChart1"/>
    <dgm:cxn modelId="{45657F05-16B3-4FB9-AF1B-17D840A421CC}" type="presParOf" srcId="{06541204-E07F-4149-B094-9CBF717732E8}" destId="{A97E7D35-EE33-4B4D-BC30-79DDD27E98B0}" srcOrd="1" destOrd="0" presId="urn:microsoft.com/office/officeart/2005/8/layout/orgChart1"/>
    <dgm:cxn modelId="{DDB533E8-F017-4D80-B396-2957FDD33A9D}" type="presParOf" srcId="{06541204-E07F-4149-B094-9CBF717732E8}" destId="{8CEA5C6A-69F0-43C4-9CCA-EC115F7917D7}" srcOrd="2" destOrd="0" presId="urn:microsoft.com/office/officeart/2005/8/layout/orgChart1"/>
    <dgm:cxn modelId="{851D1E9D-F38C-43D1-B3A4-E77D94C4F88D}" type="presParOf" srcId="{4466AA76-4C20-4C82-8AF1-B2E61AF3DB89}" destId="{176E6E30-5441-43D8-A2FD-9DF8DD5296EA}" srcOrd="16" destOrd="0" presId="urn:microsoft.com/office/officeart/2005/8/layout/orgChart1"/>
    <dgm:cxn modelId="{6ADFD9AB-A500-44CF-BED8-D986F15CC4F5}" type="presParOf" srcId="{4466AA76-4C20-4C82-8AF1-B2E61AF3DB89}" destId="{2F4D15FD-F27D-4E94-B42B-032083D7B363}" srcOrd="17" destOrd="0" presId="urn:microsoft.com/office/officeart/2005/8/layout/orgChart1"/>
    <dgm:cxn modelId="{9D76D44F-F88F-423A-ABD8-7277BD6E70F3}" type="presParOf" srcId="{2F4D15FD-F27D-4E94-B42B-032083D7B363}" destId="{D8EA75EB-FDA7-4244-9CE1-EE5446BDA05A}" srcOrd="0" destOrd="0" presId="urn:microsoft.com/office/officeart/2005/8/layout/orgChart1"/>
    <dgm:cxn modelId="{7C0CF563-1C7D-4C49-AEA4-CCC75D0D179F}" type="presParOf" srcId="{D8EA75EB-FDA7-4244-9CE1-EE5446BDA05A}" destId="{ABCE32FF-310E-4F62-8BBC-8ABCAE21A6B8}" srcOrd="0" destOrd="0" presId="urn:microsoft.com/office/officeart/2005/8/layout/orgChart1"/>
    <dgm:cxn modelId="{69CAEFEB-192C-4890-A0C3-09BA0A2ECB63}" type="presParOf" srcId="{D8EA75EB-FDA7-4244-9CE1-EE5446BDA05A}" destId="{B0F94922-ED3D-4197-902B-F160F5E56078}" srcOrd="1" destOrd="0" presId="urn:microsoft.com/office/officeart/2005/8/layout/orgChart1"/>
    <dgm:cxn modelId="{BC75DF87-B069-4A10-A9BB-5EBF4ED8767C}" type="presParOf" srcId="{2F4D15FD-F27D-4E94-B42B-032083D7B363}" destId="{F406E1E3-9C75-438A-8BBD-7E804E59E6F2}" srcOrd="1" destOrd="0" presId="urn:microsoft.com/office/officeart/2005/8/layout/orgChart1"/>
    <dgm:cxn modelId="{959B56C6-AC43-46D8-94B7-1DFD07DF8C35}" type="presParOf" srcId="{2F4D15FD-F27D-4E94-B42B-032083D7B363}" destId="{5E7494C5-4B90-4EFE-9391-6ABFF79F1384}" srcOrd="2" destOrd="0" presId="urn:microsoft.com/office/officeart/2005/8/layout/orgChart1"/>
    <dgm:cxn modelId="{1088E1A4-12EB-4915-BAF2-B1E31B239102}" type="presParOf" srcId="{1FB61BD2-FED0-4F0A-B3BE-FEEF1ED050DA}" destId="{4EDF591E-7CC5-4E2A-AC3C-0314099FC657}" srcOrd="2" destOrd="0" presId="urn:microsoft.com/office/officeart/2005/8/layout/orgChart1"/>
    <dgm:cxn modelId="{2439F4FA-24B5-4090-8FC7-35A6328C8527}" type="presParOf" srcId="{FC1C7F29-50C7-4918-AEE9-A502D9F7A4BB}" destId="{2558FD20-2AAA-42E3-850A-807A28318ECF}" srcOrd="2" destOrd="0" presId="urn:microsoft.com/office/officeart/2005/8/layout/orgChart1"/>
    <dgm:cxn modelId="{CF2BEC78-FEA4-4702-8DF7-1D5F2CFF35C6}" type="presParOf" srcId="{FC1C7F29-50C7-4918-AEE9-A502D9F7A4BB}" destId="{6C342C7E-ED1D-4936-A26B-C9F31E40FA46}" srcOrd="3" destOrd="0" presId="urn:microsoft.com/office/officeart/2005/8/layout/orgChart1"/>
    <dgm:cxn modelId="{D1A8861A-873E-48F9-B85A-A623558AECC0}" type="presParOf" srcId="{6C342C7E-ED1D-4936-A26B-C9F31E40FA46}" destId="{6EDC6498-ACE6-495B-84B2-9611A35827F6}" srcOrd="0" destOrd="0" presId="urn:microsoft.com/office/officeart/2005/8/layout/orgChart1"/>
    <dgm:cxn modelId="{61085DF6-C598-459A-A003-B7BCA2BCE64A}" type="presParOf" srcId="{6EDC6498-ACE6-495B-84B2-9611A35827F6}" destId="{7717E88C-8096-4D98-8C10-6F849847F33D}" srcOrd="0" destOrd="0" presId="urn:microsoft.com/office/officeart/2005/8/layout/orgChart1"/>
    <dgm:cxn modelId="{02E3DA26-8683-479B-93E9-EA1F442A51BF}" type="presParOf" srcId="{6EDC6498-ACE6-495B-84B2-9611A35827F6}" destId="{AB3837C5-AAC0-49D3-8F6B-7019E602EF8B}" srcOrd="1" destOrd="0" presId="urn:microsoft.com/office/officeart/2005/8/layout/orgChart1"/>
    <dgm:cxn modelId="{6C3488B7-CC86-4E7D-86EC-31D88DAA7C31}" type="presParOf" srcId="{6C342C7E-ED1D-4936-A26B-C9F31E40FA46}" destId="{06304CCA-1895-408F-AF79-6D88FED1217F}" srcOrd="1" destOrd="0" presId="urn:microsoft.com/office/officeart/2005/8/layout/orgChart1"/>
    <dgm:cxn modelId="{8B285A79-6A58-43B2-A2F9-5D16C1DE17FA}" type="presParOf" srcId="{06304CCA-1895-408F-AF79-6D88FED1217F}" destId="{3CE8DE57-4F2A-4759-AE5E-7353EADD2335}" srcOrd="0" destOrd="0" presId="urn:microsoft.com/office/officeart/2005/8/layout/orgChart1"/>
    <dgm:cxn modelId="{A6036AB7-A845-4D82-8B65-175829E5AB54}" type="presParOf" srcId="{06304CCA-1895-408F-AF79-6D88FED1217F}" destId="{993F9A0B-4D0B-48E5-A9B6-15B095C6B625}" srcOrd="1" destOrd="0" presId="urn:microsoft.com/office/officeart/2005/8/layout/orgChart1"/>
    <dgm:cxn modelId="{4A5ADC06-BA1A-488E-B0BD-48276343F7E9}" type="presParOf" srcId="{993F9A0B-4D0B-48E5-A9B6-15B095C6B625}" destId="{D9634A84-515F-4526-A216-1291705DC936}" srcOrd="0" destOrd="0" presId="urn:microsoft.com/office/officeart/2005/8/layout/orgChart1"/>
    <dgm:cxn modelId="{2D9CBD4A-7051-494F-9174-AEAF4F5DB8A4}" type="presParOf" srcId="{D9634A84-515F-4526-A216-1291705DC936}" destId="{8881AAB7-7189-4324-818B-94A495A2CBAD}" srcOrd="0" destOrd="0" presId="urn:microsoft.com/office/officeart/2005/8/layout/orgChart1"/>
    <dgm:cxn modelId="{DAD954FC-5B33-4C2B-9D07-B5471FC6370B}" type="presParOf" srcId="{D9634A84-515F-4526-A216-1291705DC936}" destId="{1D5422F5-78AD-4266-8398-60C9AA029BB2}" srcOrd="1" destOrd="0" presId="urn:microsoft.com/office/officeart/2005/8/layout/orgChart1"/>
    <dgm:cxn modelId="{9E64A111-01FF-40D7-A200-79574358EBCD}" type="presParOf" srcId="{993F9A0B-4D0B-48E5-A9B6-15B095C6B625}" destId="{33C702A7-839A-425F-A602-73B167285B06}" srcOrd="1" destOrd="0" presId="urn:microsoft.com/office/officeart/2005/8/layout/orgChart1"/>
    <dgm:cxn modelId="{613666FD-58B9-432A-AF8F-8740F988BA4F}" type="presParOf" srcId="{33C702A7-839A-425F-A602-73B167285B06}" destId="{7449F863-1B02-4A9F-83C9-BAAB2389E8ED}" srcOrd="0" destOrd="0" presId="urn:microsoft.com/office/officeart/2005/8/layout/orgChart1"/>
    <dgm:cxn modelId="{0280F496-6D7C-4BBF-867C-6D6148B7D82F}" type="presParOf" srcId="{33C702A7-839A-425F-A602-73B167285B06}" destId="{2D7D41D0-FB78-417B-BB7C-B9808693080B}" srcOrd="1" destOrd="0" presId="urn:microsoft.com/office/officeart/2005/8/layout/orgChart1"/>
    <dgm:cxn modelId="{87699990-8E09-4771-BFD9-1A4CB4305DCF}" type="presParOf" srcId="{2D7D41D0-FB78-417B-BB7C-B9808693080B}" destId="{96A12F1F-9E41-43C7-930A-605F42A3E4D1}" srcOrd="0" destOrd="0" presId="urn:microsoft.com/office/officeart/2005/8/layout/orgChart1"/>
    <dgm:cxn modelId="{FD8F1A9F-DAF4-47C3-9B79-9663A81B7108}" type="presParOf" srcId="{96A12F1F-9E41-43C7-930A-605F42A3E4D1}" destId="{66D97830-6A7E-4455-8506-C3A36AEC6C70}" srcOrd="0" destOrd="0" presId="urn:microsoft.com/office/officeart/2005/8/layout/orgChart1"/>
    <dgm:cxn modelId="{AA9B5794-3784-4524-8ADE-734EAE6F2C9C}" type="presParOf" srcId="{96A12F1F-9E41-43C7-930A-605F42A3E4D1}" destId="{E6B59BB8-78FF-451B-9E5C-6D93470CDA05}" srcOrd="1" destOrd="0" presId="urn:microsoft.com/office/officeart/2005/8/layout/orgChart1"/>
    <dgm:cxn modelId="{CCC292D1-4396-41E7-B8AC-B1452B950F47}" type="presParOf" srcId="{2D7D41D0-FB78-417B-BB7C-B9808693080B}" destId="{9FB8505F-F83B-469D-A082-ED435E5E2265}" srcOrd="1" destOrd="0" presId="urn:microsoft.com/office/officeart/2005/8/layout/orgChart1"/>
    <dgm:cxn modelId="{18C24A5F-35BC-44DA-9968-C62268DAD05D}" type="presParOf" srcId="{2D7D41D0-FB78-417B-BB7C-B9808693080B}" destId="{32D6B791-5E49-419C-A8BA-868A251680E7}" srcOrd="2" destOrd="0" presId="urn:microsoft.com/office/officeart/2005/8/layout/orgChart1"/>
    <dgm:cxn modelId="{199C1829-3E6D-4F7A-BF8E-5A45F6A12A35}" type="presParOf" srcId="{33C702A7-839A-425F-A602-73B167285B06}" destId="{27E30F65-4629-486F-A8C6-D08F8F521462}" srcOrd="2" destOrd="0" presId="urn:microsoft.com/office/officeart/2005/8/layout/orgChart1"/>
    <dgm:cxn modelId="{A6BC0659-BF8E-47DE-847F-1ECCF9900449}" type="presParOf" srcId="{33C702A7-839A-425F-A602-73B167285B06}" destId="{819E02B9-1C3C-44E5-9CFA-A8D1024F4AE2}" srcOrd="3" destOrd="0" presId="urn:microsoft.com/office/officeart/2005/8/layout/orgChart1"/>
    <dgm:cxn modelId="{3D874A7F-BA99-4CED-9ED8-7D1936AA460C}" type="presParOf" srcId="{819E02B9-1C3C-44E5-9CFA-A8D1024F4AE2}" destId="{9FC2E17E-BE42-4543-8665-3FE6CDB4512F}" srcOrd="0" destOrd="0" presId="urn:microsoft.com/office/officeart/2005/8/layout/orgChart1"/>
    <dgm:cxn modelId="{62DC84E7-4CB1-4109-9AEC-FC7BC527790E}" type="presParOf" srcId="{9FC2E17E-BE42-4543-8665-3FE6CDB4512F}" destId="{D4932E5F-7FA6-4B29-A820-8D80F655834D}" srcOrd="0" destOrd="0" presId="urn:microsoft.com/office/officeart/2005/8/layout/orgChart1"/>
    <dgm:cxn modelId="{0BBAEADE-5CDF-4BC4-8B46-73FBC886D5C8}" type="presParOf" srcId="{9FC2E17E-BE42-4543-8665-3FE6CDB4512F}" destId="{81C2CF3C-2A6C-4FCA-962C-BF6AEA0FF1AE}" srcOrd="1" destOrd="0" presId="urn:microsoft.com/office/officeart/2005/8/layout/orgChart1"/>
    <dgm:cxn modelId="{86AF8573-6FCF-4996-A1EA-A007EC2EF62B}" type="presParOf" srcId="{819E02B9-1C3C-44E5-9CFA-A8D1024F4AE2}" destId="{11AE2DB0-1118-4B8A-81F2-6125F9A406F2}" srcOrd="1" destOrd="0" presId="urn:microsoft.com/office/officeart/2005/8/layout/orgChart1"/>
    <dgm:cxn modelId="{978F1DAE-DAD8-4E7C-8BBF-1E793CE8877E}" type="presParOf" srcId="{819E02B9-1C3C-44E5-9CFA-A8D1024F4AE2}" destId="{0BBAA7CF-8916-4C7E-B3B1-CDED64E33045}" srcOrd="2" destOrd="0" presId="urn:microsoft.com/office/officeart/2005/8/layout/orgChart1"/>
    <dgm:cxn modelId="{28EC9A1D-C6D4-431B-95D8-E95CCCA6BC54}" type="presParOf" srcId="{33C702A7-839A-425F-A602-73B167285B06}" destId="{09C6395B-4055-44E0-BA11-3DE1F5BF09B1}" srcOrd="4" destOrd="0" presId="urn:microsoft.com/office/officeart/2005/8/layout/orgChart1"/>
    <dgm:cxn modelId="{F364EE63-7753-45A1-A428-394F9A8F2F65}" type="presParOf" srcId="{33C702A7-839A-425F-A602-73B167285B06}" destId="{B50565FF-2E81-4DD7-BD28-DC07149F6743}" srcOrd="5" destOrd="0" presId="urn:microsoft.com/office/officeart/2005/8/layout/orgChart1"/>
    <dgm:cxn modelId="{8AFD413C-D10C-4670-B862-1D337EF15357}" type="presParOf" srcId="{B50565FF-2E81-4DD7-BD28-DC07149F6743}" destId="{3B331915-B16A-41AF-A962-E98C5BA0B943}" srcOrd="0" destOrd="0" presId="urn:microsoft.com/office/officeart/2005/8/layout/orgChart1"/>
    <dgm:cxn modelId="{4A11A0EA-D652-4400-AD25-74EEF12CEA69}" type="presParOf" srcId="{3B331915-B16A-41AF-A962-E98C5BA0B943}" destId="{788D0E5B-B4AA-486F-A0CF-21C3F648F44F}" srcOrd="0" destOrd="0" presId="urn:microsoft.com/office/officeart/2005/8/layout/orgChart1"/>
    <dgm:cxn modelId="{FCB55DFE-4631-4173-A38D-B1228D535867}" type="presParOf" srcId="{3B331915-B16A-41AF-A962-E98C5BA0B943}" destId="{D1B6631E-A183-4AD0-A207-373DA2C46212}" srcOrd="1" destOrd="0" presId="urn:microsoft.com/office/officeart/2005/8/layout/orgChart1"/>
    <dgm:cxn modelId="{9044F37A-9F89-4236-9C49-79C9DB94D3FE}" type="presParOf" srcId="{B50565FF-2E81-4DD7-BD28-DC07149F6743}" destId="{F5372F72-2573-4F59-8EE9-E6641D638F23}" srcOrd="1" destOrd="0" presId="urn:microsoft.com/office/officeart/2005/8/layout/orgChart1"/>
    <dgm:cxn modelId="{27D59767-C00D-44E9-8C42-6B86FA9F990B}" type="presParOf" srcId="{B50565FF-2E81-4DD7-BD28-DC07149F6743}" destId="{058B65CD-09E4-465E-8F94-AD42ECBE042D}" srcOrd="2" destOrd="0" presId="urn:microsoft.com/office/officeart/2005/8/layout/orgChart1"/>
    <dgm:cxn modelId="{FEABAA71-19E0-4E87-9EEB-5075E39B57C5}" type="presParOf" srcId="{993F9A0B-4D0B-48E5-A9B6-15B095C6B625}" destId="{8B4958ED-4894-4B1E-801A-05068C88C017}" srcOrd="2" destOrd="0" presId="urn:microsoft.com/office/officeart/2005/8/layout/orgChart1"/>
    <dgm:cxn modelId="{507B82ED-C0FE-4CC0-A25E-2044C306598E}" type="presParOf" srcId="{06304CCA-1895-408F-AF79-6D88FED1217F}" destId="{95880DC0-D510-4295-A99D-BB9BAE67D8A1}" srcOrd="2" destOrd="0" presId="urn:microsoft.com/office/officeart/2005/8/layout/orgChart1"/>
    <dgm:cxn modelId="{1650569D-7C32-412D-93DB-156536A2E0E3}" type="presParOf" srcId="{06304CCA-1895-408F-AF79-6D88FED1217F}" destId="{339E5911-5015-4A4F-A7AF-E2E0ABC6ADB1}" srcOrd="3" destOrd="0" presId="urn:microsoft.com/office/officeart/2005/8/layout/orgChart1"/>
    <dgm:cxn modelId="{56F6DEA1-797C-48E5-8322-C084473B8EF0}" type="presParOf" srcId="{339E5911-5015-4A4F-A7AF-E2E0ABC6ADB1}" destId="{B522131B-13BB-42E0-8308-23FA1D435DD0}" srcOrd="0" destOrd="0" presId="urn:microsoft.com/office/officeart/2005/8/layout/orgChart1"/>
    <dgm:cxn modelId="{F45333F1-7DF0-43E0-B4AE-14EB22C6C987}" type="presParOf" srcId="{B522131B-13BB-42E0-8308-23FA1D435DD0}" destId="{3039DBD9-8D08-46DD-BFF7-469DD4136FA3}" srcOrd="0" destOrd="0" presId="urn:microsoft.com/office/officeart/2005/8/layout/orgChart1"/>
    <dgm:cxn modelId="{0D905076-FCC7-452F-A7AD-000F7D91111C}" type="presParOf" srcId="{B522131B-13BB-42E0-8308-23FA1D435DD0}" destId="{75F177C5-F527-4B45-8EF4-5F8B2555E954}" srcOrd="1" destOrd="0" presId="urn:microsoft.com/office/officeart/2005/8/layout/orgChart1"/>
    <dgm:cxn modelId="{9415DC85-8CB8-4127-A28B-650E0B447892}" type="presParOf" srcId="{339E5911-5015-4A4F-A7AF-E2E0ABC6ADB1}" destId="{C5632ACD-DD8B-492E-890D-431583CF69BF}" srcOrd="1" destOrd="0" presId="urn:microsoft.com/office/officeart/2005/8/layout/orgChart1"/>
    <dgm:cxn modelId="{5CB4FD2B-B826-46AD-AC62-662C09001578}" type="presParOf" srcId="{C5632ACD-DD8B-492E-890D-431583CF69BF}" destId="{7173B549-F137-4D1C-8290-B9B91430ED96}" srcOrd="0" destOrd="0" presId="urn:microsoft.com/office/officeart/2005/8/layout/orgChart1"/>
    <dgm:cxn modelId="{BD1DE0EB-8A8E-4135-BCFA-8B1098D25D64}" type="presParOf" srcId="{C5632ACD-DD8B-492E-890D-431583CF69BF}" destId="{65C0A823-95F8-49A0-8569-A8291C94E297}" srcOrd="1" destOrd="0" presId="urn:microsoft.com/office/officeart/2005/8/layout/orgChart1"/>
    <dgm:cxn modelId="{B744E422-EE2E-46FA-A8E3-DB56D05C8915}" type="presParOf" srcId="{65C0A823-95F8-49A0-8569-A8291C94E297}" destId="{1300581F-EF70-450C-B746-30C0E3D0DA9D}" srcOrd="0" destOrd="0" presId="urn:microsoft.com/office/officeart/2005/8/layout/orgChart1"/>
    <dgm:cxn modelId="{E9E372C4-96F2-49C9-9D77-EA4743C4F060}" type="presParOf" srcId="{1300581F-EF70-450C-B746-30C0E3D0DA9D}" destId="{4E7F10F5-9D2A-43F5-AA69-5EBE6CD852A6}" srcOrd="0" destOrd="0" presId="urn:microsoft.com/office/officeart/2005/8/layout/orgChart1"/>
    <dgm:cxn modelId="{B9DD7D74-5570-4588-B7B7-7B408761B2BF}" type="presParOf" srcId="{1300581F-EF70-450C-B746-30C0E3D0DA9D}" destId="{E4596825-EFCF-4185-BCF1-CFCE152959D4}" srcOrd="1" destOrd="0" presId="urn:microsoft.com/office/officeart/2005/8/layout/orgChart1"/>
    <dgm:cxn modelId="{25A7673D-1598-4E9F-8266-02D048BAB708}" type="presParOf" srcId="{65C0A823-95F8-49A0-8569-A8291C94E297}" destId="{859ABB40-8DD0-4946-9B1B-9072BCBC1BD7}" srcOrd="1" destOrd="0" presId="urn:microsoft.com/office/officeart/2005/8/layout/orgChart1"/>
    <dgm:cxn modelId="{5493819F-3E7B-46C3-BE4C-81B3D50A27D1}" type="presParOf" srcId="{65C0A823-95F8-49A0-8569-A8291C94E297}" destId="{9BDABE48-BC72-44DA-8797-3AFC749AD3E9}" srcOrd="2" destOrd="0" presId="urn:microsoft.com/office/officeart/2005/8/layout/orgChart1"/>
    <dgm:cxn modelId="{3C7D4911-8345-4B70-B8A4-C3B587557F78}" type="presParOf" srcId="{C5632ACD-DD8B-492E-890D-431583CF69BF}" destId="{48119197-FE93-41C1-9614-EB05D3FBC3AA}" srcOrd="2" destOrd="0" presId="urn:microsoft.com/office/officeart/2005/8/layout/orgChart1"/>
    <dgm:cxn modelId="{982D5EB4-CEB6-4FCD-8CC9-43B31CC50EF9}" type="presParOf" srcId="{C5632ACD-DD8B-492E-890D-431583CF69BF}" destId="{76CC44F7-AD17-47D8-B9D1-72146DF9B611}" srcOrd="3" destOrd="0" presId="urn:microsoft.com/office/officeart/2005/8/layout/orgChart1"/>
    <dgm:cxn modelId="{55A1354B-E391-4B7B-B4E4-B750338CEE7A}" type="presParOf" srcId="{76CC44F7-AD17-47D8-B9D1-72146DF9B611}" destId="{5AD0A6B8-D13F-455F-8534-A268E3F934F2}" srcOrd="0" destOrd="0" presId="urn:microsoft.com/office/officeart/2005/8/layout/orgChart1"/>
    <dgm:cxn modelId="{54B65686-121A-48EC-AF82-16AEE087A221}" type="presParOf" srcId="{5AD0A6B8-D13F-455F-8534-A268E3F934F2}" destId="{11939459-E0EB-41CE-8B50-08F612B998E2}" srcOrd="0" destOrd="0" presId="urn:microsoft.com/office/officeart/2005/8/layout/orgChart1"/>
    <dgm:cxn modelId="{25B1A214-6EE4-4E28-8CA1-4A50C003E5AF}" type="presParOf" srcId="{5AD0A6B8-D13F-455F-8534-A268E3F934F2}" destId="{AD5BA227-C618-4161-986C-EDD2448872D6}" srcOrd="1" destOrd="0" presId="urn:microsoft.com/office/officeart/2005/8/layout/orgChart1"/>
    <dgm:cxn modelId="{E400BFBC-3EF4-4B2F-B510-4937E6D63731}" type="presParOf" srcId="{76CC44F7-AD17-47D8-B9D1-72146DF9B611}" destId="{1BC03C6C-6B73-47B0-8421-8AC351D78839}" srcOrd="1" destOrd="0" presId="urn:microsoft.com/office/officeart/2005/8/layout/orgChart1"/>
    <dgm:cxn modelId="{84FDC480-1FC9-4D3A-9A39-B76C7E50DC54}" type="presParOf" srcId="{76CC44F7-AD17-47D8-B9D1-72146DF9B611}" destId="{D622A7C0-05EE-49C7-84DA-A2C2881E3720}" srcOrd="2" destOrd="0" presId="urn:microsoft.com/office/officeart/2005/8/layout/orgChart1"/>
    <dgm:cxn modelId="{D1C2D1F1-C998-4ED2-AAEB-6E5EC2177F37}" type="presParOf" srcId="{C5632ACD-DD8B-492E-890D-431583CF69BF}" destId="{06514E6E-A6D1-4335-B25D-26C67986FE40}" srcOrd="4" destOrd="0" presId="urn:microsoft.com/office/officeart/2005/8/layout/orgChart1"/>
    <dgm:cxn modelId="{2E0EC43B-3D84-49E8-BC48-FFF52B4B04FF}" type="presParOf" srcId="{C5632ACD-DD8B-492E-890D-431583CF69BF}" destId="{74DF147B-9AC0-4012-BC20-44F1533DD0F5}" srcOrd="5" destOrd="0" presId="urn:microsoft.com/office/officeart/2005/8/layout/orgChart1"/>
    <dgm:cxn modelId="{B880FA14-7B65-4667-B75E-D7B45D3BB051}" type="presParOf" srcId="{74DF147B-9AC0-4012-BC20-44F1533DD0F5}" destId="{14F26509-D0AF-4407-B2D3-0E68C5BE01EC}" srcOrd="0" destOrd="0" presId="urn:microsoft.com/office/officeart/2005/8/layout/orgChart1"/>
    <dgm:cxn modelId="{214518E1-E59B-441E-93A1-27A8ADB938C3}" type="presParOf" srcId="{14F26509-D0AF-4407-B2D3-0E68C5BE01EC}" destId="{750D0113-1E32-4FD1-9A53-C28AF85EB3AE}" srcOrd="0" destOrd="0" presId="urn:microsoft.com/office/officeart/2005/8/layout/orgChart1"/>
    <dgm:cxn modelId="{C47DA907-C790-48F0-9AE5-6108D6BBB03A}" type="presParOf" srcId="{14F26509-D0AF-4407-B2D3-0E68C5BE01EC}" destId="{45E8EB68-9C26-41A4-AA36-5C79AE50F00A}" srcOrd="1" destOrd="0" presId="urn:microsoft.com/office/officeart/2005/8/layout/orgChart1"/>
    <dgm:cxn modelId="{390AC97D-BA77-4CED-B529-0E5F9E5E068E}" type="presParOf" srcId="{74DF147B-9AC0-4012-BC20-44F1533DD0F5}" destId="{0BEDACC2-A2E1-430D-9B7E-311608D7C2A2}" srcOrd="1" destOrd="0" presId="urn:microsoft.com/office/officeart/2005/8/layout/orgChart1"/>
    <dgm:cxn modelId="{8F31AEDC-EE2A-41D6-946B-9778F1D0C967}" type="presParOf" srcId="{74DF147B-9AC0-4012-BC20-44F1533DD0F5}" destId="{C03A0FDF-AC59-44A6-AFCF-5F8567532585}" srcOrd="2" destOrd="0" presId="urn:microsoft.com/office/officeart/2005/8/layout/orgChart1"/>
    <dgm:cxn modelId="{EE825DD7-BB95-4C73-80C5-E249FD345B3B}" type="presParOf" srcId="{339E5911-5015-4A4F-A7AF-E2E0ABC6ADB1}" destId="{EE30AB35-996B-42CF-9382-B10E56F5BDCA}" srcOrd="2" destOrd="0" presId="urn:microsoft.com/office/officeart/2005/8/layout/orgChart1"/>
    <dgm:cxn modelId="{622E11A2-B936-45E8-B73A-51D6E9437C95}" type="presParOf" srcId="{06304CCA-1895-408F-AF79-6D88FED1217F}" destId="{34A6B83A-B826-4336-860D-EB87258A0851}" srcOrd="4" destOrd="0" presId="urn:microsoft.com/office/officeart/2005/8/layout/orgChart1"/>
    <dgm:cxn modelId="{866EF532-2849-428E-9865-9500786C9F71}" type="presParOf" srcId="{06304CCA-1895-408F-AF79-6D88FED1217F}" destId="{44578224-6BC2-46C4-AAB3-0C9026C03D7C}" srcOrd="5" destOrd="0" presId="urn:microsoft.com/office/officeart/2005/8/layout/orgChart1"/>
    <dgm:cxn modelId="{4E18E444-295D-432B-913B-D5BE7D47BA8D}" type="presParOf" srcId="{44578224-6BC2-46C4-AAB3-0C9026C03D7C}" destId="{A0D392FA-F7B3-4D13-9F69-C257786D50EE}" srcOrd="0" destOrd="0" presId="urn:microsoft.com/office/officeart/2005/8/layout/orgChart1"/>
    <dgm:cxn modelId="{A93B00E6-2E1A-427C-8E29-31F5E4C61236}" type="presParOf" srcId="{A0D392FA-F7B3-4D13-9F69-C257786D50EE}" destId="{ACF3BC3E-1746-4971-A25D-6C302E252CAE}" srcOrd="0" destOrd="0" presId="urn:microsoft.com/office/officeart/2005/8/layout/orgChart1"/>
    <dgm:cxn modelId="{541BE84B-B64E-4E3A-A998-75484EF3A44A}" type="presParOf" srcId="{A0D392FA-F7B3-4D13-9F69-C257786D50EE}" destId="{9A18D4A9-809C-4541-95CC-DAB2C59C5597}" srcOrd="1" destOrd="0" presId="urn:microsoft.com/office/officeart/2005/8/layout/orgChart1"/>
    <dgm:cxn modelId="{99788C1E-861E-4AA2-A227-8A1FAAA2DA0E}" type="presParOf" srcId="{44578224-6BC2-46C4-AAB3-0C9026C03D7C}" destId="{0684159F-CF6E-4422-BC0E-7872645BBA94}" srcOrd="1" destOrd="0" presId="urn:microsoft.com/office/officeart/2005/8/layout/orgChart1"/>
    <dgm:cxn modelId="{8BDAC2F3-9226-43FD-A41A-D732000F8ECC}" type="presParOf" srcId="{0684159F-CF6E-4422-BC0E-7872645BBA94}" destId="{57F864E8-8308-4715-A878-38BB4D0C7A05}" srcOrd="0" destOrd="0" presId="urn:microsoft.com/office/officeart/2005/8/layout/orgChart1"/>
    <dgm:cxn modelId="{8B30E506-4EBC-4A9D-90AE-EB21D6A4F992}" type="presParOf" srcId="{0684159F-CF6E-4422-BC0E-7872645BBA94}" destId="{722BD3E8-0DF9-4CE4-BFDE-3529580B6EC2}" srcOrd="1" destOrd="0" presId="urn:microsoft.com/office/officeart/2005/8/layout/orgChart1"/>
    <dgm:cxn modelId="{BF783C7A-E27D-4125-B115-4D8F4954ACFC}" type="presParOf" srcId="{722BD3E8-0DF9-4CE4-BFDE-3529580B6EC2}" destId="{0DF9A6FF-93CB-4561-91E2-601E3559CAD2}" srcOrd="0" destOrd="0" presId="urn:microsoft.com/office/officeart/2005/8/layout/orgChart1"/>
    <dgm:cxn modelId="{36D8BDFD-99E4-4D99-8702-1D9290C674BF}" type="presParOf" srcId="{0DF9A6FF-93CB-4561-91E2-601E3559CAD2}" destId="{593BA6A8-A05E-4D52-BC54-D742BC4F7327}" srcOrd="0" destOrd="0" presId="urn:microsoft.com/office/officeart/2005/8/layout/orgChart1"/>
    <dgm:cxn modelId="{429ADE89-328F-4F8E-8C32-38499460C5FE}" type="presParOf" srcId="{0DF9A6FF-93CB-4561-91E2-601E3559CAD2}" destId="{16504EFE-B6D6-4EA7-8D2F-372F642B1FCF}" srcOrd="1" destOrd="0" presId="urn:microsoft.com/office/officeart/2005/8/layout/orgChart1"/>
    <dgm:cxn modelId="{F9B1A744-46BA-4BCB-BE22-F706972EFA01}" type="presParOf" srcId="{722BD3E8-0DF9-4CE4-BFDE-3529580B6EC2}" destId="{CBD235FE-48DA-470E-A1E8-85BA7C34751E}" srcOrd="1" destOrd="0" presId="urn:microsoft.com/office/officeart/2005/8/layout/orgChart1"/>
    <dgm:cxn modelId="{B73ACF2D-3297-4C47-88FB-E208AD6A1DD3}" type="presParOf" srcId="{722BD3E8-0DF9-4CE4-BFDE-3529580B6EC2}" destId="{A2F885CB-16CB-4B52-9B36-0F0190EF73BE}" srcOrd="2" destOrd="0" presId="urn:microsoft.com/office/officeart/2005/8/layout/orgChart1"/>
    <dgm:cxn modelId="{089D1C4F-070A-4146-AE7C-6BD7E57C82FB}" type="presParOf" srcId="{0684159F-CF6E-4422-BC0E-7872645BBA94}" destId="{E1C32AA9-EA7C-4808-B4D3-1841E6F28D3B}" srcOrd="2" destOrd="0" presId="urn:microsoft.com/office/officeart/2005/8/layout/orgChart1"/>
    <dgm:cxn modelId="{1247EA97-2A7E-4968-802F-3C4F8D491BD2}" type="presParOf" srcId="{0684159F-CF6E-4422-BC0E-7872645BBA94}" destId="{32DBCD41-2741-4A95-B6E0-2268AA872391}" srcOrd="3" destOrd="0" presId="urn:microsoft.com/office/officeart/2005/8/layout/orgChart1"/>
    <dgm:cxn modelId="{C9001AF7-8022-42F3-8E69-E41E7A20E4C7}" type="presParOf" srcId="{32DBCD41-2741-4A95-B6E0-2268AA872391}" destId="{8D879E6A-ED42-4D0F-8B15-33AC3D63CBDC}" srcOrd="0" destOrd="0" presId="urn:microsoft.com/office/officeart/2005/8/layout/orgChart1"/>
    <dgm:cxn modelId="{97CF76BB-9A0F-4D32-AD8C-054E07661031}" type="presParOf" srcId="{8D879E6A-ED42-4D0F-8B15-33AC3D63CBDC}" destId="{84A50A7B-60D2-4A2B-B52A-689F862C4CAE}" srcOrd="0" destOrd="0" presId="urn:microsoft.com/office/officeart/2005/8/layout/orgChart1"/>
    <dgm:cxn modelId="{91A68F7B-B22A-4DB5-91B8-0D13D03C23CA}" type="presParOf" srcId="{8D879E6A-ED42-4D0F-8B15-33AC3D63CBDC}" destId="{F11B7AC5-7DDD-4173-A8FB-DA6BD033B896}" srcOrd="1" destOrd="0" presId="urn:microsoft.com/office/officeart/2005/8/layout/orgChart1"/>
    <dgm:cxn modelId="{E6678D85-8DAC-4F29-A804-D57E9FBE7E9D}" type="presParOf" srcId="{32DBCD41-2741-4A95-B6E0-2268AA872391}" destId="{3DB88931-FF7A-44D7-B75F-F5322BA9428D}" srcOrd="1" destOrd="0" presId="urn:microsoft.com/office/officeart/2005/8/layout/orgChart1"/>
    <dgm:cxn modelId="{33358535-4DD2-43B3-B989-47399F55440A}" type="presParOf" srcId="{32DBCD41-2741-4A95-B6E0-2268AA872391}" destId="{845C7877-C1FC-4858-BF88-B138EF0C228B}" srcOrd="2" destOrd="0" presId="urn:microsoft.com/office/officeart/2005/8/layout/orgChart1"/>
    <dgm:cxn modelId="{40048E5E-7C08-4149-9BF6-1F65E966F8A5}" type="presParOf" srcId="{0684159F-CF6E-4422-BC0E-7872645BBA94}" destId="{C0E94C5F-45B9-42F7-981A-A0FF9D584E38}" srcOrd="4" destOrd="0" presId="urn:microsoft.com/office/officeart/2005/8/layout/orgChart1"/>
    <dgm:cxn modelId="{9D82E562-7CFE-453F-8E6D-6DBB1FE9DEE9}" type="presParOf" srcId="{0684159F-CF6E-4422-BC0E-7872645BBA94}" destId="{C08B9D74-A940-474C-89DF-EAD4365E267A}" srcOrd="5" destOrd="0" presId="urn:microsoft.com/office/officeart/2005/8/layout/orgChart1"/>
    <dgm:cxn modelId="{C6A55448-8C3C-49BC-A95A-C030B9ECED84}" type="presParOf" srcId="{C08B9D74-A940-474C-89DF-EAD4365E267A}" destId="{3405CD9A-ED18-4E98-BC60-1FD0565329F8}" srcOrd="0" destOrd="0" presId="urn:microsoft.com/office/officeart/2005/8/layout/orgChart1"/>
    <dgm:cxn modelId="{AC3C0C88-6CCD-4A5D-9ABD-70A4E6E6DE2C}" type="presParOf" srcId="{3405CD9A-ED18-4E98-BC60-1FD0565329F8}" destId="{D07AD9F5-8177-47FB-BDE8-66D829CF0DE7}" srcOrd="0" destOrd="0" presId="urn:microsoft.com/office/officeart/2005/8/layout/orgChart1"/>
    <dgm:cxn modelId="{A1B30769-84D3-4332-A1F4-B07075BD6722}" type="presParOf" srcId="{3405CD9A-ED18-4E98-BC60-1FD0565329F8}" destId="{D85D43EE-4B9E-489C-93CE-4B3771251842}" srcOrd="1" destOrd="0" presId="urn:microsoft.com/office/officeart/2005/8/layout/orgChart1"/>
    <dgm:cxn modelId="{8D407478-9585-4571-8704-541E24DA48A8}" type="presParOf" srcId="{C08B9D74-A940-474C-89DF-EAD4365E267A}" destId="{BBF3C4DF-3EEF-46B5-8215-A80560D46386}" srcOrd="1" destOrd="0" presId="urn:microsoft.com/office/officeart/2005/8/layout/orgChart1"/>
    <dgm:cxn modelId="{153EF607-E555-4B62-96D6-51FDBAFB169A}" type="presParOf" srcId="{C08B9D74-A940-474C-89DF-EAD4365E267A}" destId="{CD8318E3-3309-4454-B8B6-962ADB95FEB9}" srcOrd="2" destOrd="0" presId="urn:microsoft.com/office/officeart/2005/8/layout/orgChart1"/>
    <dgm:cxn modelId="{F8831846-F5B9-46F1-B93A-351DCAEA5B7F}" type="presParOf" srcId="{44578224-6BC2-46C4-AAB3-0C9026C03D7C}" destId="{7E130E28-DD3E-4475-93E3-84395E1F4455}" srcOrd="2" destOrd="0" presId="urn:microsoft.com/office/officeart/2005/8/layout/orgChart1"/>
    <dgm:cxn modelId="{E0057B3F-C6EC-4E95-B706-4C67FB9FC788}" type="presParOf" srcId="{06304CCA-1895-408F-AF79-6D88FED1217F}" destId="{199C72A4-7C3F-4B87-9EFD-B0F4DD003904}" srcOrd="6" destOrd="0" presId="urn:microsoft.com/office/officeart/2005/8/layout/orgChart1"/>
    <dgm:cxn modelId="{115BDEA0-6977-4516-A1E6-935B900D14D3}" type="presParOf" srcId="{06304CCA-1895-408F-AF79-6D88FED1217F}" destId="{4379FC46-A91C-4C16-B636-2D34DC53D5F5}" srcOrd="7" destOrd="0" presId="urn:microsoft.com/office/officeart/2005/8/layout/orgChart1"/>
    <dgm:cxn modelId="{F7205F37-55F9-4568-BCB2-5B666C74C8E0}" type="presParOf" srcId="{4379FC46-A91C-4C16-B636-2D34DC53D5F5}" destId="{41CE8AEE-E0C0-4547-857D-543029C549ED}" srcOrd="0" destOrd="0" presId="urn:microsoft.com/office/officeart/2005/8/layout/orgChart1"/>
    <dgm:cxn modelId="{C9C3821B-FB3A-4EDB-8C8F-9465379FFD19}" type="presParOf" srcId="{41CE8AEE-E0C0-4547-857D-543029C549ED}" destId="{7FD4A329-920A-4F4B-9DB5-CCC545C7180E}" srcOrd="0" destOrd="0" presId="urn:microsoft.com/office/officeart/2005/8/layout/orgChart1"/>
    <dgm:cxn modelId="{5CA81022-BA15-4960-B5ED-9E0D569F99AA}" type="presParOf" srcId="{41CE8AEE-E0C0-4547-857D-543029C549ED}" destId="{6D422B89-1D73-48D4-838C-9B7DD8E82D30}" srcOrd="1" destOrd="0" presId="urn:microsoft.com/office/officeart/2005/8/layout/orgChart1"/>
    <dgm:cxn modelId="{A687B365-3DF3-4DD9-A715-7508FE2AA8E9}" type="presParOf" srcId="{4379FC46-A91C-4C16-B636-2D34DC53D5F5}" destId="{5353AFD9-D17F-4A05-8380-8E5F8FDE7041}" srcOrd="1" destOrd="0" presId="urn:microsoft.com/office/officeart/2005/8/layout/orgChart1"/>
    <dgm:cxn modelId="{30FD7F18-763C-44B2-B517-4342C8582D8D}" type="presParOf" srcId="{5353AFD9-D17F-4A05-8380-8E5F8FDE7041}" destId="{9ABAB7AE-AB69-480E-8777-B23944DB7411}" srcOrd="0" destOrd="0" presId="urn:microsoft.com/office/officeart/2005/8/layout/orgChart1"/>
    <dgm:cxn modelId="{F9970114-1AF1-42F2-BBF6-BE2422204FCF}" type="presParOf" srcId="{5353AFD9-D17F-4A05-8380-8E5F8FDE7041}" destId="{01C21C31-7082-42EB-AE51-E35D414C4F31}" srcOrd="1" destOrd="0" presId="urn:microsoft.com/office/officeart/2005/8/layout/orgChart1"/>
    <dgm:cxn modelId="{8B8E3EE1-9B39-4BF8-9E44-B0C2F46694C3}" type="presParOf" srcId="{01C21C31-7082-42EB-AE51-E35D414C4F31}" destId="{61A175D5-40D3-4ED4-A64F-7ECBCC41C292}" srcOrd="0" destOrd="0" presId="urn:microsoft.com/office/officeart/2005/8/layout/orgChart1"/>
    <dgm:cxn modelId="{8C3FB79C-A336-4827-8E91-EDDF9CEC7BFA}" type="presParOf" srcId="{61A175D5-40D3-4ED4-A64F-7ECBCC41C292}" destId="{9FCCD135-E90F-4B6C-9D2B-902C4BE2A5BB}" srcOrd="0" destOrd="0" presId="urn:microsoft.com/office/officeart/2005/8/layout/orgChart1"/>
    <dgm:cxn modelId="{F37FD1FE-F7B4-4921-8A71-94220F61E81E}" type="presParOf" srcId="{61A175D5-40D3-4ED4-A64F-7ECBCC41C292}" destId="{91AD99CD-A893-40B8-8A03-9987B933248C}" srcOrd="1" destOrd="0" presId="urn:microsoft.com/office/officeart/2005/8/layout/orgChart1"/>
    <dgm:cxn modelId="{5A0F7C4F-59E0-4300-B3E7-E12FDD03F486}" type="presParOf" srcId="{01C21C31-7082-42EB-AE51-E35D414C4F31}" destId="{B8D2A03A-656D-41AD-8583-07340FC01355}" srcOrd="1" destOrd="0" presId="urn:microsoft.com/office/officeart/2005/8/layout/orgChart1"/>
    <dgm:cxn modelId="{FFD8183C-F6FE-4BF4-85AA-289EF86503E2}" type="presParOf" srcId="{01C21C31-7082-42EB-AE51-E35D414C4F31}" destId="{0815BDE7-F994-415E-8D05-FCA9831BCC4E}" srcOrd="2" destOrd="0" presId="urn:microsoft.com/office/officeart/2005/8/layout/orgChart1"/>
    <dgm:cxn modelId="{4CCF6A87-2AEA-4257-928F-38EE8FC53095}" type="presParOf" srcId="{5353AFD9-D17F-4A05-8380-8E5F8FDE7041}" destId="{6C987B7D-46DD-47BE-BCEB-F5666FFA75B0}" srcOrd="2" destOrd="0" presId="urn:microsoft.com/office/officeart/2005/8/layout/orgChart1"/>
    <dgm:cxn modelId="{33372384-3F30-436A-B919-1AA0D303F773}" type="presParOf" srcId="{5353AFD9-D17F-4A05-8380-8E5F8FDE7041}" destId="{BBA34C64-3AA5-4E0A-96BA-2230D0C5A587}" srcOrd="3" destOrd="0" presId="urn:microsoft.com/office/officeart/2005/8/layout/orgChart1"/>
    <dgm:cxn modelId="{F8E3CDCC-FB60-4832-B639-7FD039C6894E}" type="presParOf" srcId="{BBA34C64-3AA5-4E0A-96BA-2230D0C5A587}" destId="{776128B2-524A-4749-9518-36A0DE3A8D15}" srcOrd="0" destOrd="0" presId="urn:microsoft.com/office/officeart/2005/8/layout/orgChart1"/>
    <dgm:cxn modelId="{A9335194-306C-4872-9C5E-0D62A0CA29D8}" type="presParOf" srcId="{776128B2-524A-4749-9518-36A0DE3A8D15}" destId="{1E311D21-7CA4-415B-9E2D-932D13911389}" srcOrd="0" destOrd="0" presId="urn:microsoft.com/office/officeart/2005/8/layout/orgChart1"/>
    <dgm:cxn modelId="{73979252-D4F4-4126-957A-71AE870DDFCD}" type="presParOf" srcId="{776128B2-524A-4749-9518-36A0DE3A8D15}" destId="{941364D0-DED6-40DF-8C84-91367627847B}" srcOrd="1" destOrd="0" presId="urn:microsoft.com/office/officeart/2005/8/layout/orgChart1"/>
    <dgm:cxn modelId="{821C293B-A1A9-4BF2-A418-7FB1665A5A63}" type="presParOf" srcId="{BBA34C64-3AA5-4E0A-96BA-2230D0C5A587}" destId="{F0A3BF5C-C5C1-4AB7-93D4-23235F57E207}" srcOrd="1" destOrd="0" presId="urn:microsoft.com/office/officeart/2005/8/layout/orgChart1"/>
    <dgm:cxn modelId="{D7410BD1-77D5-4C14-BC3E-E46FE67DFEC4}" type="presParOf" srcId="{BBA34C64-3AA5-4E0A-96BA-2230D0C5A587}" destId="{A93F460B-3EC7-4C8D-A5C4-D014D5DD5BB4}" srcOrd="2" destOrd="0" presId="urn:microsoft.com/office/officeart/2005/8/layout/orgChart1"/>
    <dgm:cxn modelId="{F9279EE3-FD91-47FA-8213-1E4DA7B2B899}" type="presParOf" srcId="{5353AFD9-D17F-4A05-8380-8E5F8FDE7041}" destId="{E0C06634-84D8-4749-990A-8782187FE574}" srcOrd="4" destOrd="0" presId="urn:microsoft.com/office/officeart/2005/8/layout/orgChart1"/>
    <dgm:cxn modelId="{A4613B2C-BF35-4306-A993-9D2870003AE2}" type="presParOf" srcId="{5353AFD9-D17F-4A05-8380-8E5F8FDE7041}" destId="{E8EEB99F-BC2D-4551-9C29-7F5EFEAC13D1}" srcOrd="5" destOrd="0" presId="urn:microsoft.com/office/officeart/2005/8/layout/orgChart1"/>
    <dgm:cxn modelId="{8C3A119F-EE27-4C21-8F8E-2162F7FC25D3}" type="presParOf" srcId="{E8EEB99F-BC2D-4551-9C29-7F5EFEAC13D1}" destId="{2BE4C1A7-CE10-4B81-9BC6-3416384940AE}" srcOrd="0" destOrd="0" presId="urn:microsoft.com/office/officeart/2005/8/layout/orgChart1"/>
    <dgm:cxn modelId="{6BFE7D35-1CF4-4700-B36D-40B3E9081836}" type="presParOf" srcId="{2BE4C1A7-CE10-4B81-9BC6-3416384940AE}" destId="{D5EE33B5-567D-4482-B1C5-125117CA93B9}" srcOrd="0" destOrd="0" presId="urn:microsoft.com/office/officeart/2005/8/layout/orgChart1"/>
    <dgm:cxn modelId="{6C13DB3C-C296-4109-AFB8-13EF661E3CB6}" type="presParOf" srcId="{2BE4C1A7-CE10-4B81-9BC6-3416384940AE}" destId="{C373B634-3655-4C41-A7A3-E3AECFBE96B3}" srcOrd="1" destOrd="0" presId="urn:microsoft.com/office/officeart/2005/8/layout/orgChart1"/>
    <dgm:cxn modelId="{52E00F64-2DD4-49CB-88FD-6425D18EB5C2}" type="presParOf" srcId="{E8EEB99F-BC2D-4551-9C29-7F5EFEAC13D1}" destId="{01A4D2BC-8BE4-4E35-BB4D-61450CA1C86C}" srcOrd="1" destOrd="0" presId="urn:microsoft.com/office/officeart/2005/8/layout/orgChart1"/>
    <dgm:cxn modelId="{C465015C-4AA6-4A0D-B7E7-E31A9E07232D}" type="presParOf" srcId="{E8EEB99F-BC2D-4551-9C29-7F5EFEAC13D1}" destId="{C64679F5-72F6-43EE-BE26-A078EA77EDFB}" srcOrd="2" destOrd="0" presId="urn:microsoft.com/office/officeart/2005/8/layout/orgChart1"/>
    <dgm:cxn modelId="{ED3A80E0-9F83-4331-931B-9C60D6C67AE3}" type="presParOf" srcId="{4379FC46-A91C-4C16-B636-2D34DC53D5F5}" destId="{7E301CEB-439E-4CA2-9AF8-F4EBA985C217}" srcOrd="2" destOrd="0" presId="urn:microsoft.com/office/officeart/2005/8/layout/orgChart1"/>
    <dgm:cxn modelId="{65CD798A-0B53-4376-B776-461065B0E7D3}" type="presParOf" srcId="{06304CCA-1895-408F-AF79-6D88FED1217F}" destId="{0BD7E706-A9AA-4557-8326-B1D0235D2675}" srcOrd="8" destOrd="0" presId="urn:microsoft.com/office/officeart/2005/8/layout/orgChart1"/>
    <dgm:cxn modelId="{D43E1AA3-BAFD-4501-BD48-3F816DE2B98D}" type="presParOf" srcId="{06304CCA-1895-408F-AF79-6D88FED1217F}" destId="{3347F7EE-6836-4F0A-971A-0607AFA0519E}" srcOrd="9" destOrd="0" presId="urn:microsoft.com/office/officeart/2005/8/layout/orgChart1"/>
    <dgm:cxn modelId="{1334E1A5-BE5A-4720-BD12-9A75B9CFCC2D}" type="presParOf" srcId="{3347F7EE-6836-4F0A-971A-0607AFA0519E}" destId="{8B333CB8-731C-4DB3-A434-1CC739180144}" srcOrd="0" destOrd="0" presId="urn:microsoft.com/office/officeart/2005/8/layout/orgChart1"/>
    <dgm:cxn modelId="{F7A30D6F-B815-4D7F-B4D4-BA550CEE5896}" type="presParOf" srcId="{8B333CB8-731C-4DB3-A434-1CC739180144}" destId="{D8F23E08-5D29-4308-AEA9-8D6199B0BF93}" srcOrd="0" destOrd="0" presId="urn:microsoft.com/office/officeart/2005/8/layout/orgChart1"/>
    <dgm:cxn modelId="{FB017FC1-2ABE-40DA-9ED1-709BE30011C3}" type="presParOf" srcId="{8B333CB8-731C-4DB3-A434-1CC739180144}" destId="{EAC8E7D6-DCCA-4D8D-99C9-9E5F03E662FE}" srcOrd="1" destOrd="0" presId="urn:microsoft.com/office/officeart/2005/8/layout/orgChart1"/>
    <dgm:cxn modelId="{4018D521-2F05-48F7-B1DE-70399789A34F}" type="presParOf" srcId="{3347F7EE-6836-4F0A-971A-0607AFA0519E}" destId="{7F103F8B-E825-4E8A-9B61-6BA3CEDB5BF1}" srcOrd="1" destOrd="0" presId="urn:microsoft.com/office/officeart/2005/8/layout/orgChart1"/>
    <dgm:cxn modelId="{6057C762-2B4C-44CC-B805-252B826FA6D4}" type="presParOf" srcId="{7F103F8B-E825-4E8A-9B61-6BA3CEDB5BF1}" destId="{24DC50C2-23B0-4DA3-A586-D447C26BDA73}" srcOrd="0" destOrd="0" presId="urn:microsoft.com/office/officeart/2005/8/layout/orgChart1"/>
    <dgm:cxn modelId="{122F623F-9AE7-4563-AB42-581D3BCE99AB}" type="presParOf" srcId="{7F103F8B-E825-4E8A-9B61-6BA3CEDB5BF1}" destId="{4AEAAEE1-AE55-4792-9435-FBBE214A9477}" srcOrd="1" destOrd="0" presId="urn:microsoft.com/office/officeart/2005/8/layout/orgChart1"/>
    <dgm:cxn modelId="{204B9C06-CF4C-448F-80AF-1CCA9308451B}" type="presParOf" srcId="{4AEAAEE1-AE55-4792-9435-FBBE214A9477}" destId="{CF4E4602-DD73-45AA-A052-B5E9C42BC9E0}" srcOrd="0" destOrd="0" presId="urn:microsoft.com/office/officeart/2005/8/layout/orgChart1"/>
    <dgm:cxn modelId="{2F9BB392-A267-4AA9-A691-633CC1C9678C}" type="presParOf" srcId="{CF4E4602-DD73-45AA-A052-B5E9C42BC9E0}" destId="{130B7FC3-6A35-4301-9BEF-942CD8FD2C37}" srcOrd="0" destOrd="0" presId="urn:microsoft.com/office/officeart/2005/8/layout/orgChart1"/>
    <dgm:cxn modelId="{8EA32E34-DD59-4FD0-B07B-1B84CDF12197}" type="presParOf" srcId="{CF4E4602-DD73-45AA-A052-B5E9C42BC9E0}" destId="{27C215B2-6B44-4C2D-A0B1-36FCA3AB53A0}" srcOrd="1" destOrd="0" presId="urn:microsoft.com/office/officeart/2005/8/layout/orgChart1"/>
    <dgm:cxn modelId="{1A762C4B-FB7D-428E-A515-03A821781151}" type="presParOf" srcId="{4AEAAEE1-AE55-4792-9435-FBBE214A9477}" destId="{97416791-C289-4982-BF60-141E794D66FE}" srcOrd="1" destOrd="0" presId="urn:microsoft.com/office/officeart/2005/8/layout/orgChart1"/>
    <dgm:cxn modelId="{56E98B25-4ECC-4223-B065-37530B965CAE}" type="presParOf" srcId="{4AEAAEE1-AE55-4792-9435-FBBE214A9477}" destId="{7B531E57-EE99-4A28-A0A6-44F2E577B457}" srcOrd="2" destOrd="0" presId="urn:microsoft.com/office/officeart/2005/8/layout/orgChart1"/>
    <dgm:cxn modelId="{3ECA344C-E32B-4932-8700-4CEADFFC5A1A}" type="presParOf" srcId="{7F103F8B-E825-4E8A-9B61-6BA3CEDB5BF1}" destId="{C2BCC7E7-1FAE-4160-8D59-B6D7EF3ED566}" srcOrd="2" destOrd="0" presId="urn:microsoft.com/office/officeart/2005/8/layout/orgChart1"/>
    <dgm:cxn modelId="{4C0DD3EE-7830-4D59-A0CF-6217C40F34F6}" type="presParOf" srcId="{7F103F8B-E825-4E8A-9B61-6BA3CEDB5BF1}" destId="{D4BBE441-3657-4261-B467-C55675F26C5B}" srcOrd="3" destOrd="0" presId="urn:microsoft.com/office/officeart/2005/8/layout/orgChart1"/>
    <dgm:cxn modelId="{C7ADA4B9-8D40-48D6-B93D-7739937D9BB0}" type="presParOf" srcId="{D4BBE441-3657-4261-B467-C55675F26C5B}" destId="{05277D88-0908-4B0B-9CB7-8B3A4FD811C6}" srcOrd="0" destOrd="0" presId="urn:microsoft.com/office/officeart/2005/8/layout/orgChart1"/>
    <dgm:cxn modelId="{25AC5D5D-4577-4A56-B7AF-A866E627AA03}" type="presParOf" srcId="{05277D88-0908-4B0B-9CB7-8B3A4FD811C6}" destId="{C681176A-5E9E-400C-952B-90359E6677E5}" srcOrd="0" destOrd="0" presId="urn:microsoft.com/office/officeart/2005/8/layout/orgChart1"/>
    <dgm:cxn modelId="{AAA80B81-AF34-48B6-88E9-2092282330E1}" type="presParOf" srcId="{05277D88-0908-4B0B-9CB7-8B3A4FD811C6}" destId="{B0CE055D-8FE7-4008-869D-A2DC42C06C38}" srcOrd="1" destOrd="0" presId="urn:microsoft.com/office/officeart/2005/8/layout/orgChart1"/>
    <dgm:cxn modelId="{F8531864-37DA-4372-A6A3-2B9B3E51668D}" type="presParOf" srcId="{D4BBE441-3657-4261-B467-C55675F26C5B}" destId="{524A7F43-C0BC-47CB-B864-444A6E110212}" srcOrd="1" destOrd="0" presId="urn:microsoft.com/office/officeart/2005/8/layout/orgChart1"/>
    <dgm:cxn modelId="{2EACCA0C-5076-4EE2-86EA-EE911CEA5889}" type="presParOf" srcId="{D4BBE441-3657-4261-B467-C55675F26C5B}" destId="{317C795E-02D8-4E91-80D6-30DE8EC07BC8}" srcOrd="2" destOrd="0" presId="urn:microsoft.com/office/officeart/2005/8/layout/orgChart1"/>
    <dgm:cxn modelId="{965E5925-6B51-4F59-9073-BF0F7DB8F111}" type="presParOf" srcId="{7F103F8B-E825-4E8A-9B61-6BA3CEDB5BF1}" destId="{2F0C8E14-97F8-46E7-9984-5515C8C2A5E4}" srcOrd="4" destOrd="0" presId="urn:microsoft.com/office/officeart/2005/8/layout/orgChart1"/>
    <dgm:cxn modelId="{144A2E84-8494-43BD-A2FC-4F204EB3C070}" type="presParOf" srcId="{7F103F8B-E825-4E8A-9B61-6BA3CEDB5BF1}" destId="{BC345C52-1770-4646-9D31-1AE7217800E3}" srcOrd="5" destOrd="0" presId="urn:microsoft.com/office/officeart/2005/8/layout/orgChart1"/>
    <dgm:cxn modelId="{46B9096C-500B-4753-BDB9-21BD94CF2789}" type="presParOf" srcId="{BC345C52-1770-4646-9D31-1AE7217800E3}" destId="{C2A2B559-88C3-4CBE-9C8B-FEEBB834A808}" srcOrd="0" destOrd="0" presId="urn:microsoft.com/office/officeart/2005/8/layout/orgChart1"/>
    <dgm:cxn modelId="{5B705C05-1048-4B1E-BF6A-D161ED748EB4}" type="presParOf" srcId="{C2A2B559-88C3-4CBE-9C8B-FEEBB834A808}" destId="{9F9CC618-C9C8-40A2-A592-69412EE24BE6}" srcOrd="0" destOrd="0" presId="urn:microsoft.com/office/officeart/2005/8/layout/orgChart1"/>
    <dgm:cxn modelId="{4EFA3165-12F7-402B-B279-C86DCDB25B42}" type="presParOf" srcId="{C2A2B559-88C3-4CBE-9C8B-FEEBB834A808}" destId="{EED45A50-15A6-4057-86DE-93648771F1BF}" srcOrd="1" destOrd="0" presId="urn:microsoft.com/office/officeart/2005/8/layout/orgChart1"/>
    <dgm:cxn modelId="{435552B2-BF76-4479-A926-B7F4B540032F}" type="presParOf" srcId="{BC345C52-1770-4646-9D31-1AE7217800E3}" destId="{4A6464F7-F2BD-46F3-82E5-539EE60A645B}" srcOrd="1" destOrd="0" presId="urn:microsoft.com/office/officeart/2005/8/layout/orgChart1"/>
    <dgm:cxn modelId="{95FBE4CB-0C2E-40C3-829E-EAC7D60FD09E}" type="presParOf" srcId="{BC345C52-1770-4646-9D31-1AE7217800E3}" destId="{8905EA35-E1E3-400D-B560-A47F17F479BD}" srcOrd="2" destOrd="0" presId="urn:microsoft.com/office/officeart/2005/8/layout/orgChart1"/>
    <dgm:cxn modelId="{96274B51-74FD-49E0-BD89-96A60522F6A1}" type="presParOf" srcId="{3347F7EE-6836-4F0A-971A-0607AFA0519E}" destId="{82191217-BDFD-4276-8D14-F32B76059E19}" srcOrd="2" destOrd="0" presId="urn:microsoft.com/office/officeart/2005/8/layout/orgChart1"/>
    <dgm:cxn modelId="{FA1251F9-F112-4C29-97B2-CE665DA67379}" type="presParOf" srcId="{06304CCA-1895-408F-AF79-6D88FED1217F}" destId="{897E3575-BBF9-4A4B-B36B-C9172A2767A5}" srcOrd="10" destOrd="0" presId="urn:microsoft.com/office/officeart/2005/8/layout/orgChart1"/>
    <dgm:cxn modelId="{0ED30EC6-8B65-41AB-897C-800EB11A49CA}" type="presParOf" srcId="{06304CCA-1895-408F-AF79-6D88FED1217F}" destId="{65403DD3-8745-4055-BBA7-6B44AA4ABBE4}" srcOrd="11" destOrd="0" presId="urn:microsoft.com/office/officeart/2005/8/layout/orgChart1"/>
    <dgm:cxn modelId="{55C98623-F09C-4B07-926E-6AE371F2E2EE}" type="presParOf" srcId="{65403DD3-8745-4055-BBA7-6B44AA4ABBE4}" destId="{3492800C-0917-4086-979E-BA02E861A9E5}" srcOrd="0" destOrd="0" presId="urn:microsoft.com/office/officeart/2005/8/layout/orgChart1"/>
    <dgm:cxn modelId="{507264E7-E5C4-419B-9B9A-DEDA6BC6EC1C}" type="presParOf" srcId="{3492800C-0917-4086-979E-BA02E861A9E5}" destId="{727EABAC-E6EB-4ECC-9ECB-51508764F886}" srcOrd="0" destOrd="0" presId="urn:microsoft.com/office/officeart/2005/8/layout/orgChart1"/>
    <dgm:cxn modelId="{E18DB354-513A-4309-AC39-F50C80081343}" type="presParOf" srcId="{3492800C-0917-4086-979E-BA02E861A9E5}" destId="{C931C5D8-649E-4C2B-81A4-A483392B1018}" srcOrd="1" destOrd="0" presId="urn:microsoft.com/office/officeart/2005/8/layout/orgChart1"/>
    <dgm:cxn modelId="{809B5DEC-1A84-4AC8-B40D-2F64F4CC0517}" type="presParOf" srcId="{65403DD3-8745-4055-BBA7-6B44AA4ABBE4}" destId="{7A6CB0F7-5B37-490C-9729-90E43F3F0DCF}" srcOrd="1" destOrd="0" presId="urn:microsoft.com/office/officeart/2005/8/layout/orgChart1"/>
    <dgm:cxn modelId="{556F39AE-1C0A-45D5-B981-308C41319939}" type="presParOf" srcId="{65403DD3-8745-4055-BBA7-6B44AA4ABBE4}" destId="{E27C269A-3E67-49D9-94CE-FDD3CA53519E}" srcOrd="2" destOrd="0" presId="urn:microsoft.com/office/officeart/2005/8/layout/orgChart1"/>
    <dgm:cxn modelId="{7B851CAC-20AC-497D-983F-99F0F8CE13C9}" type="presParOf" srcId="{06304CCA-1895-408F-AF79-6D88FED1217F}" destId="{194BF1A7-24B2-4B10-A670-075BF180D08B}" srcOrd="12" destOrd="0" presId="urn:microsoft.com/office/officeart/2005/8/layout/orgChart1"/>
    <dgm:cxn modelId="{44404DE3-83BD-4BD2-8E01-7D5885A26DA1}" type="presParOf" srcId="{06304CCA-1895-408F-AF79-6D88FED1217F}" destId="{DDA89503-2593-4A47-83A1-A77A53905F63}" srcOrd="13" destOrd="0" presId="urn:microsoft.com/office/officeart/2005/8/layout/orgChart1"/>
    <dgm:cxn modelId="{305C64AB-F986-40C7-ADB3-9DD7B7A7F1FF}" type="presParOf" srcId="{DDA89503-2593-4A47-83A1-A77A53905F63}" destId="{5733FFB4-A13E-4648-9ADF-67F44DE89C57}" srcOrd="0" destOrd="0" presId="urn:microsoft.com/office/officeart/2005/8/layout/orgChart1"/>
    <dgm:cxn modelId="{5F893F6A-9332-4C2C-8F98-A67575F80267}" type="presParOf" srcId="{5733FFB4-A13E-4648-9ADF-67F44DE89C57}" destId="{831FB103-B871-427B-8749-BAD39B266098}" srcOrd="0" destOrd="0" presId="urn:microsoft.com/office/officeart/2005/8/layout/orgChart1"/>
    <dgm:cxn modelId="{A3792312-7337-4381-87B7-66B54D5AF67D}" type="presParOf" srcId="{5733FFB4-A13E-4648-9ADF-67F44DE89C57}" destId="{15A3F154-75E5-475D-9A11-26061F51CFB1}" srcOrd="1" destOrd="0" presId="urn:microsoft.com/office/officeart/2005/8/layout/orgChart1"/>
    <dgm:cxn modelId="{9FF91402-B2A0-48C8-88AE-BBA4F456A4F3}" type="presParOf" srcId="{DDA89503-2593-4A47-83A1-A77A53905F63}" destId="{7AB84629-1569-468A-9482-F24AD26D068C}" srcOrd="1" destOrd="0" presId="urn:microsoft.com/office/officeart/2005/8/layout/orgChart1"/>
    <dgm:cxn modelId="{2934D2D4-FE0E-4ED5-B2F4-6061A4A26224}" type="presParOf" srcId="{DDA89503-2593-4A47-83A1-A77A53905F63}" destId="{DFBB6692-215E-43B3-BDCC-DDD226A8A002}" srcOrd="2" destOrd="0" presId="urn:microsoft.com/office/officeart/2005/8/layout/orgChart1"/>
    <dgm:cxn modelId="{E5F177FC-E120-47DB-AF58-083C6E64B168}" type="presParOf" srcId="{06304CCA-1895-408F-AF79-6D88FED1217F}" destId="{7AAE813D-E380-4743-870F-6447DB72296B}" srcOrd="14" destOrd="0" presId="urn:microsoft.com/office/officeart/2005/8/layout/orgChart1"/>
    <dgm:cxn modelId="{8953CD5D-E90F-4670-8BEE-BD03EFD3BD32}" type="presParOf" srcId="{06304CCA-1895-408F-AF79-6D88FED1217F}" destId="{C823C03A-3079-4452-8DB8-91E2A9BAFC5A}" srcOrd="15" destOrd="0" presId="urn:microsoft.com/office/officeart/2005/8/layout/orgChart1"/>
    <dgm:cxn modelId="{868FD411-0CC2-4B99-AA8B-29C593960E01}" type="presParOf" srcId="{C823C03A-3079-4452-8DB8-91E2A9BAFC5A}" destId="{07E7D395-117C-4944-8677-BD2108431A8E}" srcOrd="0" destOrd="0" presId="urn:microsoft.com/office/officeart/2005/8/layout/orgChart1"/>
    <dgm:cxn modelId="{D878C07E-91FF-4DC4-9E08-E5020DC2DD22}" type="presParOf" srcId="{07E7D395-117C-4944-8677-BD2108431A8E}" destId="{939522BF-6EAA-4102-86AC-2FF7011DA04B}" srcOrd="0" destOrd="0" presId="urn:microsoft.com/office/officeart/2005/8/layout/orgChart1"/>
    <dgm:cxn modelId="{C181CA69-83C3-47DE-BCA2-5D4E1174612B}" type="presParOf" srcId="{07E7D395-117C-4944-8677-BD2108431A8E}" destId="{E3FB8A07-E621-4CE7-9F50-3C6D5721A336}" srcOrd="1" destOrd="0" presId="urn:microsoft.com/office/officeart/2005/8/layout/orgChart1"/>
    <dgm:cxn modelId="{E5C42855-D0B9-43F0-9596-295F6ABB8A32}" type="presParOf" srcId="{C823C03A-3079-4452-8DB8-91E2A9BAFC5A}" destId="{92EDAD88-E95F-409F-9ECB-9E3E16B16E56}" srcOrd="1" destOrd="0" presId="urn:microsoft.com/office/officeart/2005/8/layout/orgChart1"/>
    <dgm:cxn modelId="{C267B3A6-6439-4E50-868A-0A26BB0E7959}" type="presParOf" srcId="{C823C03A-3079-4452-8DB8-91E2A9BAFC5A}" destId="{EC02F6CF-DB9C-4528-B00F-9E065D87EFE2}" srcOrd="2" destOrd="0" presId="urn:microsoft.com/office/officeart/2005/8/layout/orgChart1"/>
    <dgm:cxn modelId="{1A8BF26D-AC97-4354-8C07-5F5DC5E440E2}" type="presParOf" srcId="{06304CCA-1895-408F-AF79-6D88FED1217F}" destId="{D10E37A1-E6D9-4E92-840E-B176CCCCEBBA}" srcOrd="16" destOrd="0" presId="urn:microsoft.com/office/officeart/2005/8/layout/orgChart1"/>
    <dgm:cxn modelId="{9F3E9635-AA0F-498B-A03F-80C7D0B89DEA}" type="presParOf" srcId="{06304CCA-1895-408F-AF79-6D88FED1217F}" destId="{F3C47799-BD05-4F87-A713-D72428AEE2CD}" srcOrd="17" destOrd="0" presId="urn:microsoft.com/office/officeart/2005/8/layout/orgChart1"/>
    <dgm:cxn modelId="{6E2782B8-4CD3-479C-A08F-B1CD04B69077}" type="presParOf" srcId="{F3C47799-BD05-4F87-A713-D72428AEE2CD}" destId="{CE39AAC5-C322-4446-9FA8-4367A792CEE1}" srcOrd="0" destOrd="0" presId="urn:microsoft.com/office/officeart/2005/8/layout/orgChart1"/>
    <dgm:cxn modelId="{9A80EA7C-C874-4042-BFB4-2E3387FE220C}" type="presParOf" srcId="{CE39AAC5-C322-4446-9FA8-4367A792CEE1}" destId="{297A80B8-A380-4079-9228-131DB02DA979}" srcOrd="0" destOrd="0" presId="urn:microsoft.com/office/officeart/2005/8/layout/orgChart1"/>
    <dgm:cxn modelId="{E1F78434-29EE-4FED-B31B-1F4E59B4C520}" type="presParOf" srcId="{CE39AAC5-C322-4446-9FA8-4367A792CEE1}" destId="{BCB2FD75-0B9A-42E0-AD12-18CC748D8F8E}" srcOrd="1" destOrd="0" presId="urn:microsoft.com/office/officeart/2005/8/layout/orgChart1"/>
    <dgm:cxn modelId="{7248A88C-7BE0-4368-AA61-C5663C67573C}" type="presParOf" srcId="{F3C47799-BD05-4F87-A713-D72428AEE2CD}" destId="{5BEBA6D6-1639-4E82-83AA-F1903828A520}" srcOrd="1" destOrd="0" presId="urn:microsoft.com/office/officeart/2005/8/layout/orgChart1"/>
    <dgm:cxn modelId="{C4A7DCE0-3168-4758-9EF1-ADEA3540B1DE}" type="presParOf" srcId="{F3C47799-BD05-4F87-A713-D72428AEE2CD}" destId="{8F13DF1C-02C7-4EE7-AA97-E84CEB7CEDD9}" srcOrd="2" destOrd="0" presId="urn:microsoft.com/office/officeart/2005/8/layout/orgChart1"/>
    <dgm:cxn modelId="{417D894B-9FEA-4C28-B6D4-7762D193D911}" type="presParOf" srcId="{06304CCA-1895-408F-AF79-6D88FED1217F}" destId="{C86D5F05-B912-436C-B34C-025BAB78B1F5}" srcOrd="18" destOrd="0" presId="urn:microsoft.com/office/officeart/2005/8/layout/orgChart1"/>
    <dgm:cxn modelId="{29527ADA-7182-49CA-938D-1D53F686F89E}" type="presParOf" srcId="{06304CCA-1895-408F-AF79-6D88FED1217F}" destId="{62DCEC6D-0E7A-4305-B17C-9E1B95855EF9}" srcOrd="19" destOrd="0" presId="urn:microsoft.com/office/officeart/2005/8/layout/orgChart1"/>
    <dgm:cxn modelId="{0CE32EAD-08D6-4EAC-9874-27D82DA16EC0}" type="presParOf" srcId="{62DCEC6D-0E7A-4305-B17C-9E1B95855EF9}" destId="{8EB41D55-2E3D-41A3-8AAE-D26349B4E876}" srcOrd="0" destOrd="0" presId="urn:microsoft.com/office/officeart/2005/8/layout/orgChart1"/>
    <dgm:cxn modelId="{2A9C4356-C76D-44CD-B490-602B86B7AAD2}" type="presParOf" srcId="{8EB41D55-2E3D-41A3-8AAE-D26349B4E876}" destId="{EBBAA020-65AC-44E9-AA6C-5BB139F7EBFE}" srcOrd="0" destOrd="0" presId="urn:microsoft.com/office/officeart/2005/8/layout/orgChart1"/>
    <dgm:cxn modelId="{5B6AC682-1466-4239-999B-E11ADFA56D93}" type="presParOf" srcId="{8EB41D55-2E3D-41A3-8AAE-D26349B4E876}" destId="{EE86B355-145F-47D6-85E4-3A782F807ED7}" srcOrd="1" destOrd="0" presId="urn:microsoft.com/office/officeart/2005/8/layout/orgChart1"/>
    <dgm:cxn modelId="{C6E6C10D-EC6E-4703-A51D-A1C171A6273E}" type="presParOf" srcId="{62DCEC6D-0E7A-4305-B17C-9E1B95855EF9}" destId="{8A60E5C9-1E2E-4294-9EBE-4C025DE8EE69}" srcOrd="1" destOrd="0" presId="urn:microsoft.com/office/officeart/2005/8/layout/orgChart1"/>
    <dgm:cxn modelId="{E99049EE-C987-4A0D-BEC2-A7C8FBBDB47A}" type="presParOf" srcId="{62DCEC6D-0E7A-4305-B17C-9E1B95855EF9}" destId="{CC19A947-346E-4FEC-80AD-AAD73A62C088}" srcOrd="2" destOrd="0" presId="urn:microsoft.com/office/officeart/2005/8/layout/orgChart1"/>
    <dgm:cxn modelId="{DE06E51A-CBFD-471D-9E18-DD26CF3C49B7}" type="presParOf" srcId="{6C342C7E-ED1D-4936-A26B-C9F31E40FA46}" destId="{BAD43A9A-A73E-42E8-98B9-DF8F9421EE52}" srcOrd="2" destOrd="0" presId="urn:microsoft.com/office/officeart/2005/8/layout/orgChart1"/>
    <dgm:cxn modelId="{D7642277-8263-4AF8-B427-A8ADA7E9FFDF}" type="presParOf" srcId="{FC1C7F29-50C7-4918-AEE9-A502D9F7A4BB}" destId="{A89BA18D-20D4-406C-B171-F48C8EAD4308}" srcOrd="4" destOrd="0" presId="urn:microsoft.com/office/officeart/2005/8/layout/orgChart1"/>
    <dgm:cxn modelId="{AB8FE76F-A16F-4F67-B2B3-3E84976B57E4}" type="presParOf" srcId="{FC1C7F29-50C7-4918-AEE9-A502D9F7A4BB}" destId="{B15D91DB-8AB9-4A2C-A8C4-6B4254A083AA}" srcOrd="5" destOrd="0" presId="urn:microsoft.com/office/officeart/2005/8/layout/orgChart1"/>
    <dgm:cxn modelId="{A36A2F48-6B5B-4A8D-AABF-CFFFB394EA36}" type="presParOf" srcId="{B15D91DB-8AB9-4A2C-A8C4-6B4254A083AA}" destId="{6F8E605D-8AD6-4B25-8979-8342BA1270E5}" srcOrd="0" destOrd="0" presId="urn:microsoft.com/office/officeart/2005/8/layout/orgChart1"/>
    <dgm:cxn modelId="{A4C5E82F-C5E3-405C-A85F-6416CE932A3E}" type="presParOf" srcId="{6F8E605D-8AD6-4B25-8979-8342BA1270E5}" destId="{EBFD5A82-221B-4E53-B240-7169901278B7}" srcOrd="0" destOrd="0" presId="urn:microsoft.com/office/officeart/2005/8/layout/orgChart1"/>
    <dgm:cxn modelId="{D45663FD-46BE-4BA5-A26B-7AD3B6E992B6}" type="presParOf" srcId="{6F8E605D-8AD6-4B25-8979-8342BA1270E5}" destId="{626B0918-3ABC-4B0F-B202-98E840B143FC}" srcOrd="1" destOrd="0" presId="urn:microsoft.com/office/officeart/2005/8/layout/orgChart1"/>
    <dgm:cxn modelId="{A7DED78D-744E-4612-9129-E5AA3AA056E0}" type="presParOf" srcId="{B15D91DB-8AB9-4A2C-A8C4-6B4254A083AA}" destId="{D53BF63E-EA34-4305-8533-57A50623F25B}" srcOrd="1" destOrd="0" presId="urn:microsoft.com/office/officeart/2005/8/layout/orgChart1"/>
    <dgm:cxn modelId="{FDA32C78-D42E-46AE-BAFF-950BAB50932B}" type="presParOf" srcId="{B15D91DB-8AB9-4A2C-A8C4-6B4254A083AA}" destId="{FB2771BC-C488-4A11-BE15-54ADC6A3424C}" srcOrd="2" destOrd="0" presId="urn:microsoft.com/office/officeart/2005/8/layout/orgChart1"/>
    <dgm:cxn modelId="{87ACE2FE-A9E8-4678-9D07-696D8FB365C1}" type="presParOf" srcId="{FC1C7F29-50C7-4918-AEE9-A502D9F7A4BB}" destId="{3380E809-917F-4AEC-B721-58D89CDC62B0}" srcOrd="6" destOrd="0" presId="urn:microsoft.com/office/officeart/2005/8/layout/orgChart1"/>
    <dgm:cxn modelId="{B775F1D1-09D3-4458-BF8F-7E13AA34CCCC}" type="presParOf" srcId="{FC1C7F29-50C7-4918-AEE9-A502D9F7A4BB}" destId="{DF8B7ED1-3057-48C6-B601-E84FC3258FC8}" srcOrd="7" destOrd="0" presId="urn:microsoft.com/office/officeart/2005/8/layout/orgChart1"/>
    <dgm:cxn modelId="{9778FBAD-958B-45C4-B963-89A51060701E}" type="presParOf" srcId="{DF8B7ED1-3057-48C6-B601-E84FC3258FC8}" destId="{6CB22A3D-F3FA-4FBC-B81A-D35267C8E3A8}" srcOrd="0" destOrd="0" presId="urn:microsoft.com/office/officeart/2005/8/layout/orgChart1"/>
    <dgm:cxn modelId="{4FEA8E45-FF77-47CC-9912-5E5E5412F01A}" type="presParOf" srcId="{6CB22A3D-F3FA-4FBC-B81A-D35267C8E3A8}" destId="{C0BD0DC4-3C88-43D9-B7DF-04D34A458727}" srcOrd="0" destOrd="0" presId="urn:microsoft.com/office/officeart/2005/8/layout/orgChart1"/>
    <dgm:cxn modelId="{C5B53911-B84E-42D9-AFD6-45A0C966AF43}" type="presParOf" srcId="{6CB22A3D-F3FA-4FBC-B81A-D35267C8E3A8}" destId="{DAD39D86-F69B-4175-8B83-01E28DD665EC}" srcOrd="1" destOrd="0" presId="urn:microsoft.com/office/officeart/2005/8/layout/orgChart1"/>
    <dgm:cxn modelId="{02355795-3D68-4F95-936F-C71F82EBEB64}" type="presParOf" srcId="{DF8B7ED1-3057-48C6-B601-E84FC3258FC8}" destId="{09C586A7-3E8A-4631-8119-8D491035E4D2}" srcOrd="1" destOrd="0" presId="urn:microsoft.com/office/officeart/2005/8/layout/orgChart1"/>
    <dgm:cxn modelId="{2734EB72-F923-4FB7-B56D-DC31FC62197B}" type="presParOf" srcId="{DF8B7ED1-3057-48C6-B601-E84FC3258FC8}" destId="{4C27B286-BE3C-4E20-9CD2-0C93E03318F8}" srcOrd="2" destOrd="0" presId="urn:microsoft.com/office/officeart/2005/8/layout/orgChart1"/>
    <dgm:cxn modelId="{73376AAA-46B4-47E3-9D1D-98B695A3C992}" type="presParOf" srcId="{1EF2B58D-57DE-415E-AA6E-AE8DA84BFC03}" destId="{819259E7-81DD-4E8D-B090-931406E9D1F3}" srcOrd="2" destOrd="0" presId="urn:microsoft.com/office/officeart/2005/8/layout/orgChart1"/>
  </dgm:cxnLst>
  <dgm:bg/>
  <dgm:whole/>
  <dgm:extLst>
    <a:ext uri="http://schemas.microsoft.com/office/drawing/2008/diagram">
      <dsp:dataModelExt xmlns:dsp="http://schemas.microsoft.com/office/drawing/2008/diagram" relId="rId8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80E809-917F-4AEC-B721-58D89CDC62B0}">
      <dsp:nvSpPr>
        <dsp:cNvPr id="0" name=""/>
        <dsp:cNvSpPr/>
      </dsp:nvSpPr>
      <dsp:spPr>
        <a:xfrm>
          <a:off x="5232655" y="477792"/>
          <a:ext cx="4420385" cy="199095"/>
        </a:xfrm>
        <a:custGeom>
          <a:avLst/>
          <a:gdLst/>
          <a:ahLst/>
          <a:cxnLst/>
          <a:rect l="0" t="0" r="0" b="0"/>
          <a:pathLst>
            <a:path>
              <a:moveTo>
                <a:pt x="0" y="0"/>
              </a:moveTo>
              <a:lnTo>
                <a:pt x="0" y="99547"/>
              </a:lnTo>
              <a:lnTo>
                <a:pt x="4420385" y="99547"/>
              </a:lnTo>
              <a:lnTo>
                <a:pt x="4420385" y="19909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89BA18D-20D4-406C-B171-F48C8EAD4308}">
      <dsp:nvSpPr>
        <dsp:cNvPr id="0" name=""/>
        <dsp:cNvSpPr/>
      </dsp:nvSpPr>
      <dsp:spPr>
        <a:xfrm>
          <a:off x="5232655" y="477792"/>
          <a:ext cx="3273218" cy="199095"/>
        </a:xfrm>
        <a:custGeom>
          <a:avLst/>
          <a:gdLst/>
          <a:ahLst/>
          <a:cxnLst/>
          <a:rect l="0" t="0" r="0" b="0"/>
          <a:pathLst>
            <a:path>
              <a:moveTo>
                <a:pt x="0" y="0"/>
              </a:moveTo>
              <a:lnTo>
                <a:pt x="0" y="99547"/>
              </a:lnTo>
              <a:lnTo>
                <a:pt x="3273218" y="99547"/>
              </a:lnTo>
              <a:lnTo>
                <a:pt x="3273218" y="19909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86D5F05-B912-436C-B34C-025BAB78B1F5}">
      <dsp:nvSpPr>
        <dsp:cNvPr id="0" name=""/>
        <dsp:cNvSpPr/>
      </dsp:nvSpPr>
      <dsp:spPr>
        <a:xfrm>
          <a:off x="7358706" y="1150923"/>
          <a:ext cx="5162251" cy="199095"/>
        </a:xfrm>
        <a:custGeom>
          <a:avLst/>
          <a:gdLst/>
          <a:ahLst/>
          <a:cxnLst/>
          <a:rect l="0" t="0" r="0" b="0"/>
          <a:pathLst>
            <a:path>
              <a:moveTo>
                <a:pt x="0" y="0"/>
              </a:moveTo>
              <a:lnTo>
                <a:pt x="0" y="99547"/>
              </a:lnTo>
              <a:lnTo>
                <a:pt x="5162251" y="99547"/>
              </a:lnTo>
              <a:lnTo>
                <a:pt x="5162251" y="19909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0E37A1-E6D9-4E92-840E-B176CCCCEBBA}">
      <dsp:nvSpPr>
        <dsp:cNvPr id="0" name=""/>
        <dsp:cNvSpPr/>
      </dsp:nvSpPr>
      <dsp:spPr>
        <a:xfrm>
          <a:off x="7358706" y="1150923"/>
          <a:ext cx="4015084" cy="199095"/>
        </a:xfrm>
        <a:custGeom>
          <a:avLst/>
          <a:gdLst/>
          <a:ahLst/>
          <a:cxnLst/>
          <a:rect l="0" t="0" r="0" b="0"/>
          <a:pathLst>
            <a:path>
              <a:moveTo>
                <a:pt x="0" y="0"/>
              </a:moveTo>
              <a:lnTo>
                <a:pt x="0" y="99547"/>
              </a:lnTo>
              <a:lnTo>
                <a:pt x="4015084" y="99547"/>
              </a:lnTo>
              <a:lnTo>
                <a:pt x="4015084" y="19909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AAE813D-E380-4743-870F-6447DB72296B}">
      <dsp:nvSpPr>
        <dsp:cNvPr id="0" name=""/>
        <dsp:cNvSpPr/>
      </dsp:nvSpPr>
      <dsp:spPr>
        <a:xfrm>
          <a:off x="7358706" y="1150923"/>
          <a:ext cx="2867917" cy="199095"/>
        </a:xfrm>
        <a:custGeom>
          <a:avLst/>
          <a:gdLst/>
          <a:ahLst/>
          <a:cxnLst/>
          <a:rect l="0" t="0" r="0" b="0"/>
          <a:pathLst>
            <a:path>
              <a:moveTo>
                <a:pt x="0" y="0"/>
              </a:moveTo>
              <a:lnTo>
                <a:pt x="0" y="99547"/>
              </a:lnTo>
              <a:lnTo>
                <a:pt x="2867917" y="99547"/>
              </a:lnTo>
              <a:lnTo>
                <a:pt x="2867917" y="19909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94BF1A7-24B2-4B10-A670-075BF180D08B}">
      <dsp:nvSpPr>
        <dsp:cNvPr id="0" name=""/>
        <dsp:cNvSpPr/>
      </dsp:nvSpPr>
      <dsp:spPr>
        <a:xfrm>
          <a:off x="7358706" y="1150923"/>
          <a:ext cx="1720750" cy="199095"/>
        </a:xfrm>
        <a:custGeom>
          <a:avLst/>
          <a:gdLst/>
          <a:ahLst/>
          <a:cxnLst/>
          <a:rect l="0" t="0" r="0" b="0"/>
          <a:pathLst>
            <a:path>
              <a:moveTo>
                <a:pt x="0" y="0"/>
              </a:moveTo>
              <a:lnTo>
                <a:pt x="0" y="99547"/>
              </a:lnTo>
              <a:lnTo>
                <a:pt x="1720750" y="99547"/>
              </a:lnTo>
              <a:lnTo>
                <a:pt x="1720750" y="19909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97E3575-BBF9-4A4B-B36B-C9172A2767A5}">
      <dsp:nvSpPr>
        <dsp:cNvPr id="0" name=""/>
        <dsp:cNvSpPr/>
      </dsp:nvSpPr>
      <dsp:spPr>
        <a:xfrm>
          <a:off x="7358706" y="1150923"/>
          <a:ext cx="573583" cy="199095"/>
        </a:xfrm>
        <a:custGeom>
          <a:avLst/>
          <a:gdLst/>
          <a:ahLst/>
          <a:cxnLst/>
          <a:rect l="0" t="0" r="0" b="0"/>
          <a:pathLst>
            <a:path>
              <a:moveTo>
                <a:pt x="0" y="0"/>
              </a:moveTo>
              <a:lnTo>
                <a:pt x="0" y="99547"/>
              </a:lnTo>
              <a:lnTo>
                <a:pt x="573583" y="99547"/>
              </a:lnTo>
              <a:lnTo>
                <a:pt x="573583" y="19909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F0C8E14-97F8-46E7-9984-5515C8C2A5E4}">
      <dsp:nvSpPr>
        <dsp:cNvPr id="0" name=""/>
        <dsp:cNvSpPr/>
      </dsp:nvSpPr>
      <dsp:spPr>
        <a:xfrm>
          <a:off x="6405894" y="1971967"/>
          <a:ext cx="142210" cy="3120619"/>
        </a:xfrm>
        <a:custGeom>
          <a:avLst/>
          <a:gdLst/>
          <a:ahLst/>
          <a:cxnLst/>
          <a:rect l="0" t="0" r="0" b="0"/>
          <a:pathLst>
            <a:path>
              <a:moveTo>
                <a:pt x="0" y="0"/>
              </a:moveTo>
              <a:lnTo>
                <a:pt x="0" y="3120619"/>
              </a:lnTo>
              <a:lnTo>
                <a:pt x="142210" y="312061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2BCC7E7-1FAE-4160-8D59-B6D7EF3ED566}">
      <dsp:nvSpPr>
        <dsp:cNvPr id="0" name=""/>
        <dsp:cNvSpPr/>
      </dsp:nvSpPr>
      <dsp:spPr>
        <a:xfrm>
          <a:off x="6405894" y="1971967"/>
          <a:ext cx="142210" cy="1919878"/>
        </a:xfrm>
        <a:custGeom>
          <a:avLst/>
          <a:gdLst/>
          <a:ahLst/>
          <a:cxnLst/>
          <a:rect l="0" t="0" r="0" b="0"/>
          <a:pathLst>
            <a:path>
              <a:moveTo>
                <a:pt x="0" y="0"/>
              </a:moveTo>
              <a:lnTo>
                <a:pt x="0" y="1919878"/>
              </a:lnTo>
              <a:lnTo>
                <a:pt x="142210" y="19198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DC50C2-23B0-4DA3-A586-D447C26BDA73}">
      <dsp:nvSpPr>
        <dsp:cNvPr id="0" name=""/>
        <dsp:cNvSpPr/>
      </dsp:nvSpPr>
      <dsp:spPr>
        <a:xfrm>
          <a:off x="6405894" y="1971967"/>
          <a:ext cx="142210" cy="700319"/>
        </a:xfrm>
        <a:custGeom>
          <a:avLst/>
          <a:gdLst/>
          <a:ahLst/>
          <a:cxnLst/>
          <a:rect l="0" t="0" r="0" b="0"/>
          <a:pathLst>
            <a:path>
              <a:moveTo>
                <a:pt x="0" y="0"/>
              </a:moveTo>
              <a:lnTo>
                <a:pt x="0" y="700319"/>
              </a:lnTo>
              <a:lnTo>
                <a:pt x="142210" y="70031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BD7E706-A9AA-4557-8326-B1D0235D2675}">
      <dsp:nvSpPr>
        <dsp:cNvPr id="0" name=""/>
        <dsp:cNvSpPr/>
      </dsp:nvSpPr>
      <dsp:spPr>
        <a:xfrm>
          <a:off x="6785122" y="1150923"/>
          <a:ext cx="573583" cy="199095"/>
        </a:xfrm>
        <a:custGeom>
          <a:avLst/>
          <a:gdLst/>
          <a:ahLst/>
          <a:cxnLst/>
          <a:rect l="0" t="0" r="0" b="0"/>
          <a:pathLst>
            <a:path>
              <a:moveTo>
                <a:pt x="573583" y="0"/>
              </a:moveTo>
              <a:lnTo>
                <a:pt x="573583" y="99547"/>
              </a:lnTo>
              <a:lnTo>
                <a:pt x="0" y="99547"/>
              </a:lnTo>
              <a:lnTo>
                <a:pt x="0" y="19909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0C06634-84D8-4749-990A-8782187FE574}">
      <dsp:nvSpPr>
        <dsp:cNvPr id="0" name=""/>
        <dsp:cNvSpPr/>
      </dsp:nvSpPr>
      <dsp:spPr>
        <a:xfrm>
          <a:off x="5258727" y="1824054"/>
          <a:ext cx="142210" cy="1782375"/>
        </a:xfrm>
        <a:custGeom>
          <a:avLst/>
          <a:gdLst/>
          <a:ahLst/>
          <a:cxnLst/>
          <a:rect l="0" t="0" r="0" b="0"/>
          <a:pathLst>
            <a:path>
              <a:moveTo>
                <a:pt x="0" y="0"/>
              </a:moveTo>
              <a:lnTo>
                <a:pt x="0" y="1782375"/>
              </a:lnTo>
              <a:lnTo>
                <a:pt x="142210" y="178237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C987B7D-46DD-47BE-BCEB-F5666FFA75B0}">
      <dsp:nvSpPr>
        <dsp:cNvPr id="0" name=""/>
        <dsp:cNvSpPr/>
      </dsp:nvSpPr>
      <dsp:spPr>
        <a:xfrm>
          <a:off x="5258727" y="1824054"/>
          <a:ext cx="142210" cy="1109244"/>
        </a:xfrm>
        <a:custGeom>
          <a:avLst/>
          <a:gdLst/>
          <a:ahLst/>
          <a:cxnLst/>
          <a:rect l="0" t="0" r="0" b="0"/>
          <a:pathLst>
            <a:path>
              <a:moveTo>
                <a:pt x="0" y="0"/>
              </a:moveTo>
              <a:lnTo>
                <a:pt x="0" y="1109244"/>
              </a:lnTo>
              <a:lnTo>
                <a:pt x="142210" y="110924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ABAB7AE-AB69-480E-8777-B23944DB7411}">
      <dsp:nvSpPr>
        <dsp:cNvPr id="0" name=""/>
        <dsp:cNvSpPr/>
      </dsp:nvSpPr>
      <dsp:spPr>
        <a:xfrm>
          <a:off x="5258727" y="1824054"/>
          <a:ext cx="142210" cy="436113"/>
        </a:xfrm>
        <a:custGeom>
          <a:avLst/>
          <a:gdLst/>
          <a:ahLst/>
          <a:cxnLst/>
          <a:rect l="0" t="0" r="0" b="0"/>
          <a:pathLst>
            <a:path>
              <a:moveTo>
                <a:pt x="0" y="0"/>
              </a:moveTo>
              <a:lnTo>
                <a:pt x="0" y="436113"/>
              </a:lnTo>
              <a:lnTo>
                <a:pt x="142210" y="4361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99C72A4-7C3F-4B87-9EFD-B0F4DD003904}">
      <dsp:nvSpPr>
        <dsp:cNvPr id="0" name=""/>
        <dsp:cNvSpPr/>
      </dsp:nvSpPr>
      <dsp:spPr>
        <a:xfrm>
          <a:off x="5637955" y="1150923"/>
          <a:ext cx="1720750" cy="199095"/>
        </a:xfrm>
        <a:custGeom>
          <a:avLst/>
          <a:gdLst/>
          <a:ahLst/>
          <a:cxnLst/>
          <a:rect l="0" t="0" r="0" b="0"/>
          <a:pathLst>
            <a:path>
              <a:moveTo>
                <a:pt x="1720750" y="0"/>
              </a:moveTo>
              <a:lnTo>
                <a:pt x="1720750" y="99547"/>
              </a:lnTo>
              <a:lnTo>
                <a:pt x="0" y="99547"/>
              </a:lnTo>
              <a:lnTo>
                <a:pt x="0" y="19909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0E94C5F-45B9-42F7-981A-A0FF9D584E38}">
      <dsp:nvSpPr>
        <dsp:cNvPr id="0" name=""/>
        <dsp:cNvSpPr/>
      </dsp:nvSpPr>
      <dsp:spPr>
        <a:xfrm>
          <a:off x="4111560" y="1824054"/>
          <a:ext cx="142210" cy="2554309"/>
        </a:xfrm>
        <a:custGeom>
          <a:avLst/>
          <a:gdLst/>
          <a:ahLst/>
          <a:cxnLst/>
          <a:rect l="0" t="0" r="0" b="0"/>
          <a:pathLst>
            <a:path>
              <a:moveTo>
                <a:pt x="0" y="0"/>
              </a:moveTo>
              <a:lnTo>
                <a:pt x="0" y="2554309"/>
              </a:lnTo>
              <a:lnTo>
                <a:pt x="142210" y="255430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C32AA9-EA7C-4808-B4D3-1841E6F28D3B}">
      <dsp:nvSpPr>
        <dsp:cNvPr id="0" name=""/>
        <dsp:cNvSpPr/>
      </dsp:nvSpPr>
      <dsp:spPr>
        <a:xfrm>
          <a:off x="4111560" y="1824054"/>
          <a:ext cx="142210" cy="1560827"/>
        </a:xfrm>
        <a:custGeom>
          <a:avLst/>
          <a:gdLst/>
          <a:ahLst/>
          <a:cxnLst/>
          <a:rect l="0" t="0" r="0" b="0"/>
          <a:pathLst>
            <a:path>
              <a:moveTo>
                <a:pt x="0" y="0"/>
              </a:moveTo>
              <a:lnTo>
                <a:pt x="0" y="1560827"/>
              </a:lnTo>
              <a:lnTo>
                <a:pt x="142210" y="156082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F864E8-8308-4715-A878-38BB4D0C7A05}">
      <dsp:nvSpPr>
        <dsp:cNvPr id="0" name=""/>
        <dsp:cNvSpPr/>
      </dsp:nvSpPr>
      <dsp:spPr>
        <a:xfrm>
          <a:off x="4111560" y="1824054"/>
          <a:ext cx="142210" cy="579423"/>
        </a:xfrm>
        <a:custGeom>
          <a:avLst/>
          <a:gdLst/>
          <a:ahLst/>
          <a:cxnLst/>
          <a:rect l="0" t="0" r="0" b="0"/>
          <a:pathLst>
            <a:path>
              <a:moveTo>
                <a:pt x="0" y="0"/>
              </a:moveTo>
              <a:lnTo>
                <a:pt x="0" y="579423"/>
              </a:lnTo>
              <a:lnTo>
                <a:pt x="142210" y="57942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4A6B83A-B826-4336-860D-EB87258A0851}">
      <dsp:nvSpPr>
        <dsp:cNvPr id="0" name=""/>
        <dsp:cNvSpPr/>
      </dsp:nvSpPr>
      <dsp:spPr>
        <a:xfrm>
          <a:off x="4490788" y="1150923"/>
          <a:ext cx="2867917" cy="199095"/>
        </a:xfrm>
        <a:custGeom>
          <a:avLst/>
          <a:gdLst/>
          <a:ahLst/>
          <a:cxnLst/>
          <a:rect l="0" t="0" r="0" b="0"/>
          <a:pathLst>
            <a:path>
              <a:moveTo>
                <a:pt x="2867917" y="0"/>
              </a:moveTo>
              <a:lnTo>
                <a:pt x="2867917" y="99547"/>
              </a:lnTo>
              <a:lnTo>
                <a:pt x="0" y="99547"/>
              </a:lnTo>
              <a:lnTo>
                <a:pt x="0" y="19909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6514E6E-A6D1-4335-B25D-26C67986FE40}">
      <dsp:nvSpPr>
        <dsp:cNvPr id="0" name=""/>
        <dsp:cNvSpPr/>
      </dsp:nvSpPr>
      <dsp:spPr>
        <a:xfrm>
          <a:off x="2964393" y="1824054"/>
          <a:ext cx="142210" cy="2642089"/>
        </a:xfrm>
        <a:custGeom>
          <a:avLst/>
          <a:gdLst/>
          <a:ahLst/>
          <a:cxnLst/>
          <a:rect l="0" t="0" r="0" b="0"/>
          <a:pathLst>
            <a:path>
              <a:moveTo>
                <a:pt x="0" y="0"/>
              </a:moveTo>
              <a:lnTo>
                <a:pt x="0" y="2642089"/>
              </a:lnTo>
              <a:lnTo>
                <a:pt x="142210" y="26420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8119197-FE93-41C1-9614-EB05D3FBC3AA}">
      <dsp:nvSpPr>
        <dsp:cNvPr id="0" name=""/>
        <dsp:cNvSpPr/>
      </dsp:nvSpPr>
      <dsp:spPr>
        <a:xfrm>
          <a:off x="2964393" y="1824054"/>
          <a:ext cx="142210" cy="1598179"/>
        </a:xfrm>
        <a:custGeom>
          <a:avLst/>
          <a:gdLst/>
          <a:ahLst/>
          <a:cxnLst/>
          <a:rect l="0" t="0" r="0" b="0"/>
          <a:pathLst>
            <a:path>
              <a:moveTo>
                <a:pt x="0" y="0"/>
              </a:moveTo>
              <a:lnTo>
                <a:pt x="0" y="1598179"/>
              </a:lnTo>
              <a:lnTo>
                <a:pt x="142210" y="159817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173B549-F137-4D1C-8290-B9B91430ED96}">
      <dsp:nvSpPr>
        <dsp:cNvPr id="0" name=""/>
        <dsp:cNvSpPr/>
      </dsp:nvSpPr>
      <dsp:spPr>
        <a:xfrm>
          <a:off x="2964393" y="1824054"/>
          <a:ext cx="142210" cy="618607"/>
        </a:xfrm>
        <a:custGeom>
          <a:avLst/>
          <a:gdLst/>
          <a:ahLst/>
          <a:cxnLst/>
          <a:rect l="0" t="0" r="0" b="0"/>
          <a:pathLst>
            <a:path>
              <a:moveTo>
                <a:pt x="0" y="0"/>
              </a:moveTo>
              <a:lnTo>
                <a:pt x="0" y="618607"/>
              </a:lnTo>
              <a:lnTo>
                <a:pt x="142210" y="61860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5880DC0-D510-4295-A99D-BB9BAE67D8A1}">
      <dsp:nvSpPr>
        <dsp:cNvPr id="0" name=""/>
        <dsp:cNvSpPr/>
      </dsp:nvSpPr>
      <dsp:spPr>
        <a:xfrm>
          <a:off x="3343621" y="1150923"/>
          <a:ext cx="4015084" cy="199095"/>
        </a:xfrm>
        <a:custGeom>
          <a:avLst/>
          <a:gdLst/>
          <a:ahLst/>
          <a:cxnLst/>
          <a:rect l="0" t="0" r="0" b="0"/>
          <a:pathLst>
            <a:path>
              <a:moveTo>
                <a:pt x="4015084" y="0"/>
              </a:moveTo>
              <a:lnTo>
                <a:pt x="4015084" y="99547"/>
              </a:lnTo>
              <a:lnTo>
                <a:pt x="0" y="99547"/>
              </a:lnTo>
              <a:lnTo>
                <a:pt x="0" y="19909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C6395B-4055-44E0-BA11-3DE1F5BF09B1}">
      <dsp:nvSpPr>
        <dsp:cNvPr id="0" name=""/>
        <dsp:cNvSpPr/>
      </dsp:nvSpPr>
      <dsp:spPr>
        <a:xfrm>
          <a:off x="1817226" y="1824054"/>
          <a:ext cx="142210" cy="2951954"/>
        </a:xfrm>
        <a:custGeom>
          <a:avLst/>
          <a:gdLst/>
          <a:ahLst/>
          <a:cxnLst/>
          <a:rect l="0" t="0" r="0" b="0"/>
          <a:pathLst>
            <a:path>
              <a:moveTo>
                <a:pt x="0" y="0"/>
              </a:moveTo>
              <a:lnTo>
                <a:pt x="0" y="2951954"/>
              </a:lnTo>
              <a:lnTo>
                <a:pt x="142210" y="29519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7E30F65-4629-486F-A8C6-D08F8F521462}">
      <dsp:nvSpPr>
        <dsp:cNvPr id="0" name=""/>
        <dsp:cNvSpPr/>
      </dsp:nvSpPr>
      <dsp:spPr>
        <a:xfrm>
          <a:off x="1817226" y="1824054"/>
          <a:ext cx="142210" cy="1796145"/>
        </a:xfrm>
        <a:custGeom>
          <a:avLst/>
          <a:gdLst/>
          <a:ahLst/>
          <a:cxnLst/>
          <a:rect l="0" t="0" r="0" b="0"/>
          <a:pathLst>
            <a:path>
              <a:moveTo>
                <a:pt x="0" y="0"/>
              </a:moveTo>
              <a:lnTo>
                <a:pt x="0" y="1796145"/>
              </a:lnTo>
              <a:lnTo>
                <a:pt x="142210" y="179614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449F863-1B02-4A9F-83C9-BAAB2389E8ED}">
      <dsp:nvSpPr>
        <dsp:cNvPr id="0" name=""/>
        <dsp:cNvSpPr/>
      </dsp:nvSpPr>
      <dsp:spPr>
        <a:xfrm>
          <a:off x="1817226" y="1824054"/>
          <a:ext cx="142210" cy="642328"/>
        </a:xfrm>
        <a:custGeom>
          <a:avLst/>
          <a:gdLst/>
          <a:ahLst/>
          <a:cxnLst/>
          <a:rect l="0" t="0" r="0" b="0"/>
          <a:pathLst>
            <a:path>
              <a:moveTo>
                <a:pt x="0" y="0"/>
              </a:moveTo>
              <a:lnTo>
                <a:pt x="0" y="642328"/>
              </a:lnTo>
              <a:lnTo>
                <a:pt x="142210" y="64232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CE8DE57-4F2A-4759-AE5E-7353EADD2335}">
      <dsp:nvSpPr>
        <dsp:cNvPr id="0" name=""/>
        <dsp:cNvSpPr/>
      </dsp:nvSpPr>
      <dsp:spPr>
        <a:xfrm>
          <a:off x="2196454" y="1150923"/>
          <a:ext cx="5162251" cy="199095"/>
        </a:xfrm>
        <a:custGeom>
          <a:avLst/>
          <a:gdLst/>
          <a:ahLst/>
          <a:cxnLst/>
          <a:rect l="0" t="0" r="0" b="0"/>
          <a:pathLst>
            <a:path>
              <a:moveTo>
                <a:pt x="5162251" y="0"/>
              </a:moveTo>
              <a:lnTo>
                <a:pt x="5162251" y="99547"/>
              </a:lnTo>
              <a:lnTo>
                <a:pt x="0" y="99547"/>
              </a:lnTo>
              <a:lnTo>
                <a:pt x="0" y="19909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558FD20-2AAA-42E3-850A-807A28318ECF}">
      <dsp:nvSpPr>
        <dsp:cNvPr id="0" name=""/>
        <dsp:cNvSpPr/>
      </dsp:nvSpPr>
      <dsp:spPr>
        <a:xfrm>
          <a:off x="5232655" y="477792"/>
          <a:ext cx="2126051" cy="199095"/>
        </a:xfrm>
        <a:custGeom>
          <a:avLst/>
          <a:gdLst/>
          <a:ahLst/>
          <a:cxnLst/>
          <a:rect l="0" t="0" r="0" b="0"/>
          <a:pathLst>
            <a:path>
              <a:moveTo>
                <a:pt x="0" y="0"/>
              </a:moveTo>
              <a:lnTo>
                <a:pt x="0" y="99547"/>
              </a:lnTo>
              <a:lnTo>
                <a:pt x="2126051" y="99547"/>
              </a:lnTo>
              <a:lnTo>
                <a:pt x="2126051" y="19909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6E6E30-5441-43D8-A2FD-9DF8DD5296EA}">
      <dsp:nvSpPr>
        <dsp:cNvPr id="0" name=""/>
        <dsp:cNvSpPr/>
      </dsp:nvSpPr>
      <dsp:spPr>
        <a:xfrm>
          <a:off x="433041" y="1150923"/>
          <a:ext cx="142210" cy="6114888"/>
        </a:xfrm>
        <a:custGeom>
          <a:avLst/>
          <a:gdLst/>
          <a:ahLst/>
          <a:cxnLst/>
          <a:rect l="0" t="0" r="0" b="0"/>
          <a:pathLst>
            <a:path>
              <a:moveTo>
                <a:pt x="0" y="0"/>
              </a:moveTo>
              <a:lnTo>
                <a:pt x="0" y="6114888"/>
              </a:lnTo>
              <a:lnTo>
                <a:pt x="142210" y="611488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E8D8DD1-0F4B-44BC-84F1-A50CF5D32691}">
      <dsp:nvSpPr>
        <dsp:cNvPr id="0" name=""/>
        <dsp:cNvSpPr/>
      </dsp:nvSpPr>
      <dsp:spPr>
        <a:xfrm>
          <a:off x="433041" y="1150923"/>
          <a:ext cx="142210" cy="5441757"/>
        </a:xfrm>
        <a:custGeom>
          <a:avLst/>
          <a:gdLst/>
          <a:ahLst/>
          <a:cxnLst/>
          <a:rect l="0" t="0" r="0" b="0"/>
          <a:pathLst>
            <a:path>
              <a:moveTo>
                <a:pt x="0" y="0"/>
              </a:moveTo>
              <a:lnTo>
                <a:pt x="0" y="5441757"/>
              </a:lnTo>
              <a:lnTo>
                <a:pt x="142210" y="54417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47A068-F4BD-41EA-8DFE-48076EA44852}">
      <dsp:nvSpPr>
        <dsp:cNvPr id="0" name=""/>
        <dsp:cNvSpPr/>
      </dsp:nvSpPr>
      <dsp:spPr>
        <a:xfrm>
          <a:off x="433041" y="1150923"/>
          <a:ext cx="142210" cy="4768626"/>
        </a:xfrm>
        <a:custGeom>
          <a:avLst/>
          <a:gdLst/>
          <a:ahLst/>
          <a:cxnLst/>
          <a:rect l="0" t="0" r="0" b="0"/>
          <a:pathLst>
            <a:path>
              <a:moveTo>
                <a:pt x="0" y="0"/>
              </a:moveTo>
              <a:lnTo>
                <a:pt x="0" y="4768626"/>
              </a:lnTo>
              <a:lnTo>
                <a:pt x="142210" y="476862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B3D46CC-1096-4A8D-A567-4B1DA8395974}">
      <dsp:nvSpPr>
        <dsp:cNvPr id="0" name=""/>
        <dsp:cNvSpPr/>
      </dsp:nvSpPr>
      <dsp:spPr>
        <a:xfrm>
          <a:off x="433041" y="1150923"/>
          <a:ext cx="142210" cy="4095495"/>
        </a:xfrm>
        <a:custGeom>
          <a:avLst/>
          <a:gdLst/>
          <a:ahLst/>
          <a:cxnLst/>
          <a:rect l="0" t="0" r="0" b="0"/>
          <a:pathLst>
            <a:path>
              <a:moveTo>
                <a:pt x="0" y="0"/>
              </a:moveTo>
              <a:lnTo>
                <a:pt x="0" y="4095495"/>
              </a:lnTo>
              <a:lnTo>
                <a:pt x="142210" y="409549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25AD5E-5711-4AE1-9A38-B91C539DF844}">
      <dsp:nvSpPr>
        <dsp:cNvPr id="0" name=""/>
        <dsp:cNvSpPr/>
      </dsp:nvSpPr>
      <dsp:spPr>
        <a:xfrm>
          <a:off x="433041" y="1150923"/>
          <a:ext cx="142210" cy="3422364"/>
        </a:xfrm>
        <a:custGeom>
          <a:avLst/>
          <a:gdLst/>
          <a:ahLst/>
          <a:cxnLst/>
          <a:rect l="0" t="0" r="0" b="0"/>
          <a:pathLst>
            <a:path>
              <a:moveTo>
                <a:pt x="0" y="0"/>
              </a:moveTo>
              <a:lnTo>
                <a:pt x="0" y="3422364"/>
              </a:lnTo>
              <a:lnTo>
                <a:pt x="142210" y="342236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93F79D8-7F6D-49BF-B100-FD72B15C9147}">
      <dsp:nvSpPr>
        <dsp:cNvPr id="0" name=""/>
        <dsp:cNvSpPr/>
      </dsp:nvSpPr>
      <dsp:spPr>
        <a:xfrm>
          <a:off x="433041" y="1150923"/>
          <a:ext cx="142210" cy="2749233"/>
        </a:xfrm>
        <a:custGeom>
          <a:avLst/>
          <a:gdLst/>
          <a:ahLst/>
          <a:cxnLst/>
          <a:rect l="0" t="0" r="0" b="0"/>
          <a:pathLst>
            <a:path>
              <a:moveTo>
                <a:pt x="0" y="0"/>
              </a:moveTo>
              <a:lnTo>
                <a:pt x="0" y="2749233"/>
              </a:lnTo>
              <a:lnTo>
                <a:pt x="142210" y="274923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44187E6-76FF-4929-BBE4-EE791A9ADF40}">
      <dsp:nvSpPr>
        <dsp:cNvPr id="0" name=""/>
        <dsp:cNvSpPr/>
      </dsp:nvSpPr>
      <dsp:spPr>
        <a:xfrm>
          <a:off x="433041" y="1150923"/>
          <a:ext cx="142210" cy="2076102"/>
        </a:xfrm>
        <a:custGeom>
          <a:avLst/>
          <a:gdLst/>
          <a:ahLst/>
          <a:cxnLst/>
          <a:rect l="0" t="0" r="0" b="0"/>
          <a:pathLst>
            <a:path>
              <a:moveTo>
                <a:pt x="0" y="0"/>
              </a:moveTo>
              <a:lnTo>
                <a:pt x="0" y="2076102"/>
              </a:lnTo>
              <a:lnTo>
                <a:pt x="142210" y="207610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2D2133E-DF19-4113-856C-07450D1D5B4B}">
      <dsp:nvSpPr>
        <dsp:cNvPr id="0" name=""/>
        <dsp:cNvSpPr/>
      </dsp:nvSpPr>
      <dsp:spPr>
        <a:xfrm>
          <a:off x="433041" y="1150923"/>
          <a:ext cx="142210" cy="1402971"/>
        </a:xfrm>
        <a:custGeom>
          <a:avLst/>
          <a:gdLst/>
          <a:ahLst/>
          <a:cxnLst/>
          <a:rect l="0" t="0" r="0" b="0"/>
          <a:pathLst>
            <a:path>
              <a:moveTo>
                <a:pt x="0" y="0"/>
              </a:moveTo>
              <a:lnTo>
                <a:pt x="0" y="1402971"/>
              </a:lnTo>
              <a:lnTo>
                <a:pt x="142210" y="140297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7A61CDB-DD19-43D7-A779-C769E67F727D}">
      <dsp:nvSpPr>
        <dsp:cNvPr id="0" name=""/>
        <dsp:cNvSpPr/>
      </dsp:nvSpPr>
      <dsp:spPr>
        <a:xfrm>
          <a:off x="433041" y="1150923"/>
          <a:ext cx="142210" cy="582976"/>
        </a:xfrm>
        <a:custGeom>
          <a:avLst/>
          <a:gdLst/>
          <a:ahLst/>
          <a:cxnLst/>
          <a:rect l="0" t="0" r="0" b="0"/>
          <a:pathLst>
            <a:path>
              <a:moveTo>
                <a:pt x="0" y="0"/>
              </a:moveTo>
              <a:lnTo>
                <a:pt x="0" y="582976"/>
              </a:lnTo>
              <a:lnTo>
                <a:pt x="142210" y="58297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47BED52-3347-48E4-BCA1-443091CE2DCE}">
      <dsp:nvSpPr>
        <dsp:cNvPr id="0" name=""/>
        <dsp:cNvSpPr/>
      </dsp:nvSpPr>
      <dsp:spPr>
        <a:xfrm>
          <a:off x="812269" y="477792"/>
          <a:ext cx="4420385" cy="199095"/>
        </a:xfrm>
        <a:custGeom>
          <a:avLst/>
          <a:gdLst/>
          <a:ahLst/>
          <a:cxnLst/>
          <a:rect l="0" t="0" r="0" b="0"/>
          <a:pathLst>
            <a:path>
              <a:moveTo>
                <a:pt x="4420385" y="0"/>
              </a:moveTo>
              <a:lnTo>
                <a:pt x="4420385" y="99547"/>
              </a:lnTo>
              <a:lnTo>
                <a:pt x="0" y="99547"/>
              </a:lnTo>
              <a:lnTo>
                <a:pt x="0" y="19909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61EB231-08C3-4436-87CC-C1C1E7006277}">
      <dsp:nvSpPr>
        <dsp:cNvPr id="0" name=""/>
        <dsp:cNvSpPr/>
      </dsp:nvSpPr>
      <dsp:spPr>
        <a:xfrm>
          <a:off x="4758619" y="3756"/>
          <a:ext cx="948071" cy="4740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CR" sz="900" kern="1200">
              <a:latin typeface="Arial" panose="020B0604020202020204" pitchFamily="34" charset="0"/>
              <a:cs typeface="Arial" panose="020B0604020202020204" pitchFamily="34" charset="0"/>
            </a:rPr>
            <a:t>1. </a:t>
          </a:r>
          <a:r>
            <a:rPr lang="en-US" sz="900" kern="1200">
              <a:latin typeface="Arial" panose="020B0604020202020204" pitchFamily="34" charset="0"/>
              <a:cs typeface="Arial" panose="020B0604020202020204" pitchFamily="34" charset="0"/>
            </a:rPr>
            <a:t>PFG</a:t>
          </a:r>
          <a:endParaRPr lang="es-CR" sz="900" kern="1200">
            <a:latin typeface="Arial" panose="020B0604020202020204" pitchFamily="34" charset="0"/>
            <a:cs typeface="Arial" panose="020B0604020202020204" pitchFamily="34" charset="0"/>
          </a:endParaRPr>
        </a:p>
      </dsp:txBody>
      <dsp:txXfrm>
        <a:off x="4758619" y="3756"/>
        <a:ext cx="948071" cy="474035"/>
      </dsp:txXfrm>
    </dsp:sp>
    <dsp:sp modelId="{02E074D0-4A6D-476A-B380-C8313AA66B11}">
      <dsp:nvSpPr>
        <dsp:cNvPr id="0" name=""/>
        <dsp:cNvSpPr/>
      </dsp:nvSpPr>
      <dsp:spPr>
        <a:xfrm>
          <a:off x="338233" y="676887"/>
          <a:ext cx="948071" cy="4740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CR" sz="900" kern="1200">
              <a:latin typeface="Arial" panose="020B0604020202020204" pitchFamily="34" charset="0"/>
              <a:cs typeface="Arial" panose="020B0604020202020204" pitchFamily="34" charset="0"/>
            </a:rPr>
            <a:t>1.1 </a:t>
          </a:r>
          <a:r>
            <a:rPr lang="en-US" sz="900" kern="1200">
              <a:latin typeface="Arial" panose="020B0604020202020204" pitchFamily="34" charset="0"/>
              <a:cs typeface="Arial" panose="020B0604020202020204" pitchFamily="34" charset="0"/>
            </a:rPr>
            <a:t>Perfil del PFG</a:t>
          </a:r>
          <a:endParaRPr lang="es-CR" sz="900" kern="1200">
            <a:latin typeface="Arial" panose="020B0604020202020204" pitchFamily="34" charset="0"/>
            <a:cs typeface="Arial" panose="020B0604020202020204" pitchFamily="34" charset="0"/>
          </a:endParaRPr>
        </a:p>
      </dsp:txBody>
      <dsp:txXfrm>
        <a:off x="338233" y="676887"/>
        <a:ext cx="948071" cy="474035"/>
      </dsp:txXfrm>
    </dsp:sp>
    <dsp:sp modelId="{53CD6ABA-0725-4620-9494-A23E205C0BF4}">
      <dsp:nvSpPr>
        <dsp:cNvPr id="0" name=""/>
        <dsp:cNvSpPr/>
      </dsp:nvSpPr>
      <dsp:spPr>
        <a:xfrm>
          <a:off x="575251" y="1350018"/>
          <a:ext cx="948071" cy="76776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1.1.1 Acta de Proyecto-Investigación </a:t>
          </a:r>
          <a:r>
            <a:rPr lang="en-US" sz="800" kern="1200">
              <a:latin typeface="Arial" panose="020B0604020202020204" pitchFamily="34" charset="0"/>
              <a:cs typeface="Arial" panose="020B0604020202020204" pitchFamily="34" charset="0"/>
            </a:rPr>
            <a:t>bibliográfica</a:t>
          </a:r>
          <a:r>
            <a:rPr lang="en-US" sz="900" kern="1200">
              <a:latin typeface="Arial" panose="020B0604020202020204" pitchFamily="34" charset="0"/>
              <a:cs typeface="Arial" panose="020B0604020202020204" pitchFamily="34" charset="0"/>
            </a:rPr>
            <a:t> preliminar</a:t>
          </a:r>
          <a:endParaRPr lang="es-CR" sz="900" kern="1200">
            <a:latin typeface="Arial" panose="020B0604020202020204" pitchFamily="34" charset="0"/>
            <a:cs typeface="Arial" panose="020B0604020202020204" pitchFamily="34" charset="0"/>
          </a:endParaRPr>
        </a:p>
      </dsp:txBody>
      <dsp:txXfrm>
        <a:off x="575251" y="1350018"/>
        <a:ext cx="948071" cy="767762"/>
      </dsp:txXfrm>
    </dsp:sp>
    <dsp:sp modelId="{609C40B9-27F2-453E-8183-097769512DCC}">
      <dsp:nvSpPr>
        <dsp:cNvPr id="0" name=""/>
        <dsp:cNvSpPr/>
      </dsp:nvSpPr>
      <dsp:spPr>
        <a:xfrm>
          <a:off x="575251" y="2316876"/>
          <a:ext cx="948071" cy="4740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1.1.2 Acta de Proyecto-EDT-Cronograma</a:t>
          </a:r>
          <a:endParaRPr lang="es-CR" sz="900" kern="1200">
            <a:latin typeface="Arial" panose="020B0604020202020204" pitchFamily="34" charset="0"/>
            <a:cs typeface="Arial" panose="020B0604020202020204" pitchFamily="34" charset="0"/>
          </a:endParaRPr>
        </a:p>
      </dsp:txBody>
      <dsp:txXfrm>
        <a:off x="575251" y="2316876"/>
        <a:ext cx="948071" cy="474035"/>
      </dsp:txXfrm>
    </dsp:sp>
    <dsp:sp modelId="{E9A0F54A-6335-44B3-947C-0BCBD9BA7B08}">
      <dsp:nvSpPr>
        <dsp:cNvPr id="0" name=""/>
        <dsp:cNvSpPr/>
      </dsp:nvSpPr>
      <dsp:spPr>
        <a:xfrm>
          <a:off x="575251" y="2990007"/>
          <a:ext cx="948071" cy="4740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1.1.3 Marco Teórico I Parte</a:t>
          </a:r>
          <a:endParaRPr lang="es-CR" sz="900" kern="1200">
            <a:latin typeface="Arial" panose="020B0604020202020204" pitchFamily="34" charset="0"/>
            <a:cs typeface="Arial" panose="020B0604020202020204" pitchFamily="34" charset="0"/>
          </a:endParaRPr>
        </a:p>
      </dsp:txBody>
      <dsp:txXfrm>
        <a:off x="575251" y="2990007"/>
        <a:ext cx="948071" cy="474035"/>
      </dsp:txXfrm>
    </dsp:sp>
    <dsp:sp modelId="{6615CC95-8184-4A74-8886-438080F7B78A}">
      <dsp:nvSpPr>
        <dsp:cNvPr id="0" name=""/>
        <dsp:cNvSpPr/>
      </dsp:nvSpPr>
      <dsp:spPr>
        <a:xfrm>
          <a:off x="575251" y="3663138"/>
          <a:ext cx="948071" cy="4740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1.1.4 Marco Teórico II Parte</a:t>
          </a:r>
          <a:endParaRPr lang="es-CR" sz="900" kern="1200">
            <a:latin typeface="Arial" panose="020B0604020202020204" pitchFamily="34" charset="0"/>
            <a:cs typeface="Arial" panose="020B0604020202020204" pitchFamily="34" charset="0"/>
          </a:endParaRPr>
        </a:p>
      </dsp:txBody>
      <dsp:txXfrm>
        <a:off x="575251" y="3663138"/>
        <a:ext cx="948071" cy="474035"/>
      </dsp:txXfrm>
    </dsp:sp>
    <dsp:sp modelId="{0D648FAF-1DA4-4304-972D-EBAB8D9D08C5}">
      <dsp:nvSpPr>
        <dsp:cNvPr id="0" name=""/>
        <dsp:cNvSpPr/>
      </dsp:nvSpPr>
      <dsp:spPr>
        <a:xfrm>
          <a:off x="575251" y="4336269"/>
          <a:ext cx="948071" cy="4740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1.1.5 Marco Metodológico</a:t>
          </a:r>
          <a:endParaRPr lang="es-CR" sz="900" kern="1200">
            <a:latin typeface="Arial" panose="020B0604020202020204" pitchFamily="34" charset="0"/>
            <a:cs typeface="Arial" panose="020B0604020202020204" pitchFamily="34" charset="0"/>
          </a:endParaRPr>
        </a:p>
      </dsp:txBody>
      <dsp:txXfrm>
        <a:off x="575251" y="4336269"/>
        <a:ext cx="948071" cy="474035"/>
      </dsp:txXfrm>
    </dsp:sp>
    <dsp:sp modelId="{009E53A5-77C1-441C-AFCA-67448F33B8C5}">
      <dsp:nvSpPr>
        <dsp:cNvPr id="0" name=""/>
        <dsp:cNvSpPr/>
      </dsp:nvSpPr>
      <dsp:spPr>
        <a:xfrm>
          <a:off x="575251" y="5009400"/>
          <a:ext cx="948071" cy="4740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1.1.6 Introducción</a:t>
          </a:r>
          <a:endParaRPr lang="es-CR" sz="900" kern="1200">
            <a:latin typeface="Arial" panose="020B0604020202020204" pitchFamily="34" charset="0"/>
            <a:cs typeface="Arial" panose="020B0604020202020204" pitchFamily="34" charset="0"/>
          </a:endParaRPr>
        </a:p>
      </dsp:txBody>
      <dsp:txXfrm>
        <a:off x="575251" y="5009400"/>
        <a:ext cx="948071" cy="474035"/>
      </dsp:txXfrm>
    </dsp:sp>
    <dsp:sp modelId="{7FA4D188-399C-427C-A220-0CA1482B0242}">
      <dsp:nvSpPr>
        <dsp:cNvPr id="0" name=""/>
        <dsp:cNvSpPr/>
      </dsp:nvSpPr>
      <dsp:spPr>
        <a:xfrm>
          <a:off x="575251" y="5682531"/>
          <a:ext cx="948071" cy="4740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1.1.7 Documento integrado</a:t>
          </a:r>
          <a:endParaRPr lang="es-CR" sz="900" kern="1200">
            <a:latin typeface="Arial" panose="020B0604020202020204" pitchFamily="34" charset="0"/>
            <a:cs typeface="Arial" panose="020B0604020202020204" pitchFamily="34" charset="0"/>
          </a:endParaRPr>
        </a:p>
      </dsp:txBody>
      <dsp:txXfrm>
        <a:off x="575251" y="5682531"/>
        <a:ext cx="948071" cy="474035"/>
      </dsp:txXfrm>
    </dsp:sp>
    <dsp:sp modelId="{D1529D59-3971-4179-9CB7-ACD08E58E993}">
      <dsp:nvSpPr>
        <dsp:cNvPr id="0" name=""/>
        <dsp:cNvSpPr/>
      </dsp:nvSpPr>
      <dsp:spPr>
        <a:xfrm>
          <a:off x="575251" y="6355662"/>
          <a:ext cx="948071" cy="4740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1.1.8 Revisión Documento integrado</a:t>
          </a:r>
          <a:endParaRPr lang="es-CR" sz="900" kern="1200">
            <a:latin typeface="Arial" panose="020B0604020202020204" pitchFamily="34" charset="0"/>
            <a:cs typeface="Arial" panose="020B0604020202020204" pitchFamily="34" charset="0"/>
          </a:endParaRPr>
        </a:p>
      </dsp:txBody>
      <dsp:txXfrm>
        <a:off x="575251" y="6355662"/>
        <a:ext cx="948071" cy="474035"/>
      </dsp:txXfrm>
    </dsp:sp>
    <dsp:sp modelId="{ABCE32FF-310E-4F62-8BBC-8ABCAE21A6B8}">
      <dsp:nvSpPr>
        <dsp:cNvPr id="0" name=""/>
        <dsp:cNvSpPr/>
      </dsp:nvSpPr>
      <dsp:spPr>
        <a:xfrm>
          <a:off x="575251" y="7028793"/>
          <a:ext cx="948071" cy="4740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1.1.9 Seminario de Graduación aprobado</a:t>
          </a:r>
          <a:endParaRPr lang="es-CR" sz="900" kern="1200">
            <a:latin typeface="Arial" panose="020B0604020202020204" pitchFamily="34" charset="0"/>
            <a:cs typeface="Arial" panose="020B0604020202020204" pitchFamily="34" charset="0"/>
          </a:endParaRPr>
        </a:p>
      </dsp:txBody>
      <dsp:txXfrm>
        <a:off x="575251" y="7028793"/>
        <a:ext cx="948071" cy="474035"/>
      </dsp:txXfrm>
    </dsp:sp>
    <dsp:sp modelId="{7717E88C-8096-4D98-8C10-6F849847F33D}">
      <dsp:nvSpPr>
        <dsp:cNvPr id="0" name=""/>
        <dsp:cNvSpPr/>
      </dsp:nvSpPr>
      <dsp:spPr>
        <a:xfrm>
          <a:off x="6884670" y="676887"/>
          <a:ext cx="948071" cy="4740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CR" sz="900" kern="1200">
              <a:latin typeface="Arial" panose="020B0604020202020204" pitchFamily="34" charset="0"/>
              <a:cs typeface="Arial" panose="020B0604020202020204" pitchFamily="34" charset="0"/>
            </a:rPr>
            <a:t>1.2 </a:t>
          </a:r>
          <a:r>
            <a:rPr lang="en-US" sz="900" kern="1200">
              <a:latin typeface="Arial" panose="020B0604020202020204" pitchFamily="34" charset="0"/>
              <a:cs typeface="Arial" panose="020B0604020202020204" pitchFamily="34" charset="0"/>
            </a:rPr>
            <a:t>Desarrollo del PFG</a:t>
          </a:r>
          <a:endParaRPr lang="es-CR" sz="900" kern="1200">
            <a:latin typeface="Arial" panose="020B0604020202020204" pitchFamily="34" charset="0"/>
            <a:cs typeface="Arial" panose="020B0604020202020204" pitchFamily="34" charset="0"/>
          </a:endParaRPr>
        </a:p>
      </dsp:txBody>
      <dsp:txXfrm>
        <a:off x="6884670" y="676887"/>
        <a:ext cx="948071" cy="474035"/>
      </dsp:txXfrm>
    </dsp:sp>
    <dsp:sp modelId="{8881AAB7-7189-4324-818B-94A495A2CBAD}">
      <dsp:nvSpPr>
        <dsp:cNvPr id="0" name=""/>
        <dsp:cNvSpPr/>
      </dsp:nvSpPr>
      <dsp:spPr>
        <a:xfrm>
          <a:off x="1722418" y="1350018"/>
          <a:ext cx="948071" cy="4740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1.2.1 Diagnóstico del proceso actual</a:t>
          </a:r>
          <a:endParaRPr lang="es-CR" sz="900" kern="1200">
            <a:latin typeface="Arial" panose="020B0604020202020204" pitchFamily="34" charset="0"/>
            <a:cs typeface="Arial" panose="020B0604020202020204" pitchFamily="34" charset="0"/>
          </a:endParaRPr>
        </a:p>
      </dsp:txBody>
      <dsp:txXfrm>
        <a:off x="1722418" y="1350018"/>
        <a:ext cx="948071" cy="474035"/>
      </dsp:txXfrm>
    </dsp:sp>
    <dsp:sp modelId="{66D97830-6A7E-4455-8506-C3A36AEC6C70}">
      <dsp:nvSpPr>
        <dsp:cNvPr id="0" name=""/>
        <dsp:cNvSpPr/>
      </dsp:nvSpPr>
      <dsp:spPr>
        <a:xfrm>
          <a:off x="1959436" y="2023149"/>
          <a:ext cx="948071" cy="88646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1.2.1.1 Informe del proceso actual en proyectos Design &amp; Build en CWP</a:t>
          </a:r>
          <a:endParaRPr lang="es-CR" sz="900" kern="1200">
            <a:latin typeface="Arial" panose="020B0604020202020204" pitchFamily="34" charset="0"/>
            <a:cs typeface="Arial" panose="020B0604020202020204" pitchFamily="34" charset="0"/>
          </a:endParaRPr>
        </a:p>
      </dsp:txBody>
      <dsp:txXfrm>
        <a:off x="1959436" y="2023149"/>
        <a:ext cx="948071" cy="886466"/>
      </dsp:txXfrm>
    </dsp:sp>
    <dsp:sp modelId="{D4932E5F-7FA6-4B29-A820-8D80F655834D}">
      <dsp:nvSpPr>
        <dsp:cNvPr id="0" name=""/>
        <dsp:cNvSpPr/>
      </dsp:nvSpPr>
      <dsp:spPr>
        <a:xfrm>
          <a:off x="1959436" y="3108710"/>
          <a:ext cx="948071" cy="102297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1.2.1.2 Mapa de flujo actual de planificación, diseño y ejecución</a:t>
          </a:r>
          <a:endParaRPr lang="es-CR" sz="900" kern="1200">
            <a:latin typeface="Arial" panose="020B0604020202020204" pitchFamily="34" charset="0"/>
            <a:cs typeface="Arial" panose="020B0604020202020204" pitchFamily="34" charset="0"/>
          </a:endParaRPr>
        </a:p>
      </dsp:txBody>
      <dsp:txXfrm>
        <a:off x="1959436" y="3108710"/>
        <a:ext cx="948071" cy="1022979"/>
      </dsp:txXfrm>
    </dsp:sp>
    <dsp:sp modelId="{788D0E5B-B4AA-486F-A0CF-21C3F648F44F}">
      <dsp:nvSpPr>
        <dsp:cNvPr id="0" name=""/>
        <dsp:cNvSpPr/>
      </dsp:nvSpPr>
      <dsp:spPr>
        <a:xfrm>
          <a:off x="1959436" y="4330784"/>
          <a:ext cx="948071" cy="8904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1.2.1.3 Identificación de debilidades o fallas de integración</a:t>
          </a:r>
          <a:endParaRPr lang="es-CR" sz="900" kern="1200">
            <a:latin typeface="Arial" panose="020B0604020202020204" pitchFamily="34" charset="0"/>
            <a:cs typeface="Arial" panose="020B0604020202020204" pitchFamily="34" charset="0"/>
          </a:endParaRPr>
        </a:p>
      </dsp:txBody>
      <dsp:txXfrm>
        <a:off x="1959436" y="4330784"/>
        <a:ext cx="948071" cy="890448"/>
      </dsp:txXfrm>
    </dsp:sp>
    <dsp:sp modelId="{3039DBD9-8D08-46DD-BFF7-469DD4136FA3}">
      <dsp:nvSpPr>
        <dsp:cNvPr id="0" name=""/>
        <dsp:cNvSpPr/>
      </dsp:nvSpPr>
      <dsp:spPr>
        <a:xfrm>
          <a:off x="2869585" y="1350018"/>
          <a:ext cx="948071" cy="4740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1.2.2 Revisión de buenas prácticas</a:t>
          </a:r>
        </a:p>
      </dsp:txBody>
      <dsp:txXfrm>
        <a:off x="2869585" y="1350018"/>
        <a:ext cx="948071" cy="474035"/>
      </dsp:txXfrm>
    </dsp:sp>
    <dsp:sp modelId="{4E7F10F5-9D2A-43F5-AA69-5EBE6CD852A6}">
      <dsp:nvSpPr>
        <dsp:cNvPr id="0" name=""/>
        <dsp:cNvSpPr/>
      </dsp:nvSpPr>
      <dsp:spPr>
        <a:xfrm>
          <a:off x="3106603" y="2023149"/>
          <a:ext cx="948071" cy="8390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1.2.2.1 Análisis de metodologías de gestión de proyectos (PMI, Lean)</a:t>
          </a:r>
        </a:p>
      </dsp:txBody>
      <dsp:txXfrm>
        <a:off x="3106603" y="2023149"/>
        <a:ext cx="948071" cy="839024"/>
      </dsp:txXfrm>
    </dsp:sp>
    <dsp:sp modelId="{11939459-E0EB-41CE-8B50-08F612B998E2}">
      <dsp:nvSpPr>
        <dsp:cNvPr id="0" name=""/>
        <dsp:cNvSpPr/>
      </dsp:nvSpPr>
      <dsp:spPr>
        <a:xfrm>
          <a:off x="3106603" y="3061269"/>
          <a:ext cx="948071" cy="72192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1.2.2.2 Cuadro comparativo de herramientas y enfoques</a:t>
          </a:r>
        </a:p>
      </dsp:txBody>
      <dsp:txXfrm>
        <a:off x="3106603" y="3061269"/>
        <a:ext cx="948071" cy="721928"/>
      </dsp:txXfrm>
    </dsp:sp>
    <dsp:sp modelId="{750D0113-1E32-4FD1-9A53-C28AF85EB3AE}">
      <dsp:nvSpPr>
        <dsp:cNvPr id="0" name=""/>
        <dsp:cNvSpPr/>
      </dsp:nvSpPr>
      <dsp:spPr>
        <a:xfrm>
          <a:off x="3106603" y="3982292"/>
          <a:ext cx="948071" cy="96770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1.2.2.3 Casos similares en diseño y construcción de oficinas</a:t>
          </a:r>
        </a:p>
      </dsp:txBody>
      <dsp:txXfrm>
        <a:off x="3106603" y="3982292"/>
        <a:ext cx="948071" cy="967701"/>
      </dsp:txXfrm>
    </dsp:sp>
    <dsp:sp modelId="{ACF3BC3E-1746-4971-A25D-6C302E252CAE}">
      <dsp:nvSpPr>
        <dsp:cNvPr id="0" name=""/>
        <dsp:cNvSpPr/>
      </dsp:nvSpPr>
      <dsp:spPr>
        <a:xfrm>
          <a:off x="4016752" y="1350018"/>
          <a:ext cx="948071" cy="4740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1.2.3 Propuesta de mejora</a:t>
          </a:r>
        </a:p>
      </dsp:txBody>
      <dsp:txXfrm>
        <a:off x="4016752" y="1350018"/>
        <a:ext cx="948071" cy="474035"/>
      </dsp:txXfrm>
    </dsp:sp>
    <dsp:sp modelId="{593BA6A8-A05E-4D52-BC54-D742BC4F7327}">
      <dsp:nvSpPr>
        <dsp:cNvPr id="0" name=""/>
        <dsp:cNvSpPr/>
      </dsp:nvSpPr>
      <dsp:spPr>
        <a:xfrm>
          <a:off x="4253770" y="2023149"/>
          <a:ext cx="948071" cy="76065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1.2.3.1 Nuevo flujo de trabajo propuesto</a:t>
          </a:r>
        </a:p>
      </dsp:txBody>
      <dsp:txXfrm>
        <a:off x="4253770" y="2023149"/>
        <a:ext cx="948071" cy="760657"/>
      </dsp:txXfrm>
    </dsp:sp>
    <dsp:sp modelId="{84A50A7B-60D2-4A2B-B52A-689F862C4CAE}">
      <dsp:nvSpPr>
        <dsp:cNvPr id="0" name=""/>
        <dsp:cNvSpPr/>
      </dsp:nvSpPr>
      <dsp:spPr>
        <a:xfrm>
          <a:off x="4253770" y="2982901"/>
          <a:ext cx="948071" cy="80396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1.2.3.2 Herramientas sugeridas para planificación y control</a:t>
          </a:r>
        </a:p>
      </dsp:txBody>
      <dsp:txXfrm>
        <a:off x="4253770" y="2982901"/>
        <a:ext cx="948071" cy="803960"/>
      </dsp:txXfrm>
    </dsp:sp>
    <dsp:sp modelId="{D07AD9F5-8177-47FB-BDE8-66D829CF0DE7}">
      <dsp:nvSpPr>
        <dsp:cNvPr id="0" name=""/>
        <dsp:cNvSpPr/>
      </dsp:nvSpPr>
      <dsp:spPr>
        <a:xfrm>
          <a:off x="4253770" y="3985956"/>
          <a:ext cx="948071" cy="78481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1.2.3.3 Recomendaciones organizacionales y de roles</a:t>
          </a:r>
        </a:p>
      </dsp:txBody>
      <dsp:txXfrm>
        <a:off x="4253770" y="3985956"/>
        <a:ext cx="948071" cy="784813"/>
      </dsp:txXfrm>
    </dsp:sp>
    <dsp:sp modelId="{7FD4A329-920A-4F4B-9DB5-CCC545C7180E}">
      <dsp:nvSpPr>
        <dsp:cNvPr id="0" name=""/>
        <dsp:cNvSpPr/>
      </dsp:nvSpPr>
      <dsp:spPr>
        <a:xfrm>
          <a:off x="5163919" y="1350018"/>
          <a:ext cx="948071" cy="4740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R" sz="800" kern="1200">
              <a:latin typeface="Arial" panose="020B0604020202020204" pitchFamily="34" charset="0"/>
              <a:cs typeface="Arial" panose="020B0604020202020204" pitchFamily="34" charset="0"/>
            </a:rPr>
            <a:t>1.2.4 Plan de implementación de mejoras</a:t>
          </a:r>
        </a:p>
      </dsp:txBody>
      <dsp:txXfrm>
        <a:off x="5163919" y="1350018"/>
        <a:ext cx="948071" cy="474035"/>
      </dsp:txXfrm>
    </dsp:sp>
    <dsp:sp modelId="{9FCCD135-E90F-4B6C-9D2B-902C4BE2A5BB}">
      <dsp:nvSpPr>
        <dsp:cNvPr id="0" name=""/>
        <dsp:cNvSpPr/>
      </dsp:nvSpPr>
      <dsp:spPr>
        <a:xfrm>
          <a:off x="5400937" y="2023149"/>
          <a:ext cx="948071" cy="4740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R" sz="800" kern="1200">
              <a:latin typeface="Arial" panose="020B0604020202020204" pitchFamily="34" charset="0"/>
              <a:cs typeface="Arial" panose="020B0604020202020204" pitchFamily="34" charset="0"/>
            </a:rPr>
            <a:t>1.2.4.1 Objetivo y alcance del plan </a:t>
          </a:r>
        </a:p>
      </dsp:txBody>
      <dsp:txXfrm>
        <a:off x="5400937" y="2023149"/>
        <a:ext cx="948071" cy="474035"/>
      </dsp:txXfrm>
    </dsp:sp>
    <dsp:sp modelId="{1E311D21-7CA4-415B-9E2D-932D13911389}">
      <dsp:nvSpPr>
        <dsp:cNvPr id="0" name=""/>
        <dsp:cNvSpPr/>
      </dsp:nvSpPr>
      <dsp:spPr>
        <a:xfrm>
          <a:off x="5400937" y="2696280"/>
          <a:ext cx="948071" cy="4740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R" sz="800" kern="1200">
              <a:latin typeface="Arial" panose="020B0604020202020204" pitchFamily="34" charset="0"/>
              <a:cs typeface="Arial" panose="020B0604020202020204" pitchFamily="34" charset="0"/>
            </a:rPr>
            <a:t>1.2.4.2 Estrategia por acciones, roles y herramientas colaborativas</a:t>
          </a:r>
        </a:p>
      </dsp:txBody>
      <dsp:txXfrm>
        <a:off x="5400937" y="2696280"/>
        <a:ext cx="948071" cy="474035"/>
      </dsp:txXfrm>
    </dsp:sp>
    <dsp:sp modelId="{D5EE33B5-567D-4482-B1C5-125117CA93B9}">
      <dsp:nvSpPr>
        <dsp:cNvPr id="0" name=""/>
        <dsp:cNvSpPr/>
      </dsp:nvSpPr>
      <dsp:spPr>
        <a:xfrm>
          <a:off x="5400937" y="3369411"/>
          <a:ext cx="948071" cy="4740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R" sz="800" kern="1200">
              <a:latin typeface="Arial" panose="020B0604020202020204" pitchFamily="34" charset="0"/>
              <a:cs typeface="Arial" panose="020B0604020202020204" pitchFamily="34" charset="0"/>
            </a:rPr>
            <a:t>1.2.4.3 Fases de ejecucción e indicadores</a:t>
          </a:r>
        </a:p>
      </dsp:txBody>
      <dsp:txXfrm>
        <a:off x="5400937" y="3369411"/>
        <a:ext cx="948071" cy="474035"/>
      </dsp:txXfrm>
    </dsp:sp>
    <dsp:sp modelId="{D8F23E08-5D29-4308-AEA9-8D6199B0BF93}">
      <dsp:nvSpPr>
        <dsp:cNvPr id="0" name=""/>
        <dsp:cNvSpPr/>
      </dsp:nvSpPr>
      <dsp:spPr>
        <a:xfrm>
          <a:off x="6311087" y="1350018"/>
          <a:ext cx="948071" cy="62194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1.2.5 </a:t>
          </a:r>
          <a:r>
            <a:rPr lang="es-CR" sz="900" kern="1200"/>
            <a:t>Análisis comparativo de mejoras propuestas</a:t>
          </a:r>
          <a:endParaRPr lang="en-US" sz="900" kern="1200">
            <a:latin typeface="Arial" panose="020B0604020202020204" pitchFamily="34" charset="0"/>
            <a:cs typeface="Arial" panose="020B0604020202020204" pitchFamily="34" charset="0"/>
          </a:endParaRPr>
        </a:p>
      </dsp:txBody>
      <dsp:txXfrm>
        <a:off x="6311087" y="1350018"/>
        <a:ext cx="948071" cy="621949"/>
      </dsp:txXfrm>
    </dsp:sp>
    <dsp:sp modelId="{130B7FC3-6A35-4301-9BEF-942CD8FD2C37}">
      <dsp:nvSpPr>
        <dsp:cNvPr id="0" name=""/>
        <dsp:cNvSpPr/>
      </dsp:nvSpPr>
      <dsp:spPr>
        <a:xfrm>
          <a:off x="6548105" y="2171062"/>
          <a:ext cx="948071" cy="10024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1.2.4.1 </a:t>
          </a:r>
          <a:r>
            <a:rPr lang="es-CR" sz="900" kern="1200"/>
            <a:t>Comparación entre el proceso actual y el proceso propuesto</a:t>
          </a:r>
          <a:endParaRPr lang="en-US" sz="900" kern="1200">
            <a:latin typeface="Arial" panose="020B0604020202020204" pitchFamily="34" charset="0"/>
            <a:cs typeface="Arial" panose="020B0604020202020204" pitchFamily="34" charset="0"/>
          </a:endParaRPr>
        </a:p>
      </dsp:txBody>
      <dsp:txXfrm>
        <a:off x="6548105" y="2171062"/>
        <a:ext cx="948071" cy="1002448"/>
      </dsp:txXfrm>
    </dsp:sp>
    <dsp:sp modelId="{C681176A-5E9E-400C-952B-90359E6677E5}">
      <dsp:nvSpPr>
        <dsp:cNvPr id="0" name=""/>
        <dsp:cNvSpPr/>
      </dsp:nvSpPr>
      <dsp:spPr>
        <a:xfrm>
          <a:off x="6548105" y="3372606"/>
          <a:ext cx="948071" cy="103848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1.2.4.2 </a:t>
          </a:r>
          <a:r>
            <a:rPr lang="es-CR" sz="900" kern="1200"/>
            <a:t>Identificación de diferencias clave en planificación, control e integración</a:t>
          </a:r>
          <a:endParaRPr lang="en-US" sz="900" kern="1200">
            <a:latin typeface="Arial" panose="020B0604020202020204" pitchFamily="34" charset="0"/>
            <a:cs typeface="Arial" panose="020B0604020202020204" pitchFamily="34" charset="0"/>
          </a:endParaRPr>
        </a:p>
      </dsp:txBody>
      <dsp:txXfrm>
        <a:off x="6548105" y="3372606"/>
        <a:ext cx="948071" cy="1038480"/>
      </dsp:txXfrm>
    </dsp:sp>
    <dsp:sp modelId="{9F9CC618-C9C8-40A2-A592-69412EE24BE6}">
      <dsp:nvSpPr>
        <dsp:cNvPr id="0" name=""/>
        <dsp:cNvSpPr/>
      </dsp:nvSpPr>
      <dsp:spPr>
        <a:xfrm>
          <a:off x="6548105" y="4610181"/>
          <a:ext cx="948071" cy="96481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CR" sz="900" kern="1200"/>
            <a:t>1.2.4.3 Análisis de beneficios potenciales en tiempo, costo y calidad</a:t>
          </a:r>
          <a:endParaRPr lang="en-US" sz="900" kern="1200">
            <a:latin typeface="Arial" panose="020B0604020202020204" pitchFamily="34" charset="0"/>
            <a:cs typeface="Arial" panose="020B0604020202020204" pitchFamily="34" charset="0"/>
          </a:endParaRPr>
        </a:p>
      </dsp:txBody>
      <dsp:txXfrm>
        <a:off x="6548105" y="4610181"/>
        <a:ext cx="948071" cy="964810"/>
      </dsp:txXfrm>
    </dsp:sp>
    <dsp:sp modelId="{727EABAC-E6EB-4ECC-9ECB-51508764F886}">
      <dsp:nvSpPr>
        <dsp:cNvPr id="0" name=""/>
        <dsp:cNvSpPr/>
      </dsp:nvSpPr>
      <dsp:spPr>
        <a:xfrm>
          <a:off x="7458254" y="1350018"/>
          <a:ext cx="948071" cy="4740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1.2.5 Conclusiones</a:t>
          </a:r>
        </a:p>
      </dsp:txBody>
      <dsp:txXfrm>
        <a:off x="7458254" y="1350018"/>
        <a:ext cx="948071" cy="474035"/>
      </dsp:txXfrm>
    </dsp:sp>
    <dsp:sp modelId="{831FB103-B871-427B-8749-BAD39B266098}">
      <dsp:nvSpPr>
        <dsp:cNvPr id="0" name=""/>
        <dsp:cNvSpPr/>
      </dsp:nvSpPr>
      <dsp:spPr>
        <a:xfrm>
          <a:off x="8605421" y="1350018"/>
          <a:ext cx="948071" cy="4740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1.2.6 Recomendaciones</a:t>
          </a:r>
        </a:p>
      </dsp:txBody>
      <dsp:txXfrm>
        <a:off x="8605421" y="1350018"/>
        <a:ext cx="948071" cy="474035"/>
      </dsp:txXfrm>
    </dsp:sp>
    <dsp:sp modelId="{939522BF-6EAA-4102-86AC-2FF7011DA04B}">
      <dsp:nvSpPr>
        <dsp:cNvPr id="0" name=""/>
        <dsp:cNvSpPr/>
      </dsp:nvSpPr>
      <dsp:spPr>
        <a:xfrm>
          <a:off x="9752588" y="1350018"/>
          <a:ext cx="948071" cy="4740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1.2.7 Listas de referencias</a:t>
          </a:r>
        </a:p>
      </dsp:txBody>
      <dsp:txXfrm>
        <a:off x="9752588" y="1350018"/>
        <a:ext cx="948071" cy="474035"/>
      </dsp:txXfrm>
    </dsp:sp>
    <dsp:sp modelId="{297A80B8-A380-4079-9228-131DB02DA979}">
      <dsp:nvSpPr>
        <dsp:cNvPr id="0" name=""/>
        <dsp:cNvSpPr/>
      </dsp:nvSpPr>
      <dsp:spPr>
        <a:xfrm>
          <a:off x="10899755" y="1350018"/>
          <a:ext cx="948071" cy="4740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1.2.8 Anexos</a:t>
          </a:r>
        </a:p>
      </dsp:txBody>
      <dsp:txXfrm>
        <a:off x="10899755" y="1350018"/>
        <a:ext cx="948071" cy="474035"/>
      </dsp:txXfrm>
    </dsp:sp>
    <dsp:sp modelId="{EBBAA020-65AC-44E9-AA6C-5BB139F7EBFE}">
      <dsp:nvSpPr>
        <dsp:cNvPr id="0" name=""/>
        <dsp:cNvSpPr/>
      </dsp:nvSpPr>
      <dsp:spPr>
        <a:xfrm>
          <a:off x="12046922" y="1350018"/>
          <a:ext cx="948071" cy="6368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Arial" panose="020B0604020202020204" pitchFamily="34" charset="0"/>
              <a:cs typeface="Arial" panose="020B0604020202020204" pitchFamily="34" charset="0"/>
            </a:rPr>
            <a:t>1.2.9 Aprobación del tutor para lectura</a:t>
          </a:r>
        </a:p>
      </dsp:txBody>
      <dsp:txXfrm>
        <a:off x="12046922" y="1350018"/>
        <a:ext cx="948071" cy="636819"/>
      </dsp:txXfrm>
    </dsp:sp>
    <dsp:sp modelId="{EBFD5A82-221B-4E53-B240-7169901278B7}">
      <dsp:nvSpPr>
        <dsp:cNvPr id="0" name=""/>
        <dsp:cNvSpPr/>
      </dsp:nvSpPr>
      <dsp:spPr>
        <a:xfrm>
          <a:off x="8031837" y="676887"/>
          <a:ext cx="948071" cy="4740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CR" sz="900" kern="1200">
              <a:latin typeface="Arial" panose="020B0604020202020204" pitchFamily="34" charset="0"/>
              <a:cs typeface="Arial" panose="020B0604020202020204" pitchFamily="34" charset="0"/>
            </a:rPr>
            <a:t>1.3 Revisión de Lectores</a:t>
          </a:r>
        </a:p>
      </dsp:txBody>
      <dsp:txXfrm>
        <a:off x="8031837" y="676887"/>
        <a:ext cx="948071" cy="474035"/>
      </dsp:txXfrm>
    </dsp:sp>
    <dsp:sp modelId="{C0BD0DC4-3C88-43D9-B7DF-04D34A458727}">
      <dsp:nvSpPr>
        <dsp:cNvPr id="0" name=""/>
        <dsp:cNvSpPr/>
      </dsp:nvSpPr>
      <dsp:spPr>
        <a:xfrm>
          <a:off x="9179004" y="676887"/>
          <a:ext cx="948071" cy="4740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CR" sz="900" kern="1200">
              <a:latin typeface="Arial" panose="020B0604020202020204" pitchFamily="34" charset="0"/>
              <a:cs typeface="Arial" panose="020B0604020202020204" pitchFamily="34" charset="0"/>
            </a:rPr>
            <a:t>1.4 Evaluación Final</a:t>
          </a:r>
        </a:p>
      </dsp:txBody>
      <dsp:txXfrm>
        <a:off x="9179004" y="676887"/>
        <a:ext cx="948071" cy="47403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PlLNPrpXOk5nkA1p8yS0XM4AFA==">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9089B29-60EA-45FD-91AB-4B73873EF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188</Pages>
  <Words>50821</Words>
  <Characters>279517</Characters>
  <Application>Microsoft Office Word</Application>
  <DocSecurity>0</DocSecurity>
  <Lines>2329</Lines>
  <Paragraphs>659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Invitado</dc:creator>
  <cp:keywords/>
  <dc:description/>
  <cp:lastModifiedBy>XPC</cp:lastModifiedBy>
  <cp:revision>2</cp:revision>
  <dcterms:created xsi:type="dcterms:W3CDTF">2025-10-27T17:11:00Z</dcterms:created>
  <dcterms:modified xsi:type="dcterms:W3CDTF">2025-10-27T17:11:00Z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1033-11.2.0.11074</vt:lpwstr>
  </property>
  <property fmtid="{D5CDD505-2E9C-101B-9397-08002B2CF9AE}" pid="3" name="ICV">
    <vt:lpwstr>8F5A8BC40FDF49D494816F203E34F3D8</vt:lpwstr>
  </property>
</Properties>
</file>